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83047"/>
          <w:sz w:val="40"/>
          <w:szCs w:val="40"/>
        </w:rPr>
        <w:t xml:space="preserve">OzAgriMate Telemetry Architecture and API</w:t>
      </w:r>
    </w:p>
    <w:p>
      <w:pPr>
        <w:spacing w:after="200" w:before="0"/>
      </w:pPr>
      <w:r>
        <w:rPr>
          <w:rFonts w:ascii="Calibri" w:cs="Calibri" w:eastAsia="Calibri" w:hAnsi="Calibri"/>
          <w:color w:val="486174"/>
          <w:sz w:val="22"/>
          <w:szCs w:val="22"/>
        </w:rPr>
        <w:t xml:space="preserve">Aditya Singh (s4139812) | ISYS3459 Assignment 4 | 24 October 2026</w:t>
      </w:r>
    </w:p>
    <w:p>
      <w:pPr>
        <w:spacing w:after="120" w:before="0"/>
      </w:pPr>
      <w:r>
        <w:rPr>
          <w:rFonts w:ascii="Calibri" w:cs="Calibri" w:eastAsia="Calibri" w:hAnsi="Calibri"/>
          <w:color w:val="183047"/>
          <w:sz w:val="21"/>
          <w:szCs w:val="21"/>
        </w:rPr>
        <w:t xml:space="preserve">These sections document the architecture decisions, Telemetry component view, telemetry runtime view and telemetry API contributed by Aditya Singh, plus the repository integration work. The two telemetry endpoints pass 14 automated HTTP tests and a 19-request Postman collection with 59 of 59 assertions passing. Architecture decisions remain Proposed pending team review.</w:t>
      </w:r>
    </w:p>
    <w:p>
      <w:pPr>
        <w:pStyle w:val="Heading1"/>
        <w:spacing w:after="120" w:before="280"/>
      </w:pPr>
      <w:r>
        <w:rPr>
          <w:rFonts w:ascii="Calibri" w:cs="Calibri" w:eastAsia="Calibri" w:hAnsi="Calibri"/>
          <w:b/>
          <w:bCs/>
          <w:color w:val="183047"/>
          <w:sz w:val="30"/>
          <w:szCs w:val="30"/>
        </w:rPr>
        <w:t xml:space="preserve">Design basis and scope</w:t>
      </w:r>
    </w:p>
    <w:p>
      <w:pPr>
        <w:spacing w:after="120" w:before="0"/>
      </w:pPr>
      <w:r>
        <w:rPr>
          <w:rFonts w:ascii="Calibri" w:cs="Calibri" w:eastAsia="Calibri" w:hAnsi="Calibri"/>
          <w:color w:val="183047"/>
          <w:sz w:val="21"/>
          <w:szCs w:val="21"/>
        </w:rPr>
        <w:t xml:space="preserve">The submitted Assignment 2 report names Scalability and Interoperability among its top three driving characteristics: the platform must grow from 5,000 to 50,000 farms with sub-second ingestion and accept LoRaWAN, NB-IoT and other sensor networks without rebuilding core services. ASR22 requires absorbing tenfold seasonal spikes without data loss, ASR3 requires 72-hour edge buffering with resync within 15 minutes, ASR5 requires anomalous readings not to trigger automated actions, ASR15 and ASR16 require adapter-based onboarding and versioned APIs, and C4 limits operations to at most eight engineers. ADR-01 places telemetry in its own Telemetry service, which owns the Telemetry Store and publishes accepted readings through the Event Broker.</w:t>
      </w:r>
    </w:p>
    <w:p>
      <w:pPr>
        <w:spacing w:after="120" w:before="0"/>
      </w:pPr>
      <w:r>
        <w:rPr>
          <w:rFonts w:ascii="Calibri" w:cs="Calibri" w:eastAsia="Calibri" w:hAnsi="Calibri"/>
          <w:color w:val="183047"/>
          <w:sz w:val="21"/>
          <w:szCs w:val="21"/>
        </w:rPr>
        <w:t xml:space="preserve">This contribution implements reading submission and farm-scoped reading retrieval. The Farm Edge Gateway, Event Broker, autoscaling and the time-series database are target architecture; the prototype uses in-memory partitions and an in-memory outbox.</w:t>
      </w:r>
    </w:p>
    <w:p>
      <w:pPr>
        <w:pStyle w:val="Heading2"/>
        <w:spacing w:after="100" w:before="200"/>
      </w:pPr>
      <w:r>
        <w:rPr>
          <w:rFonts w:ascii="Calibri" w:cs="Calibri" w:eastAsia="Calibri" w:hAnsi="Calibri"/>
          <w:b/>
          <w:bCs/>
          <w:color w:val="183047"/>
          <w:sz w:val="24"/>
          <w:szCs w:val="24"/>
        </w:rPr>
        <w:t xml:space="preserve">Contribution coverage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9BB0C0" w:sz="4"/>
              <w:left w:val="single" w:color="9BB0C0" w:sz="4"/>
              <w:bottom w:val="single" w:color="9BB0C0" w:sz="4"/>
              <w:right w:val="single" w:color="9BB0C0" w:sz="4"/>
            </w:tcBorders>
            <w:shd w:fill="D9EBFA" w:color="auto" w:val="clear"/>
            <w:tcMar>
              <w:top w:type="dxa" w:w="60"/>
              <w:left w:type="dxa" w:w="90"/>
              <w:bottom w:type="dxa" w:w="60"/>
              <w:right w:type="dxa" w:w="90"/>
            </w:tcMar>
          </w:tcPr>
          <w:p>
            <w:r>
              <w:rPr>
                <w:rFonts w:ascii="Calibri" w:cs="Calibri" w:eastAsia="Calibri" w:hAnsi="Calibri"/>
                <w:b/>
                <w:bCs/>
                <w:color w:val="183047"/>
                <w:sz w:val="18"/>
                <w:szCs w:val="18"/>
              </w:rPr>
              <w:t xml:space="preserve">Artefact</w:t>
            </w:r>
          </w:p>
        </w:tc>
        <w:tc>
          <w:tcPr>
            <w:tcW w:type="dxa" w:w="6638"/>
            <w:tcBorders>
              <w:top w:val="single" w:color="9BB0C0" w:sz="4"/>
              <w:left w:val="single" w:color="9BB0C0" w:sz="4"/>
              <w:bottom w:val="single" w:color="9BB0C0" w:sz="4"/>
              <w:right w:val="single" w:color="9BB0C0" w:sz="4"/>
            </w:tcBorders>
            <w:shd w:fill="D9EBFA" w:color="auto" w:val="clear"/>
            <w:tcMar>
              <w:top w:type="dxa" w:w="60"/>
              <w:left w:type="dxa" w:w="90"/>
              <w:bottom w:type="dxa" w:w="60"/>
              <w:right w:type="dxa" w:w="90"/>
            </w:tcMar>
          </w:tcPr>
          <w:p>
            <w:r>
              <w:rPr>
                <w:rFonts w:ascii="Calibri" w:cs="Calibri" w:eastAsia="Calibri" w:hAnsi="Calibri"/>
                <w:b/>
                <w:bCs/>
                <w:color w:val="183047"/>
                <w:sz w:val="18"/>
                <w:szCs w:val="18"/>
              </w:rPr>
              <w:t xml:space="preserve">Scope and status</w:t>
            </w:r>
          </w:p>
        </w:tc>
      </w:tr>
      <w:tr>
        <w:trPr>
          <w:tblHeader w:val="off"/>
        </w:trPr>
        <w:tc>
          <w:tcPr>
            <w:tcW w:type="dxa" w:w="30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ADR-02</w:t>
            </w:r>
          </w:p>
        </w:tc>
        <w:tc>
          <w:tcPr>
            <w:tcW w:type="dxa" w:w="66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Scalability (driving QA A); Proposed</w:t>
            </w:r>
          </w:p>
        </w:tc>
      </w:tr>
      <w:tr>
        <w:trPr>
          <w:tblHeader w:val="off"/>
        </w:trPr>
        <w:tc>
          <w:tcPr>
            <w:tcW w:type="dxa" w:w="30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ADR-06</w:t>
            </w:r>
          </w:p>
        </w:tc>
        <w:tc>
          <w:tcPr>
            <w:tcW w:type="dxa" w:w="66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Edge-to-cloud reading contract (technology/interface decision); Proposed</w:t>
            </w:r>
          </w:p>
        </w:tc>
      </w:tr>
      <w:tr>
        <w:trPr>
          <w:tblHeader w:val="off"/>
        </w:trPr>
        <w:tc>
          <w:tcPr>
            <w:tcW w:type="dxa" w:w="30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Telemetry component view</w:t>
            </w:r>
          </w:p>
        </w:tc>
        <w:tc>
          <w:tcPr>
            <w:tcW w:type="dxa" w:w="66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Ten components, one-to-one with services/telemetry/ modules</w:t>
            </w:r>
          </w:p>
        </w:tc>
      </w:tr>
      <w:tr>
        <w:trPr>
          <w:tblHeader w:val="off"/>
        </w:trPr>
        <w:tc>
          <w:tcPr>
            <w:tcW w:type="dxa" w:w="30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Runtime view 1</w:t>
            </w:r>
          </w:p>
        </w:tc>
        <w:tc>
          <w:tcPr>
            <w:tcW w:type="dxa" w:w="66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Telemetry submission and processing; edge buffering and broker steps marked planned</w:t>
            </w:r>
          </w:p>
        </w:tc>
      </w:tr>
      <w:tr>
        <w:trPr>
          <w:tblHeader w:val="off"/>
        </w:trPr>
        <w:tc>
          <w:tcPr>
            <w:tcW w:type="dxa" w:w="30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Telemetry API</w:t>
            </w:r>
          </w:p>
        </w:tc>
        <w:tc>
          <w:tcPr>
            <w:tcW w:type="dxa" w:w="66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POST and GET /farms/{farmId}/telemetry; local implementation on port 8002</w:t>
            </w:r>
          </w:p>
        </w:tc>
      </w:tr>
      <w:tr>
        <w:trPr>
          <w:tblHeader w:val="off"/>
        </w:trPr>
        <w:tc>
          <w:tcPr>
            <w:tcW w:type="dxa" w:w="30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Repository integration</w:t>
            </w:r>
          </w:p>
        </w:tc>
        <w:tc>
          <w:tcPr>
            <w:tcW w:type="dxa" w:w="66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run_all.py, requirements.txt, README start-up instructions, clean ZIP builder</w:t>
            </w:r>
          </w:p>
        </w:tc>
      </w:tr>
      <w:tr>
        <w:trPr>
          <w:tblHeader w:val="off"/>
        </w:trPr>
        <w:tc>
          <w:tcPr>
            <w:tcW w:type="dxa" w:w="30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Testing evidence</w:t>
            </w:r>
          </w:p>
        </w:tc>
        <w:tc>
          <w:tcPr>
            <w:tcW w:type="dxa" w:w="66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14 telemetry tests; 49 of 49 repository tests; Newman run 19 requests, 59 of 59 assertions</w:t>
            </w:r>
          </w:p>
        </w:tc>
      </w:tr>
    </w:tbl>
    <w:p>
      <w:pPr>
        <w:pStyle w:val="Heading1"/>
        <w:pageBreakBefore/>
        <w:spacing w:after="120"/>
      </w:pPr>
      <w:r>
        <w:rPr>
          <w:rFonts w:ascii="Calibri" w:cs="Calibri" w:eastAsia="Calibri" w:hAnsi="Calibri"/>
          <w:b/>
          <w:bCs/>
          <w:color w:val="183047"/>
          <w:sz w:val="30"/>
          <w:szCs w:val="30"/>
        </w:rPr>
        <w:t xml:space="preserve">ADR 02 Scalable telemetry ingestion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9BB0C0" w:sz="4"/>
              <w:left w:val="single" w:color="9BB0C0" w:sz="4"/>
              <w:bottom w:val="single" w:color="9BB0C0" w:sz="4"/>
              <w:right w:val="single" w:color="9BB0C0" w:sz="4"/>
            </w:tcBorders>
            <w:shd w:fill="D9EBFA" w:color="auto" w:val="clear"/>
            <w:tcMar>
              <w:top w:type="dxa" w:w="60"/>
              <w:left w:type="dxa" w:w="90"/>
              <w:bottom w:type="dxa" w:w="60"/>
              <w:right w:type="dxa" w:w="90"/>
            </w:tcMar>
          </w:tcPr>
          <w:p>
            <w:r>
              <w:rPr>
                <w:rFonts w:ascii="Calibri" w:cs="Calibri" w:eastAsia="Calibri" w:hAnsi="Calibri"/>
                <w:b/>
                <w:bCs/>
                <w:color w:val="183047"/>
                <w:sz w:val="18"/>
                <w:szCs w:val="18"/>
              </w:rPr>
              <w:t xml:space="preserve">Field</w:t>
            </w:r>
          </w:p>
        </w:tc>
        <w:tc>
          <w:tcPr>
            <w:tcW w:type="dxa" w:w="7838"/>
            <w:tcBorders>
              <w:top w:val="single" w:color="9BB0C0" w:sz="4"/>
              <w:left w:val="single" w:color="9BB0C0" w:sz="4"/>
              <w:bottom w:val="single" w:color="9BB0C0" w:sz="4"/>
              <w:right w:val="single" w:color="9BB0C0" w:sz="4"/>
            </w:tcBorders>
            <w:shd w:fill="D9EBFA" w:color="auto" w:val="clear"/>
            <w:tcMar>
              <w:top w:type="dxa" w:w="60"/>
              <w:left w:type="dxa" w:w="90"/>
              <w:bottom w:type="dxa" w:w="60"/>
              <w:right w:type="dxa" w:w="90"/>
            </w:tcMar>
          </w:tcPr>
          <w:p>
            <w:r>
              <w:rPr>
                <w:rFonts w:ascii="Calibri" w:cs="Calibri" w:eastAsia="Calibri" w:hAnsi="Calibri"/>
                <w:b/>
                <w:bCs/>
                <w:color w:val="183047"/>
                <w:sz w:val="18"/>
                <w:szCs w:val="18"/>
              </w:rPr>
              <w:t xml:space="preserve">Architectural decision record</w:t>
            </w:r>
          </w:p>
        </w:tc>
      </w:tr>
      <w:tr>
        <w:trPr>
          <w:tblHeader w:val="off"/>
        </w:trPr>
        <w:tc>
          <w:tcPr>
            <w:tcW w:type="dxa" w:w="18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Title</w:t>
            </w:r>
          </w:p>
        </w:tc>
        <w:tc>
          <w:tcPr>
            <w:tcW w:type="dxa" w:w="78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ADR-02 Scale telemetry ingestion with stateless services, farm-partitioned storage and asynchronous accepted-reading events</w:t>
            </w:r>
          </w:p>
        </w:tc>
      </w:tr>
      <w:tr>
        <w:trPr>
          <w:tblHeader w:val="off"/>
        </w:trPr>
        <w:tc>
          <w:tcPr>
            <w:tcW w:type="dxa" w:w="18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Status</w:t>
            </w:r>
          </w:p>
        </w:tc>
        <w:tc>
          <w:tcPr>
            <w:tcW w:type="dxa" w:w="78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Proposed</w:t>
            </w:r>
          </w:p>
        </w:tc>
      </w:tr>
      <w:tr>
        <w:trPr>
          <w:tblHeader w:val="off"/>
        </w:trPr>
        <w:tc>
          <w:tcPr>
            <w:tcW w:type="dxa" w:w="18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Context</w:t>
            </w:r>
          </w:p>
        </w:tc>
        <w:tc>
          <w:tcPr>
            <w:tcW w:type="dxa" w:w="78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Scalability is the top driving QA: OzAgriMate must grow from 5,000 to 50,000 farms with sub-second ingestion. ASR22 requires absorbing tenfold planting and harvest spikes without data loss; ASR3 requires gateways to resync 72 hours of buffered readings within 15 minutes; C4 limits operations to eight engineers. Alternatives: synchronous fan-out to irrigation, alerts and AI ties ingestion latency to every consumer; one vertically scaled database caps growth; per-farm deployments are unmanageable. Replay bursts must not starve live readings.</w:t>
            </w:r>
          </w:p>
        </w:tc>
      </w:tr>
      <w:tr>
        <w:trPr>
          <w:tblHeader w:val="off"/>
        </w:trPr>
        <w:tc>
          <w:tcPr>
            <w:tcW w:type="dxa" w:w="18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Decision</w:t>
            </w:r>
          </w:p>
        </w:tc>
        <w:tc>
          <w:tcPr>
            <w:tcW w:type="dxa" w:w="78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Run Telemetry as stateless, horizontally scaled instances, autoscaled on request rate and broker lag. Acknowledge a reading once stored, then publish a ReadingAccepted event through an outbox to the managed broker, partitioned by farmId, so consumers scale independently. Partition the time-series store by farm and time; queries are farm-scoped and capped at 500 rows. Idempotent reading IDs make replays safe; replay traffic is rate-limited below live traffic. Prototype: partitions, bounded queries, idempotency and outbox only; autoscaling, broker and rate-limiting are not built.</w:t>
            </w:r>
          </w:p>
        </w:tc>
      </w:tr>
      <w:tr>
        <w:trPr>
          <w:tblHeader w:val="off"/>
        </w:trPr>
        <w:tc>
          <w:tcPr>
            <w:tcW w:type="dxa" w:w="18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Consequences</w:t>
            </w:r>
          </w:p>
        </w:tc>
        <w:tc>
          <w:tcPr>
            <w:tcW w:type="dxa" w:w="78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Capacity grows by adding instances and partitions, and slow consumers cannot delay acknowledgements. Consumers see eventual consistency and must deduplicate events. Outbox, broker and partition management add cost and monitoring effort. Very active farms can create hot partitions. In-memory prototype results do not demonstrate production throughput.</w:t>
            </w:r>
          </w:p>
        </w:tc>
      </w:tr>
      <w:tr>
        <w:trPr>
          <w:tblHeader w:val="off"/>
        </w:trPr>
        <w:tc>
          <w:tcPr>
            <w:tcW w:type="dxa" w:w="18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Compliance</w:t>
            </w:r>
          </w:p>
        </w:tc>
        <w:tc>
          <w:tcPr>
            <w:tcW w:type="dxa" w:w="78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Load-test 50,000 simulated farms at tenfold peak plus 72-hour replay: p95 acknowledgement under one second, zero lost readings, resync within 15 minutes.</w:t>
            </w:r>
          </w:p>
        </w:tc>
      </w:tr>
    </w:tbl>
    <w:p>
      <w:pPr>
        <w:spacing w:after="120" w:before="80"/>
      </w:pPr>
      <w:r>
        <w:rPr>
          <w:rFonts w:ascii="Calibri" w:cs="Calibri" w:eastAsia="Calibri" w:hAnsi="Calibri"/>
          <w:b/>
          <w:bCs/>
          <w:color w:val="183047"/>
          <w:sz w:val="19"/>
          <w:szCs w:val="19"/>
        </w:rPr>
        <w:t xml:space="preserve">Traceability: </w:t>
      </w:r>
      <w:r>
        <w:rPr>
          <w:rFonts w:ascii="Calibri" w:cs="Calibri" w:eastAsia="Calibri" w:hAnsi="Calibri"/>
          <w:color w:val="183047"/>
          <w:sz w:val="19"/>
          <w:szCs w:val="19"/>
        </w:rPr>
        <w:t xml:space="preserve">Scalability (top-three driving QA) and Elasticity; ASR22, ASR3, ASR1; risk R2 (10x load testing); constraints C3 and C4. Refines ADR-01's asynchronous telemetry processing into concrete scaling mechanisms; quarantined readings are never published (ASR5, ADR-03).</w:t>
      </w:r>
    </w:p>
    <w:p>
      <w:pPr>
        <w:pStyle w:val="Heading1"/>
        <w:spacing w:after="120" w:before="280"/>
      </w:pPr>
      <w:r>
        <w:rPr>
          <w:rFonts w:ascii="Calibri" w:cs="Calibri" w:eastAsia="Calibri" w:hAnsi="Calibri"/>
          <w:b/>
          <w:bCs/>
          <w:color w:val="183047"/>
          <w:sz w:val="30"/>
          <w:szCs w:val="30"/>
        </w:rPr>
        <w:t xml:space="preserve">ADR 06 Edge-to-cloud reading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9BB0C0" w:sz="4"/>
              <w:left w:val="single" w:color="9BB0C0" w:sz="4"/>
              <w:bottom w:val="single" w:color="9BB0C0" w:sz="4"/>
              <w:right w:val="single" w:color="9BB0C0" w:sz="4"/>
            </w:tcBorders>
            <w:shd w:fill="D9EBFA" w:color="auto" w:val="clear"/>
            <w:tcMar>
              <w:top w:type="dxa" w:w="60"/>
              <w:left w:type="dxa" w:w="90"/>
              <w:bottom w:type="dxa" w:w="60"/>
              <w:right w:type="dxa" w:w="90"/>
            </w:tcMar>
          </w:tcPr>
          <w:p>
            <w:r>
              <w:rPr>
                <w:rFonts w:ascii="Calibri" w:cs="Calibri" w:eastAsia="Calibri" w:hAnsi="Calibri"/>
                <w:b/>
                <w:bCs/>
                <w:color w:val="183047"/>
                <w:sz w:val="18"/>
                <w:szCs w:val="18"/>
              </w:rPr>
              <w:t xml:space="preserve">Field</w:t>
            </w:r>
          </w:p>
        </w:tc>
        <w:tc>
          <w:tcPr>
            <w:tcW w:type="dxa" w:w="7838"/>
            <w:tcBorders>
              <w:top w:val="single" w:color="9BB0C0" w:sz="4"/>
              <w:left w:val="single" w:color="9BB0C0" w:sz="4"/>
              <w:bottom w:val="single" w:color="9BB0C0" w:sz="4"/>
              <w:right w:val="single" w:color="9BB0C0" w:sz="4"/>
            </w:tcBorders>
            <w:shd w:fill="D9EBFA" w:color="auto" w:val="clear"/>
            <w:tcMar>
              <w:top w:type="dxa" w:w="60"/>
              <w:left w:type="dxa" w:w="90"/>
              <w:bottom w:type="dxa" w:w="60"/>
              <w:right w:type="dxa" w:w="90"/>
            </w:tcMar>
          </w:tcPr>
          <w:p>
            <w:r>
              <w:rPr>
                <w:rFonts w:ascii="Calibri" w:cs="Calibri" w:eastAsia="Calibri" w:hAnsi="Calibri"/>
                <w:b/>
                <w:bCs/>
                <w:color w:val="183047"/>
                <w:sz w:val="18"/>
                <w:szCs w:val="18"/>
              </w:rPr>
              <w:t xml:space="preserve">Architectural decision record</w:t>
            </w:r>
          </w:p>
        </w:tc>
      </w:tr>
      <w:tr>
        <w:trPr>
          <w:tblHeader w:val="off"/>
        </w:trPr>
        <w:tc>
          <w:tcPr>
            <w:tcW w:type="dxa" w:w="18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Title</w:t>
            </w:r>
          </w:p>
        </w:tc>
        <w:tc>
          <w:tcPr>
            <w:tcW w:type="dxa" w:w="78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ADR-06 Adopt a versioned, idempotent JSON reading contract over HTTPS between Farm Edge Gateways and Telemetry</w:t>
            </w:r>
          </w:p>
        </w:tc>
      </w:tr>
      <w:tr>
        <w:trPr>
          <w:tblHeader w:val="off"/>
        </w:trPr>
        <w:tc>
          <w:tcPr>
            <w:tcW w:type="dxa" w:w="18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Status</w:t>
            </w:r>
          </w:p>
        </w:tc>
        <w:tc>
          <w:tcPr>
            <w:tcW w:type="dxa" w:w="78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Proposed</w:t>
            </w:r>
          </w:p>
        </w:tc>
      </w:tr>
      <w:tr>
        <w:trPr>
          <w:tblHeader w:val="off"/>
        </w:trPr>
        <w:tc>
          <w:tcPr>
            <w:tcW w:type="dxa" w:w="18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Context</w:t>
            </w:r>
          </w:p>
        </w:tc>
        <w:tc>
          <w:tcPr>
            <w:tcW w:type="dxa" w:w="78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Interoperability is a top driving QA: farms use LoRaWAN, NB-IoT, ISOBUS/ADAPT and vendor sensors over constrained, unreliable links (C2). ASR15 requires onboarding device types without changing ingestion; ASR16 requires versioned, backward-compatible APIs; gateways must resend buffered readings safely (ASR3, C3). Alternatives: accepting every vendor format in the cloud spreads protocol logic into Telemetry and changes it whenever hardware changes; devices publishing MQTT directly to a cloud broker need per-device credentials at scale and bypass central validation; binary formats such as Protocol Buffers save bandwidth but are harder for partners to adopt and test.</w:t>
            </w:r>
          </w:p>
        </w:tc>
      </w:tr>
      <w:tr>
        <w:trPr>
          <w:tblHeader w:val="off"/>
        </w:trPr>
        <w:tc>
          <w:tcPr>
            <w:tcW w:type="dxa" w:w="18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Decision</w:t>
            </w:r>
          </w:p>
        </w:tc>
        <w:tc>
          <w:tcPr>
            <w:tcW w:type="dxa" w:w="78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Gateways translate field protocols locally and POST one canonical JSON reading per request to /farms/{farmId}/telemetry over HTTPS with a farm-bound machine credential. Each reading carries schemaVersion, a stable gateway-assigned readingId, deviceId, paddockId, metric, value, canonical unit and UTC observedAt. Telemetry rejects unknown versions, extra fields and unit mismatches with 422, returns 201 for new readings, 200 for identical replays and 409 for conflicting reuse. ReadingAccepted events reuse these fields. New schema versions are added alongside the two previous versions (ASR16), never changed in place.</w:t>
            </w:r>
          </w:p>
        </w:tc>
      </w:tr>
      <w:tr>
        <w:trPr>
          <w:tblHeader w:val="off"/>
        </w:trPr>
        <w:tc>
          <w:tcPr>
            <w:tcW w:type="dxa" w:w="18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Consequences</w:t>
            </w:r>
          </w:p>
        </w:tc>
        <w:tc>
          <w:tcPr>
            <w:tcW w:type="dxa" w:w="78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Telemetry stays protocol-agnostic, and replays never duplicate readings or downstream actions. Gateways must maintain adapters and stable reading IDs. Per-reading JSON costs more bandwidth than binary batches; batching is a candidate for a later version. Supporting several schema versions adds testing and deprecation effort.</w:t>
            </w:r>
          </w:p>
        </w:tc>
      </w:tr>
      <w:tr>
        <w:trPr>
          <w:tblHeader w:val="off"/>
        </w:trPr>
        <w:tc>
          <w:tcPr>
            <w:tcW w:type="dxa" w:w="18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Compliance</w:t>
            </w:r>
          </w:p>
        </w:tc>
        <w:tc>
          <w:tcPr>
            <w:tcW w:type="dxa" w:w="78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Contract tests verify 201, 200, 409 and 422 behaviour for each schema version. Gateway certification checks unit mapping and readingId stability before field deployment.</w:t>
            </w:r>
          </w:p>
        </w:tc>
      </w:tr>
    </w:tbl>
    <w:p>
      <w:pPr>
        <w:spacing w:after="120" w:before="80"/>
      </w:pPr>
      <w:r>
        <w:rPr>
          <w:rFonts w:ascii="Calibri" w:cs="Calibri" w:eastAsia="Calibri" w:hAnsi="Calibri"/>
          <w:b/>
          <w:bCs/>
          <w:color w:val="183047"/>
          <w:sz w:val="19"/>
          <w:szCs w:val="19"/>
        </w:rPr>
        <w:t xml:space="preserve">Traceability: </w:t>
      </w:r>
      <w:r>
        <w:rPr>
          <w:rFonts w:ascii="Calibri" w:cs="Calibri" w:eastAsia="Calibri" w:hAnsi="Calibri"/>
          <w:color w:val="183047"/>
          <w:sz w:val="19"/>
          <w:szCs w:val="19"/>
        </w:rPr>
        <w:t xml:space="preserve">Interoperability (top-three driving QA); ASR1, ASR3, ASR5, ASR15, ASR16; constraints C2 and C3. Event fields satisfy the team integration contract (stable reading ID, farm ID, device ID, UTC time, metric, value, unit, schema version). Enables ADR-02 idempotent replay; complements ADR-04.</w:t>
      </w:r>
    </w:p>
    <w:p>
      <w:pPr>
        <w:pStyle w:val="Heading1"/>
        <w:pageBreakBefore/>
        <w:spacing w:after="120"/>
      </w:pPr>
      <w:r>
        <w:rPr>
          <w:rFonts w:ascii="Calibri" w:cs="Calibri" w:eastAsia="Calibri" w:hAnsi="Calibri"/>
          <w:b/>
          <w:bCs/>
          <w:color w:val="183047"/>
          <w:sz w:val="30"/>
          <w:szCs w:val="30"/>
        </w:rPr>
        <w:t xml:space="preserve">Telemetry component view</w:t>
      </w:r>
    </w:p>
    <w:p>
      <w:pPr>
        <w:spacing w:after="160" w:before="60"/>
      </w:pPr>
      <w:r>
        <w:rPr>
          <w:rFonts w:ascii="Calibri" w:cs="Calibri" w:eastAsia="Calibri" w:hAnsi="Calibri"/>
          <w:b/>
          <w:bCs/>
          <w:color w:val="183047"/>
          <w:sz w:val="19"/>
          <w:szCs w:val="19"/>
        </w:rPr>
        <w:t xml:space="preserve">Figure 5 OzAgriMate Telemetry C4 Component Diagram</w:t>
      </w:r>
    </w:p>
    <w:p>
      <w:pPr>
        <w:spacing w:after="60"/>
      </w:pPr>
      <w:r>
        <w:drawing>
          <wp:inline distT="0" distB="0" distL="0" distR="0">
            <wp:extent cx="6115050" cy="5448300"/>
            <wp:effectExtent t="0" r="0" b="0" l="0"/>
            <wp:docPr id="1" name="diagrams/Telemetry_Components.png" descr="diagrams/Telemetry_Components.png" title="diagrams/Telemetry_Compon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15050" cy="5448300"/>
                    </a:xfrm>
                    <a:prstGeom prst="rect">
                      <a:avLst/>
                    </a:prstGeom>
                  </pic:spPr>
                </pic:pic>
              </a:graphicData>
            </a:graphic>
          </wp:inline>
        </w:drawing>
      </w:r>
    </w:p>
    <w:p>
      <w:pPr>
        <w:spacing w:after="120" w:before="120"/>
      </w:pPr>
      <w:r>
        <w:rPr>
          <w:rFonts w:ascii="Calibri" w:cs="Calibri" w:eastAsia="Calibri" w:hAnsi="Calibri"/>
          <w:color w:val="183047"/>
          <w:sz w:val="21"/>
          <w:szCs w:val="21"/>
        </w:rPr>
        <w:t xml:space="preserve">The view decomposes the Telemetry container into the modules implemented in services/telemetry/, so diagram and repository correspond one-to-one. Field-protocol adaptation happens on the Farm Edge Gateway (ADR-06), so Telemetry contains no vendor adapters. Interactions with the Event Broker and consuming services are dashed because no broker is deployed.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4038"/>
      </w:tblGrid>
      <w:tr>
        <w:trPr>
          <w:tblHeader/>
        </w:trPr>
        <w:tc>
          <w:tcPr>
            <w:tcW w:type="dxa" w:w="3000"/>
            <w:tcBorders>
              <w:top w:val="single" w:color="9BB0C0" w:sz="4"/>
              <w:left w:val="single" w:color="9BB0C0" w:sz="4"/>
              <w:bottom w:val="single" w:color="9BB0C0" w:sz="4"/>
              <w:right w:val="single" w:color="9BB0C0" w:sz="4"/>
            </w:tcBorders>
            <w:shd w:fill="D9EBFA" w:color="auto" w:val="clear"/>
            <w:tcMar>
              <w:top w:type="dxa" w:w="60"/>
              <w:left w:type="dxa" w:w="90"/>
              <w:bottom w:type="dxa" w:w="60"/>
              <w:right w:type="dxa" w:w="90"/>
            </w:tcMar>
          </w:tcPr>
          <w:p>
            <w:r>
              <w:rPr>
                <w:rFonts w:ascii="Calibri" w:cs="Calibri" w:eastAsia="Calibri" w:hAnsi="Calibri"/>
                <w:b/>
                <w:bCs/>
                <w:color w:val="183047"/>
                <w:sz w:val="18"/>
                <w:szCs w:val="18"/>
              </w:rPr>
              <w:t xml:space="preserve">Component</w:t>
            </w:r>
          </w:p>
        </w:tc>
        <w:tc>
          <w:tcPr>
            <w:tcW w:type="dxa" w:w="2600"/>
            <w:tcBorders>
              <w:top w:val="single" w:color="9BB0C0" w:sz="4"/>
              <w:left w:val="single" w:color="9BB0C0" w:sz="4"/>
              <w:bottom w:val="single" w:color="9BB0C0" w:sz="4"/>
              <w:right w:val="single" w:color="9BB0C0" w:sz="4"/>
            </w:tcBorders>
            <w:shd w:fill="D9EBFA" w:color="auto" w:val="clear"/>
            <w:tcMar>
              <w:top w:type="dxa" w:w="60"/>
              <w:left w:type="dxa" w:w="90"/>
              <w:bottom w:type="dxa" w:w="60"/>
              <w:right w:type="dxa" w:w="90"/>
            </w:tcMar>
          </w:tcPr>
          <w:p>
            <w:r>
              <w:rPr>
                <w:rFonts w:ascii="Calibri" w:cs="Calibri" w:eastAsia="Calibri" w:hAnsi="Calibri"/>
                <w:b/>
                <w:bCs/>
                <w:color w:val="183047"/>
                <w:sz w:val="18"/>
                <w:szCs w:val="18"/>
              </w:rPr>
              <w:t xml:space="preserve">Module</w:t>
            </w:r>
          </w:p>
        </w:tc>
        <w:tc>
          <w:tcPr>
            <w:tcW w:type="dxa" w:w="4038"/>
            <w:tcBorders>
              <w:top w:val="single" w:color="9BB0C0" w:sz="4"/>
              <w:left w:val="single" w:color="9BB0C0" w:sz="4"/>
              <w:bottom w:val="single" w:color="9BB0C0" w:sz="4"/>
              <w:right w:val="single" w:color="9BB0C0" w:sz="4"/>
            </w:tcBorders>
            <w:shd w:fill="D9EBFA" w:color="auto" w:val="clear"/>
            <w:tcMar>
              <w:top w:type="dxa" w:w="60"/>
              <w:left w:type="dxa" w:w="90"/>
              <w:bottom w:type="dxa" w:w="60"/>
              <w:right w:type="dxa" w:w="90"/>
            </w:tcMar>
          </w:tcPr>
          <w:p>
            <w:r>
              <w:rPr>
                <w:rFonts w:ascii="Calibri" w:cs="Calibri" w:eastAsia="Calibri" w:hAnsi="Calibri"/>
                <w:b/>
                <w:bCs/>
                <w:color w:val="183047"/>
                <w:sz w:val="18"/>
                <w:szCs w:val="18"/>
              </w:rPr>
              <w:t xml:space="preserve">Responsibility</w:t>
            </w:r>
          </w:p>
        </w:tc>
      </w:tr>
      <w:tr>
        <w:trPr>
          <w:tblHeader w:val="off"/>
        </w:trPr>
        <w:tc>
          <w:tcPr>
            <w:tcW w:type="dxa" w:w="30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HTTP Server</w:t>
            </w:r>
          </w:p>
        </w:tc>
        <w:tc>
          <w:tcPr>
            <w:tcW w:type="dxa" w:w="26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app.py</w:t>
            </w:r>
          </w:p>
        </w:tc>
        <w:tc>
          <w:tcPr>
            <w:tcW w:type="dxa" w:w="40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Local HTTP transport and composition root, port 8002</w:t>
            </w:r>
          </w:p>
        </w:tc>
      </w:tr>
      <w:tr>
        <w:trPr>
          <w:tblHeader w:val="off"/>
        </w:trPr>
        <w:tc>
          <w:tcPr>
            <w:tcW w:type="dxa" w:w="30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Telemetry REST Controller</w:t>
            </w:r>
          </w:p>
        </w:tc>
        <w:tc>
          <w:tcPr>
            <w:tcW w:type="dxa" w:w="26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api.py</w:t>
            </w:r>
          </w:p>
        </w:tc>
        <w:tc>
          <w:tcPr>
            <w:tcW w:type="dxa" w:w="40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Routes POST and GET telemetry; maps errors to the JSON envelope</w:t>
            </w:r>
          </w:p>
        </w:tc>
      </w:tr>
      <w:tr>
        <w:trPr>
          <w:tblHeader w:val="off"/>
        </w:trPr>
        <w:tc>
          <w:tcPr>
            <w:tcW w:type="dxa" w:w="30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Identity Adapter</w:t>
            </w:r>
          </w:p>
        </w:tc>
        <w:tc>
          <w:tcPr>
            <w:tcW w:type="dxa" w:w="26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security.py</w:t>
            </w:r>
          </w:p>
        </w:tc>
        <w:tc>
          <w:tcPr>
            <w:tcW w:type="dxa" w:w="40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Resolves user or gateway principal (demonstration fixtures)</w:t>
            </w:r>
          </w:p>
        </w:tc>
      </w:tr>
      <w:tr>
        <w:trPr>
          <w:tblHeader w:val="off"/>
        </w:trPr>
        <w:tc>
          <w:tcPr>
            <w:tcW w:type="dxa" w:w="30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Telemetry Ingestion Service</w:t>
            </w:r>
          </w:p>
        </w:tc>
        <w:tc>
          <w:tcPr>
            <w:tcW w:type="dxa" w:w="26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ingestion_service.py</w:t>
            </w:r>
          </w:p>
        </w:tc>
        <w:tc>
          <w:tcPr>
            <w:tcW w:type="dxa" w:w="40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Authorise, validate, de-duplicate, classify, store, publish</w:t>
            </w:r>
          </w:p>
        </w:tc>
      </w:tr>
      <w:tr>
        <w:trPr>
          <w:tblHeader w:val="off"/>
        </w:trPr>
        <w:tc>
          <w:tcPr>
            <w:tcW w:type="dxa" w:w="30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Telemetry Query Service</w:t>
            </w:r>
          </w:p>
        </w:tc>
        <w:tc>
          <w:tcPr>
            <w:tcW w:type="dxa" w:w="26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query_service.py</w:t>
            </w:r>
          </w:p>
        </w:tc>
        <w:tc>
          <w:tcPr>
            <w:tcW w:type="dxa" w:w="40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Farm-scoped filtered reads capped at 500 rows</w:t>
            </w:r>
          </w:p>
        </w:tc>
      </w:tr>
      <w:tr>
        <w:trPr>
          <w:tblHeader w:val="off"/>
        </w:trPr>
        <w:tc>
          <w:tcPr>
            <w:tcW w:type="dxa" w:w="30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Farm Access Read Model</w:t>
            </w:r>
          </w:p>
        </w:tc>
        <w:tc>
          <w:tcPr>
            <w:tcW w:type="dxa" w:w="26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farm_access.py</w:t>
            </w:r>
          </w:p>
        </w:tc>
        <w:tc>
          <w:tcPr>
            <w:tcW w:type="dxa" w:w="40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Local copy of farms, grants and gateway bindings</w:t>
            </w:r>
          </w:p>
        </w:tc>
      </w:tr>
      <w:tr>
        <w:trPr>
          <w:tblHeader w:val="off"/>
        </w:trPr>
        <w:tc>
          <w:tcPr>
            <w:tcW w:type="dxa" w:w="30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Reading Model / Validator</w:t>
            </w:r>
          </w:p>
        </w:tc>
        <w:tc>
          <w:tcPr>
            <w:tcW w:type="dxa" w:w="26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models.py</w:t>
            </w:r>
          </w:p>
        </w:tc>
        <w:tc>
          <w:tcPr>
            <w:tcW w:type="dxa" w:w="40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Schema v1 contract, units, ranges and timestamps</w:t>
            </w:r>
          </w:p>
        </w:tc>
      </w:tr>
      <w:tr>
        <w:trPr>
          <w:tblHeader w:val="off"/>
        </w:trPr>
        <w:tc>
          <w:tcPr>
            <w:tcW w:type="dxa" w:w="30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Anomaly Detector</w:t>
            </w:r>
          </w:p>
        </w:tc>
        <w:tc>
          <w:tcPr>
            <w:tcW w:type="dxa" w:w="26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anomaly_detector.py</w:t>
            </w:r>
          </w:p>
        </w:tc>
        <w:tc>
          <w:tcPr>
            <w:tcW w:type="dxa" w:w="40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Spike and plausibility checks; quarantine reasons</w:t>
            </w:r>
          </w:p>
        </w:tc>
      </w:tr>
      <w:tr>
        <w:trPr>
          <w:tblHeader w:val="off"/>
        </w:trPr>
        <w:tc>
          <w:tcPr>
            <w:tcW w:type="dxa" w:w="30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Telemetry Repository</w:t>
            </w:r>
          </w:p>
        </w:tc>
        <w:tc>
          <w:tcPr>
            <w:tcW w:type="dxa" w:w="26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repository.py</w:t>
            </w:r>
          </w:p>
        </w:tc>
        <w:tc>
          <w:tcPr>
            <w:tcW w:type="dxa" w:w="40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Per-farm partitions keyed by readingId</w:t>
            </w:r>
          </w:p>
        </w:tc>
      </w:tr>
      <w:tr>
        <w:trPr>
          <w:tblHeader w:val="off"/>
        </w:trPr>
        <w:tc>
          <w:tcPr>
            <w:tcW w:type="dxa" w:w="30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Accepted Reading Publisher</w:t>
            </w:r>
          </w:p>
        </w:tc>
        <w:tc>
          <w:tcPr>
            <w:tcW w:type="dxa" w:w="26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event_publisher.py</w:t>
            </w:r>
          </w:p>
        </w:tc>
        <w:tc>
          <w:tcPr>
            <w:tcW w:type="dxa" w:w="40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Outbox of ReadingAccepted events, partitioned by farmId</w:t>
            </w:r>
          </w:p>
        </w:tc>
      </w:tr>
    </w:tbl>
    <w:p>
      <w:pPr>
        <w:sectPr>
          <w:footerReference w:type="default" r:id="rId6"/>
          <w:pgSz w:w="11906" w:h="16838" w:orient="portrait"/>
          <w:pgMar w:top="1134" w:right="1134" w:bottom="1134" w:left="1134" w:header="708" w:footer="708" w:gutter="0"/>
          <w:pgNumType/>
          <w:docGrid w:linePitch="360"/>
        </w:sectPr>
      </w:pPr>
    </w:p>
    <w:p>
      <w:pPr>
        <w:pStyle w:val="Heading1"/>
        <w:spacing w:after="120" w:before="280"/>
      </w:pPr>
      <w:r>
        <w:rPr>
          <w:rFonts w:ascii="Calibri" w:cs="Calibri" w:eastAsia="Calibri" w:hAnsi="Calibri"/>
          <w:b/>
          <w:bCs/>
          <w:color w:val="183047"/>
          <w:sz w:val="30"/>
          <w:szCs w:val="30"/>
        </w:rPr>
        <w:t xml:space="preserve">Runtime view: telemetry submission and processing</w:t>
      </w:r>
    </w:p>
    <w:p>
      <w:pPr>
        <w:spacing w:after="160" w:before="60"/>
      </w:pPr>
      <w:r>
        <w:rPr>
          <w:rFonts w:ascii="Calibri" w:cs="Calibri" w:eastAsia="Calibri" w:hAnsi="Calibri"/>
          <w:b/>
          <w:bCs/>
          <w:color w:val="183047"/>
          <w:sz w:val="19"/>
          <w:szCs w:val="19"/>
        </w:rPr>
        <w:t xml:space="preserve">Figure 6 OzAgriMate Runtime Diagram 1: telemetry submission and processing (UML sequence)</w:t>
      </w:r>
    </w:p>
    <w:p>
      <w:pPr>
        <w:spacing w:after="60" w:before="0"/>
      </w:pPr>
      <w:r>
        <w:rPr>
          <w:rFonts w:ascii="Calibri" w:cs="Calibri" w:eastAsia="Calibri" w:hAnsi="Calibri"/>
          <w:b/>
          <w:bCs/>
          <w:color w:val="183047"/>
          <w:sz w:val="21"/>
          <w:szCs w:val="21"/>
        </w:rPr>
        <w:t xml:space="preserve">Interaction flow: </w:t>
      </w:r>
      <w:r>
        <w:rPr>
          <w:rFonts w:ascii="Calibri" w:cs="Calibri" w:eastAsia="Calibri" w:hAnsi="Calibri"/>
          <w:color w:val="183047"/>
          <w:sz w:val="21"/>
          <w:szCs w:val="21"/>
        </w:rPr>
        <w:t xml:space="preserve">Gateway submits normalised reading; Telemetry authorises, validates, de-duplicates and classifies it, stores it, then publishes accepted readings asynchronously.</w:t>
      </w:r>
    </w:p>
    <w:p>
      <w:pPr>
        <w:spacing w:after="60"/>
      </w:pPr>
      <w:r>
        <w:drawing>
          <wp:inline distT="0" distB="0" distL="0" distR="0">
            <wp:extent cx="6810375" cy="5695950"/>
            <wp:effectExtent t="0" r="0" b="0" l="0"/>
            <wp:docPr id="2" name="diagrams/Telemetry_Runtime.png" descr="diagrams/Telemetry_Runtime.png" title="diagrams/Telemetry_Run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810375" cy="5695950"/>
                    </a:xfrm>
                    <a:prstGeom prst="rect">
                      <a:avLst/>
                    </a:prstGeom>
                  </pic:spPr>
                </pic:pic>
              </a:graphicData>
            </a:graphic>
          </wp:inline>
        </w:drawing>
      </w:r>
    </w:p>
    <w:p>
      <w:pPr>
        <w:sectPr>
          <w:footerReference w:type="default" r:id="rId7"/>
          <w:pgSz w:w="16838" w:h="11906" w:orient="landscape"/>
          <w:pgMar w:top="500" w:right="700" w:bottom="500" w:left="700" w:header="708" w:footer="708" w:gutter="0"/>
          <w:pgNumType/>
          <w:docGrid w:linePitch="360"/>
        </w:sectPr>
      </w:pPr>
    </w:p>
    <w:p>
      <w:pPr>
        <w:pStyle w:val="Heading1"/>
        <w:spacing w:after="120" w:before="280"/>
      </w:pPr>
      <w:r>
        <w:rPr>
          <w:rFonts w:ascii="Calibri" w:cs="Calibri" w:eastAsia="Calibri" w:hAnsi="Calibri"/>
          <w:b/>
          <w:bCs/>
          <w:color w:val="183047"/>
          <w:sz w:val="30"/>
          <w:szCs w:val="30"/>
        </w:rPr>
        <w:t xml:space="preserve">Telemetry API design</w:t>
      </w:r>
    </w:p>
    <w:p>
      <w:pPr>
        <w:spacing w:after="120" w:before="0"/>
      </w:pPr>
      <w:r>
        <w:rPr>
          <w:rFonts w:ascii="Calibri" w:cs="Calibri" w:eastAsia="Calibri" w:hAnsi="Calibri"/>
          <w:color w:val="183047"/>
          <w:sz w:val="21"/>
          <w:szCs w:val="21"/>
        </w:rPr>
        <w:t xml:space="preserve">Paths follow the team integration contract. Production versioning is proposed as /api/v1 at the gateway; the prototype exposes the unprefixed service paths at http://127.0.0.1:8002.</w:t>
      </w:r>
    </w:p>
    <w:p>
      <w:pPr>
        <w:pStyle w:val="Heading2"/>
        <w:spacing w:after="100" w:before="200"/>
      </w:pPr>
      <w:r>
        <w:rPr>
          <w:rFonts w:ascii="Calibri" w:cs="Calibri" w:eastAsia="Calibri" w:hAnsi="Calibri"/>
          <w:b/>
          <w:bCs/>
          <w:color w:val="183047"/>
          <w:sz w:val="24"/>
          <w:szCs w:val="24"/>
        </w:rPr>
        <w:t xml:space="preserve">POST /farms/{farmId}/telemetry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9BB0C0" w:sz="4"/>
              <w:left w:val="single" w:color="9BB0C0" w:sz="4"/>
              <w:bottom w:val="single" w:color="9BB0C0" w:sz="4"/>
              <w:right w:val="single" w:color="9BB0C0" w:sz="4"/>
            </w:tcBorders>
            <w:shd w:fill="D9EBFA" w:color="auto" w:val="clear"/>
            <w:tcMar>
              <w:top w:type="dxa" w:w="60"/>
              <w:left w:type="dxa" w:w="90"/>
              <w:bottom w:type="dxa" w:w="60"/>
              <w:right w:type="dxa" w:w="90"/>
            </w:tcMar>
          </w:tcPr>
          <w:p>
            <w:r>
              <w:rPr>
                <w:rFonts w:ascii="Calibri" w:cs="Calibri" w:eastAsia="Calibri" w:hAnsi="Calibri"/>
                <w:color w:val="183047"/>
                <w:sz w:val="18"/>
                <w:szCs w:val="18"/>
              </w:rPr>
              <w:t xml:space="preserve">Specification</w:t>
            </w:r>
          </w:p>
        </w:tc>
        <w:tc>
          <w:tcPr>
            <w:tcW w:type="dxa" w:w="7438"/>
            <w:tcBorders>
              <w:top w:val="single" w:color="9BB0C0" w:sz="4"/>
              <w:left w:val="single" w:color="9BB0C0" w:sz="4"/>
              <w:bottom w:val="single" w:color="9BB0C0" w:sz="4"/>
              <w:right w:val="single" w:color="9BB0C0" w:sz="4"/>
            </w:tcBorders>
            <w:shd w:fill="D9EBFA" w:color="auto" w:val="clear"/>
            <w:tcMar>
              <w:top w:type="dxa" w:w="60"/>
              <w:left w:type="dxa" w:w="90"/>
              <w:bottom w:type="dxa" w:w="60"/>
              <w:right w:type="dxa" w:w="90"/>
            </w:tcMar>
          </w:tcPr>
          <w:p>
            <w:r>
              <w:rPr>
                <w:rFonts w:ascii="Calibri" w:cs="Calibri" w:eastAsia="Calibri" w:hAnsi="Calibri"/>
                <w:color w:val="183047"/>
                <w:sz w:val="18"/>
                <w:szCs w:val="18"/>
              </w:rPr>
              <w:t xml:space="preserve">Value</w:t>
            </w:r>
          </w:p>
        </w:tc>
      </w:tr>
      <w:tr>
        <w:tc>
          <w:tcPr>
            <w:tcW w:type="dxa" w:w="22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bCs/>
                <w:color w:val="183047"/>
                <w:sz w:val="18"/>
                <w:szCs w:val="18"/>
              </w:rPr>
              <w:t xml:space="preserve">HTTP Method</w:t>
            </w:r>
          </w:p>
        </w:tc>
        <w:tc>
          <w:tcPr>
            <w:tcW w:type="dxa" w:w="74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color w:val="183047"/>
                <w:sz w:val="18"/>
                <w:szCs w:val="18"/>
              </w:rPr>
              <w:t xml:space="preserve">POST</w:t>
            </w:r>
          </w:p>
        </w:tc>
      </w:tr>
      <w:tr>
        <w:tc>
          <w:tcPr>
            <w:tcW w:type="dxa" w:w="22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bCs/>
                <w:color w:val="183047"/>
                <w:sz w:val="18"/>
                <w:szCs w:val="18"/>
              </w:rPr>
              <w:t xml:space="preserve">Description</w:t>
            </w:r>
          </w:p>
        </w:tc>
        <w:tc>
          <w:tcPr>
            <w:tcW w:type="dxa" w:w="74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color w:val="183047"/>
                <w:sz w:val="18"/>
                <w:szCs w:val="18"/>
              </w:rPr>
              <w:t xml:space="preserve">Submit one sensor reading from a registered farm edge gateway</w:t>
            </w:r>
          </w:p>
        </w:tc>
      </w:tr>
      <w:tr>
        <w:tc>
          <w:tcPr>
            <w:tcW w:type="dxa" w:w="22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bCs/>
                <w:color w:val="183047"/>
                <w:sz w:val="18"/>
                <w:szCs w:val="18"/>
              </w:rPr>
              <w:t xml:space="preserve">Endpoint URL</w:t>
            </w:r>
          </w:p>
        </w:tc>
        <w:tc>
          <w:tcPr>
            <w:tcW w:type="dxa" w:w="74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color w:val="183047"/>
                <w:sz w:val="18"/>
                <w:szCs w:val="18"/>
              </w:rPr>
              <w:t xml:space="preserve">/farms/{farmId}/telemetry</w:t>
            </w:r>
          </w:p>
        </w:tc>
      </w:tr>
      <w:tr>
        <w:tc>
          <w:tcPr>
            <w:tcW w:type="dxa" w:w="22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bCs/>
                <w:color w:val="183047"/>
                <w:sz w:val="18"/>
                <w:szCs w:val="18"/>
              </w:rPr>
              <w:t xml:space="preserve">Sample Request Body</w:t>
            </w:r>
          </w:p>
        </w:tc>
        <w:tc>
          <w:tcPr>
            <w:tcW w:type="dxa" w:w="74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onsolas" w:cs="Consolas" w:eastAsia="Consolas" w:hAnsi="Consolas"/>
                <w:color w:val="183047"/>
                <w:sz w:val="17"/>
                <w:szCs w:val="17"/>
              </w:rPr>
              <w:t xml:space="preserve">{</w:t>
            </w:r>
          </w:p>
          <w:p>
            <w:r>
              <w:rPr>
                <w:rFonts w:ascii="Consolas" w:cs="Consolas" w:eastAsia="Consolas" w:hAnsi="Consolas"/>
                <w:color w:val="183047"/>
                <w:sz w:val="17"/>
                <w:szCs w:val="17"/>
              </w:rPr>
              <w:t xml:space="preserve"> "schemaVersion": 1,</w:t>
            </w:r>
          </w:p>
          <w:p>
            <w:r>
              <w:rPr>
                <w:rFonts w:ascii="Consolas" w:cs="Consolas" w:eastAsia="Consolas" w:hAnsi="Consolas"/>
                <w:color w:val="183047"/>
                <w:sz w:val="17"/>
                <w:szCs w:val="17"/>
              </w:rPr>
              <w:t xml:space="preserve"> "readingId": "sm-north-01-20261023T2045Z",</w:t>
            </w:r>
          </w:p>
          <w:p>
            <w:r>
              <w:rPr>
                <w:rFonts w:ascii="Consolas" w:cs="Consolas" w:eastAsia="Consolas" w:hAnsi="Consolas"/>
                <w:color w:val="183047"/>
                <w:sz w:val="17"/>
                <w:szCs w:val="17"/>
              </w:rPr>
              <w:t xml:space="preserve"> "deviceId": "sm-north-01",</w:t>
            </w:r>
          </w:p>
          <w:p>
            <w:r>
              <w:rPr>
                <w:rFonts w:ascii="Consolas" w:cs="Consolas" w:eastAsia="Consolas" w:hAnsi="Consolas"/>
                <w:color w:val="183047"/>
                <w:sz w:val="17"/>
                <w:szCs w:val="17"/>
              </w:rPr>
              <w:t xml:space="preserve"> "paddockId": "north-paddock",</w:t>
            </w:r>
          </w:p>
          <w:p>
            <w:r>
              <w:rPr>
                <w:rFonts w:ascii="Consolas" w:cs="Consolas" w:eastAsia="Consolas" w:hAnsi="Consolas"/>
                <w:color w:val="183047"/>
                <w:sz w:val="17"/>
                <w:szCs w:val="17"/>
              </w:rPr>
              <w:t xml:space="preserve"> "metric": "soilMoisture",</w:t>
            </w:r>
          </w:p>
          <w:p>
            <w:r>
              <w:rPr>
                <w:rFonts w:ascii="Consolas" w:cs="Consolas" w:eastAsia="Consolas" w:hAnsi="Consolas"/>
                <w:color w:val="183047"/>
                <w:sz w:val="17"/>
                <w:szCs w:val="17"/>
              </w:rPr>
              <w:t xml:space="preserve"> "value": 29.7,</w:t>
            </w:r>
          </w:p>
          <w:p>
            <w:r>
              <w:rPr>
                <w:rFonts w:ascii="Consolas" w:cs="Consolas" w:eastAsia="Consolas" w:hAnsi="Consolas"/>
                <w:color w:val="183047"/>
                <w:sz w:val="17"/>
                <w:szCs w:val="17"/>
              </w:rPr>
              <w:t xml:space="preserve"> "unit": "%",</w:t>
            </w:r>
          </w:p>
          <w:p>
            <w:r>
              <w:rPr>
                <w:rFonts w:ascii="Consolas" w:cs="Consolas" w:eastAsia="Consolas" w:hAnsi="Consolas"/>
                <w:color w:val="183047"/>
                <w:sz w:val="17"/>
                <w:szCs w:val="17"/>
              </w:rPr>
              <w:t xml:space="preserve"> "observedAt": "2026-10-23T20:45:00Z"</w:t>
            </w:r>
          </w:p>
          <w:p>
            <w:r>
              <w:rPr>
                <w:rFonts w:ascii="Consolas" w:cs="Consolas" w:eastAsia="Consolas" w:hAnsi="Consolas"/>
                <w:color w:val="183047"/>
                <w:sz w:val="17"/>
                <w:szCs w:val="17"/>
              </w:rPr>
              <w:t xml:space="preserve">}</w:t>
            </w:r>
          </w:p>
        </w:tc>
      </w:tr>
      <w:tr>
        <w:tc>
          <w:tcPr>
            <w:tcW w:type="dxa" w:w="22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bCs/>
                <w:color w:val="183047"/>
                <w:sz w:val="18"/>
                <w:szCs w:val="18"/>
              </w:rPr>
              <w:t xml:space="preserve">Sample Response Body</w:t>
            </w:r>
          </w:p>
        </w:tc>
        <w:tc>
          <w:tcPr>
            <w:tcW w:type="dxa" w:w="74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onsolas" w:cs="Consolas" w:eastAsia="Consolas" w:hAnsi="Consolas"/>
                <w:color w:val="183047"/>
                <w:sz w:val="17"/>
                <w:szCs w:val="17"/>
              </w:rPr>
              <w:t xml:space="preserve">{</w:t>
            </w:r>
          </w:p>
          <w:p>
            <w:r>
              <w:rPr>
                <w:rFonts w:ascii="Consolas" w:cs="Consolas" w:eastAsia="Consolas" w:hAnsi="Consolas"/>
                <w:color w:val="183047"/>
                <w:sz w:val="17"/>
                <w:szCs w:val="17"/>
              </w:rPr>
              <w:t xml:space="preserve"> "readingId": "sm-north-01-20261023T2045Z",</w:t>
            </w:r>
          </w:p>
          <w:p>
            <w:r>
              <w:rPr>
                <w:rFonts w:ascii="Consolas" w:cs="Consolas" w:eastAsia="Consolas" w:hAnsi="Consolas"/>
                <w:color w:val="183047"/>
                <w:sz w:val="17"/>
                <w:szCs w:val="17"/>
              </w:rPr>
              <w:t xml:space="preserve"> "farmId": "farm-001",</w:t>
            </w:r>
          </w:p>
          <w:p>
            <w:r>
              <w:rPr>
                <w:rFonts w:ascii="Consolas" w:cs="Consolas" w:eastAsia="Consolas" w:hAnsi="Consolas"/>
                <w:color w:val="183047"/>
                <w:sz w:val="17"/>
                <w:szCs w:val="17"/>
              </w:rPr>
              <w:t xml:space="preserve"> "deviceId": "sm-north-01",</w:t>
            </w:r>
          </w:p>
          <w:p>
            <w:r>
              <w:rPr>
                <w:rFonts w:ascii="Consolas" w:cs="Consolas" w:eastAsia="Consolas" w:hAnsi="Consolas"/>
                <w:color w:val="183047"/>
                <w:sz w:val="17"/>
                <w:szCs w:val="17"/>
              </w:rPr>
              <w:t xml:space="preserve"> "paddockId": "north-paddock",</w:t>
            </w:r>
          </w:p>
          <w:p>
            <w:r>
              <w:rPr>
                <w:rFonts w:ascii="Consolas" w:cs="Consolas" w:eastAsia="Consolas" w:hAnsi="Consolas"/>
                <w:color w:val="183047"/>
                <w:sz w:val="17"/>
                <w:szCs w:val="17"/>
              </w:rPr>
              <w:t xml:space="preserve"> "metric": "soilMoisture",</w:t>
            </w:r>
          </w:p>
          <w:p>
            <w:r>
              <w:rPr>
                <w:rFonts w:ascii="Consolas" w:cs="Consolas" w:eastAsia="Consolas" w:hAnsi="Consolas"/>
                <w:color w:val="183047"/>
                <w:sz w:val="17"/>
                <w:szCs w:val="17"/>
              </w:rPr>
              <w:t xml:space="preserve"> "value": 29.7,</w:t>
            </w:r>
          </w:p>
          <w:p>
            <w:r>
              <w:rPr>
                <w:rFonts w:ascii="Consolas" w:cs="Consolas" w:eastAsia="Consolas" w:hAnsi="Consolas"/>
                <w:color w:val="183047"/>
                <w:sz w:val="17"/>
                <w:szCs w:val="17"/>
              </w:rPr>
              <w:t xml:space="preserve"> "unit": "%",</w:t>
            </w:r>
          </w:p>
          <w:p>
            <w:r>
              <w:rPr>
                <w:rFonts w:ascii="Consolas" w:cs="Consolas" w:eastAsia="Consolas" w:hAnsi="Consolas"/>
                <w:color w:val="183047"/>
                <w:sz w:val="17"/>
                <w:szCs w:val="17"/>
              </w:rPr>
              <w:t xml:space="preserve"> "observedAt": "2026-10-23T20:45:00Z",</w:t>
            </w:r>
          </w:p>
          <w:p>
            <w:r>
              <w:rPr>
                <w:rFonts w:ascii="Consolas" w:cs="Consolas" w:eastAsia="Consolas" w:hAnsi="Consolas"/>
                <w:color w:val="183047"/>
                <w:sz w:val="17"/>
                <w:szCs w:val="17"/>
              </w:rPr>
              <w:t xml:space="preserve"> "receivedAt": "2026-10-24T12:06:37Z",</w:t>
            </w:r>
          </w:p>
          <w:p>
            <w:r>
              <w:rPr>
                <w:rFonts w:ascii="Consolas" w:cs="Consolas" w:eastAsia="Consolas" w:hAnsi="Consolas"/>
                <w:color w:val="183047"/>
                <w:sz w:val="17"/>
                <w:szCs w:val="17"/>
              </w:rPr>
              <w:t xml:space="preserve"> "status": "ACCEPTED",</w:t>
            </w:r>
          </w:p>
          <w:p>
            <w:r>
              <w:rPr>
                <w:rFonts w:ascii="Consolas" w:cs="Consolas" w:eastAsia="Consolas" w:hAnsi="Consolas"/>
                <w:color w:val="183047"/>
                <w:sz w:val="17"/>
                <w:szCs w:val="17"/>
              </w:rPr>
              <w:t xml:space="preserve"> "quarantineReasons": [],</w:t>
            </w:r>
          </w:p>
          <w:p>
            <w:r>
              <w:rPr>
                <w:rFonts w:ascii="Consolas" w:cs="Consolas" w:eastAsia="Consolas" w:hAnsi="Consolas"/>
                <w:color w:val="183047"/>
                <w:sz w:val="17"/>
                <w:szCs w:val="17"/>
              </w:rPr>
              <w:t xml:space="preserve"> "schemaVersion": 1</w:t>
            </w:r>
          </w:p>
          <w:p>
            <w:r>
              <w:rPr>
                <w:rFonts w:ascii="Consolas" w:cs="Consolas" w:eastAsia="Consolas" w:hAnsi="Consolas"/>
                <w:color w:val="183047"/>
                <w:sz w:val="17"/>
                <w:szCs w:val="17"/>
              </w:rPr>
              <w:t xml:space="preserve">}</w:t>
            </w:r>
          </w:p>
        </w:tc>
      </w:tr>
      <w:tr>
        <w:tc>
          <w:tcPr>
            <w:tcW w:type="dxa" w:w="22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bCs/>
                <w:color w:val="183047"/>
                <w:sz w:val="18"/>
                <w:szCs w:val="18"/>
              </w:rPr>
              <w:t xml:space="preserve">Success status</w:t>
            </w:r>
          </w:p>
        </w:tc>
        <w:tc>
          <w:tcPr>
            <w:tcW w:type="dxa" w:w="74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color w:val="183047"/>
                <w:sz w:val="18"/>
                <w:szCs w:val="18"/>
              </w:rPr>
              <w:t xml:space="preserve">201 Created (new reading); 200 OK (identical replay returns the original record)</w:t>
            </w:r>
          </w:p>
        </w:tc>
      </w:tr>
    </w:tbl>
    <w:p>
      <w:pPr>
        <w:pStyle w:val="Heading2"/>
        <w:spacing w:after="100" w:before="200"/>
      </w:pPr>
      <w:r>
        <w:rPr>
          <w:rFonts w:ascii="Calibri" w:cs="Calibri" w:eastAsia="Calibri" w:hAnsi="Calibri"/>
          <w:b/>
          <w:bCs/>
          <w:color w:val="183047"/>
          <w:sz w:val="24"/>
          <w:szCs w:val="24"/>
        </w:rPr>
        <w:t xml:space="preserve">GET /farms/{farmId}/telemetry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9BB0C0" w:sz="4"/>
              <w:left w:val="single" w:color="9BB0C0" w:sz="4"/>
              <w:bottom w:val="single" w:color="9BB0C0" w:sz="4"/>
              <w:right w:val="single" w:color="9BB0C0" w:sz="4"/>
            </w:tcBorders>
            <w:shd w:fill="D9EBFA" w:color="auto" w:val="clear"/>
            <w:tcMar>
              <w:top w:type="dxa" w:w="60"/>
              <w:left w:type="dxa" w:w="90"/>
              <w:bottom w:type="dxa" w:w="60"/>
              <w:right w:type="dxa" w:w="90"/>
            </w:tcMar>
          </w:tcPr>
          <w:p>
            <w:r>
              <w:rPr>
                <w:rFonts w:ascii="Calibri" w:cs="Calibri" w:eastAsia="Calibri" w:hAnsi="Calibri"/>
                <w:color w:val="183047"/>
                <w:sz w:val="18"/>
                <w:szCs w:val="18"/>
              </w:rPr>
              <w:t xml:space="preserve">Specification</w:t>
            </w:r>
          </w:p>
        </w:tc>
        <w:tc>
          <w:tcPr>
            <w:tcW w:type="dxa" w:w="7438"/>
            <w:tcBorders>
              <w:top w:val="single" w:color="9BB0C0" w:sz="4"/>
              <w:left w:val="single" w:color="9BB0C0" w:sz="4"/>
              <w:bottom w:val="single" w:color="9BB0C0" w:sz="4"/>
              <w:right w:val="single" w:color="9BB0C0" w:sz="4"/>
            </w:tcBorders>
            <w:shd w:fill="D9EBFA" w:color="auto" w:val="clear"/>
            <w:tcMar>
              <w:top w:type="dxa" w:w="60"/>
              <w:left w:type="dxa" w:w="90"/>
              <w:bottom w:type="dxa" w:w="60"/>
              <w:right w:type="dxa" w:w="90"/>
            </w:tcMar>
          </w:tcPr>
          <w:p>
            <w:r>
              <w:rPr>
                <w:rFonts w:ascii="Calibri" w:cs="Calibri" w:eastAsia="Calibri" w:hAnsi="Calibri"/>
                <w:color w:val="183047"/>
                <w:sz w:val="18"/>
                <w:szCs w:val="18"/>
              </w:rPr>
              <w:t xml:space="preserve">Value</w:t>
            </w:r>
          </w:p>
        </w:tc>
      </w:tr>
      <w:tr>
        <w:tc>
          <w:tcPr>
            <w:tcW w:type="dxa" w:w="22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bCs/>
                <w:color w:val="183047"/>
                <w:sz w:val="18"/>
                <w:szCs w:val="18"/>
              </w:rPr>
              <w:t xml:space="preserve">HTTP Method</w:t>
            </w:r>
          </w:p>
        </w:tc>
        <w:tc>
          <w:tcPr>
            <w:tcW w:type="dxa" w:w="74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color w:val="183047"/>
                <w:sz w:val="18"/>
                <w:szCs w:val="18"/>
              </w:rPr>
              <w:t xml:space="preserve">GET</w:t>
            </w:r>
          </w:p>
        </w:tc>
      </w:tr>
      <w:tr>
        <w:tc>
          <w:tcPr>
            <w:tcW w:type="dxa" w:w="22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bCs/>
                <w:color w:val="183047"/>
                <w:sz w:val="18"/>
                <w:szCs w:val="18"/>
              </w:rPr>
              <w:t xml:space="preserve">Description</w:t>
            </w:r>
          </w:p>
        </w:tc>
        <w:tc>
          <w:tcPr>
            <w:tcW w:type="dxa" w:w="74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color w:val="183047"/>
                <w:sz w:val="18"/>
                <w:szCs w:val="18"/>
              </w:rPr>
              <w:t xml:space="preserve">List a farm's sensor readings with filters and limits</w:t>
            </w:r>
          </w:p>
        </w:tc>
      </w:tr>
      <w:tr>
        <w:tc>
          <w:tcPr>
            <w:tcW w:type="dxa" w:w="22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bCs/>
                <w:color w:val="183047"/>
                <w:sz w:val="18"/>
                <w:szCs w:val="18"/>
              </w:rPr>
              <w:t xml:space="preserve">Endpoint URL</w:t>
            </w:r>
          </w:p>
        </w:tc>
        <w:tc>
          <w:tcPr>
            <w:tcW w:type="dxa" w:w="74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color w:val="183047"/>
                <w:sz w:val="18"/>
                <w:szCs w:val="18"/>
              </w:rPr>
              <w:t xml:space="preserve">/farms/{farmId}/telemetry</w:t>
            </w:r>
          </w:p>
        </w:tc>
      </w:tr>
      <w:tr>
        <w:tc>
          <w:tcPr>
            <w:tcW w:type="dxa" w:w="22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bCs/>
                <w:color w:val="183047"/>
                <w:sz w:val="18"/>
                <w:szCs w:val="18"/>
              </w:rPr>
              <w:t xml:space="preserve">Sample Request Body</w:t>
            </w:r>
          </w:p>
        </w:tc>
        <w:tc>
          <w:tcPr>
            <w:tcW w:type="dxa" w:w="74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color w:val="183047"/>
                <w:sz w:val="18"/>
                <w:szCs w:val="18"/>
              </w:rPr>
              <w:t xml:space="preserve">N/A</w:t>
            </w:r>
          </w:p>
        </w:tc>
      </w:tr>
      <w:tr>
        <w:tc>
          <w:tcPr>
            <w:tcW w:type="dxa" w:w="22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bCs/>
                <w:color w:val="183047"/>
                <w:sz w:val="18"/>
                <w:szCs w:val="18"/>
              </w:rPr>
              <w:t xml:space="preserve">Sample Response Body</w:t>
            </w:r>
          </w:p>
        </w:tc>
        <w:tc>
          <w:tcPr>
            <w:tcW w:type="dxa" w:w="74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onsolas" w:cs="Consolas" w:eastAsia="Consolas" w:hAnsi="Consolas"/>
                <w:color w:val="183047"/>
                <w:sz w:val="17"/>
                <w:szCs w:val="17"/>
              </w:rPr>
              <w:t xml:space="preserve">{</w:t>
            </w:r>
          </w:p>
          <w:p>
            <w:r>
              <w:rPr>
                <w:rFonts w:ascii="Consolas" w:cs="Consolas" w:eastAsia="Consolas" w:hAnsi="Consolas"/>
                <w:color w:val="183047"/>
                <w:sz w:val="17"/>
                <w:szCs w:val="17"/>
              </w:rPr>
              <w:t xml:space="preserve"> "farmId": "farm-001",</w:t>
            </w:r>
          </w:p>
          <w:p>
            <w:r>
              <w:rPr>
                <w:rFonts w:ascii="Consolas" w:cs="Consolas" w:eastAsia="Consolas" w:hAnsi="Consolas"/>
                <w:color w:val="183047"/>
                <w:sz w:val="17"/>
                <w:szCs w:val="17"/>
              </w:rPr>
              <w:t xml:space="preserve"> "count": 2,</w:t>
            </w:r>
          </w:p>
          <w:p>
            <w:r>
              <w:rPr>
                <w:rFonts w:ascii="Consolas" w:cs="Consolas" w:eastAsia="Consolas" w:hAnsi="Consolas"/>
                <w:color w:val="183047"/>
                <w:sz w:val="17"/>
                <w:szCs w:val="17"/>
              </w:rPr>
              <w:t xml:space="preserve"> "hasMore": false,</w:t>
            </w:r>
          </w:p>
          <w:p>
            <w:r>
              <w:rPr>
                <w:rFonts w:ascii="Consolas" w:cs="Consolas" w:eastAsia="Consolas" w:hAnsi="Consolas"/>
                <w:color w:val="183047"/>
                <w:sz w:val="17"/>
                <w:szCs w:val="17"/>
              </w:rPr>
              <w:t xml:space="preserve"> "readings": [</w:t>
            </w:r>
          </w:p>
          <w:p>
            <w:r>
              <w:rPr>
                <w:rFonts w:ascii="Consolas" w:cs="Consolas" w:eastAsia="Consolas" w:hAnsi="Consolas"/>
                <w:color w:val="183047"/>
                <w:sz w:val="17"/>
                <w:szCs w:val="17"/>
              </w:rPr>
              <w:t xml:space="preserve">  {</w:t>
            </w:r>
          </w:p>
          <w:p>
            <w:r>
              <w:rPr>
                <w:rFonts w:ascii="Consolas" w:cs="Consolas" w:eastAsia="Consolas" w:hAnsi="Consolas"/>
                <w:color w:val="183047"/>
                <w:sz w:val="17"/>
                <w:szCs w:val="17"/>
              </w:rPr>
              <w:t xml:space="preserve">   "readingId": "sm-north-01-20261023T2030Z",</w:t>
            </w:r>
          </w:p>
          <w:p>
            <w:r>
              <w:rPr>
                <w:rFonts w:ascii="Consolas" w:cs="Consolas" w:eastAsia="Consolas" w:hAnsi="Consolas"/>
                <w:color w:val="183047"/>
                <w:sz w:val="17"/>
                <w:szCs w:val="17"/>
              </w:rPr>
              <w:t xml:space="preserve">   "farmId": "farm-001",</w:t>
            </w:r>
          </w:p>
          <w:p>
            <w:r>
              <w:rPr>
                <w:rFonts w:ascii="Consolas" w:cs="Consolas" w:eastAsia="Consolas" w:hAnsi="Consolas"/>
                <w:color w:val="183047"/>
                <w:sz w:val="17"/>
                <w:szCs w:val="17"/>
              </w:rPr>
              <w:t xml:space="preserve">   "deviceId": "sm-north-01",</w:t>
            </w:r>
          </w:p>
          <w:p>
            <w:r>
              <w:rPr>
                <w:rFonts w:ascii="Consolas" w:cs="Consolas" w:eastAsia="Consolas" w:hAnsi="Consolas"/>
                <w:color w:val="183047"/>
                <w:sz w:val="17"/>
                <w:szCs w:val="17"/>
              </w:rPr>
              <w:t xml:space="preserve">   "paddockId": "north-paddock",</w:t>
            </w:r>
          </w:p>
          <w:p>
            <w:r>
              <w:rPr>
                <w:rFonts w:ascii="Consolas" w:cs="Consolas" w:eastAsia="Consolas" w:hAnsi="Consolas"/>
                <w:color w:val="183047"/>
                <w:sz w:val="17"/>
                <w:szCs w:val="17"/>
              </w:rPr>
              <w:t xml:space="preserve">   "metric": "soilMoisture",</w:t>
            </w:r>
          </w:p>
          <w:p>
            <w:r>
              <w:rPr>
                <w:rFonts w:ascii="Consolas" w:cs="Consolas" w:eastAsia="Consolas" w:hAnsi="Consolas"/>
                <w:color w:val="183047"/>
                <w:sz w:val="17"/>
                <w:szCs w:val="17"/>
              </w:rPr>
              <w:t xml:space="preserve">   "value": 30.1,</w:t>
            </w:r>
          </w:p>
          <w:p>
            <w:r>
              <w:rPr>
                <w:rFonts w:ascii="Consolas" w:cs="Consolas" w:eastAsia="Consolas" w:hAnsi="Consolas"/>
                <w:color w:val="183047"/>
                <w:sz w:val="17"/>
                <w:szCs w:val="17"/>
              </w:rPr>
              <w:t xml:space="preserve">   "unit": "%",</w:t>
            </w:r>
          </w:p>
          <w:p>
            <w:r>
              <w:rPr>
                <w:rFonts w:ascii="Consolas" w:cs="Consolas" w:eastAsia="Consolas" w:hAnsi="Consolas"/>
                <w:color w:val="183047"/>
                <w:sz w:val="17"/>
                <w:szCs w:val="17"/>
              </w:rPr>
              <w:t xml:space="preserve">   "observedAt": "2026-10-23T20:30:00Z",</w:t>
            </w:r>
          </w:p>
          <w:p>
            <w:r>
              <w:rPr>
                <w:rFonts w:ascii="Consolas" w:cs="Consolas" w:eastAsia="Consolas" w:hAnsi="Consolas"/>
                <w:color w:val="183047"/>
                <w:sz w:val="17"/>
                <w:szCs w:val="17"/>
              </w:rPr>
              <w:t xml:space="preserve">   "receivedAt": "2026-10-23T20:30:04Z",</w:t>
            </w:r>
          </w:p>
          <w:p>
            <w:r>
              <w:rPr>
                <w:rFonts w:ascii="Consolas" w:cs="Consolas" w:eastAsia="Consolas" w:hAnsi="Consolas"/>
                <w:color w:val="183047"/>
                <w:sz w:val="17"/>
                <w:szCs w:val="17"/>
              </w:rPr>
              <w:t xml:space="preserve">   "status": "ACCEPTED",</w:t>
            </w:r>
          </w:p>
          <w:p>
            <w:r>
              <w:rPr>
                <w:rFonts w:ascii="Consolas" w:cs="Consolas" w:eastAsia="Consolas" w:hAnsi="Consolas"/>
                <w:color w:val="183047"/>
                <w:sz w:val="17"/>
                <w:szCs w:val="17"/>
              </w:rPr>
              <w:t xml:space="preserve">   "quarantineReasons": [],</w:t>
            </w:r>
          </w:p>
          <w:p>
            <w:r>
              <w:rPr>
                <w:rFonts w:ascii="Consolas" w:cs="Consolas" w:eastAsia="Consolas" w:hAnsi="Consolas"/>
                <w:color w:val="183047"/>
                <w:sz w:val="17"/>
                <w:szCs w:val="17"/>
              </w:rPr>
              <w:t xml:space="preserve">   "schemaVersion": 1</w:t>
            </w:r>
          </w:p>
          <w:p>
            <w:r>
              <w:rPr>
                <w:rFonts w:ascii="Consolas" w:cs="Consolas" w:eastAsia="Consolas" w:hAnsi="Consolas"/>
                <w:color w:val="183047"/>
                <w:sz w:val="17"/>
                <w:szCs w:val="17"/>
              </w:rPr>
              <w:t xml:space="preserve">  },</w:t>
            </w:r>
          </w:p>
          <w:p>
            <w:r>
              <w:rPr>
                <w:rFonts w:ascii="Consolas" w:cs="Consolas" w:eastAsia="Consolas" w:hAnsi="Consolas"/>
                <w:color w:val="183047"/>
                <w:sz w:val="17"/>
                <w:szCs w:val="17"/>
              </w:rPr>
              <w:t xml:space="preserve">  {</w:t>
            </w:r>
          </w:p>
          <w:p>
            <w:r>
              <w:rPr>
                <w:rFonts w:ascii="Consolas" w:cs="Consolas" w:eastAsia="Consolas" w:hAnsi="Consolas"/>
                <w:color w:val="183047"/>
                <w:sz w:val="17"/>
                <w:szCs w:val="17"/>
              </w:rPr>
              <w:t xml:space="preserve">   "readingId": "sm-north-01-20261023T2045Z",</w:t>
            </w:r>
          </w:p>
          <w:p>
            <w:r>
              <w:rPr>
                <w:rFonts w:ascii="Consolas" w:cs="Consolas" w:eastAsia="Consolas" w:hAnsi="Consolas"/>
                <w:color w:val="183047"/>
                <w:sz w:val="17"/>
                <w:szCs w:val="17"/>
              </w:rPr>
              <w:t xml:space="preserve">   "farmId": "farm-001",</w:t>
            </w:r>
          </w:p>
          <w:p>
            <w:r>
              <w:rPr>
                <w:rFonts w:ascii="Consolas" w:cs="Consolas" w:eastAsia="Consolas" w:hAnsi="Consolas"/>
                <w:color w:val="183047"/>
                <w:sz w:val="17"/>
                <w:szCs w:val="17"/>
              </w:rPr>
              <w:t xml:space="preserve">   "deviceId": "sm-north-01",</w:t>
            </w:r>
          </w:p>
          <w:p>
            <w:r>
              <w:rPr>
                <w:rFonts w:ascii="Consolas" w:cs="Consolas" w:eastAsia="Consolas" w:hAnsi="Consolas"/>
                <w:color w:val="183047"/>
                <w:sz w:val="17"/>
                <w:szCs w:val="17"/>
              </w:rPr>
              <w:t xml:space="preserve">   "paddockId": "north-paddock",</w:t>
            </w:r>
          </w:p>
          <w:p>
            <w:r>
              <w:rPr>
                <w:rFonts w:ascii="Consolas" w:cs="Consolas" w:eastAsia="Consolas" w:hAnsi="Consolas"/>
                <w:color w:val="183047"/>
                <w:sz w:val="17"/>
                <w:szCs w:val="17"/>
              </w:rPr>
              <w:t xml:space="preserve">   "metric": "soilMoisture",</w:t>
            </w:r>
          </w:p>
          <w:p>
            <w:r>
              <w:rPr>
                <w:rFonts w:ascii="Consolas" w:cs="Consolas" w:eastAsia="Consolas" w:hAnsi="Consolas"/>
                <w:color w:val="183047"/>
                <w:sz w:val="17"/>
                <w:szCs w:val="17"/>
              </w:rPr>
              <w:t xml:space="preserve">   "value": 29.7,</w:t>
            </w:r>
          </w:p>
          <w:p>
            <w:r>
              <w:rPr>
                <w:rFonts w:ascii="Consolas" w:cs="Consolas" w:eastAsia="Consolas" w:hAnsi="Consolas"/>
                <w:color w:val="183047"/>
                <w:sz w:val="17"/>
                <w:szCs w:val="17"/>
              </w:rPr>
              <w:t xml:space="preserve">   "unit": "%",</w:t>
            </w:r>
          </w:p>
          <w:p>
            <w:r>
              <w:rPr>
                <w:rFonts w:ascii="Consolas" w:cs="Consolas" w:eastAsia="Consolas" w:hAnsi="Consolas"/>
                <w:color w:val="183047"/>
                <w:sz w:val="17"/>
                <w:szCs w:val="17"/>
              </w:rPr>
              <w:t xml:space="preserve">   "observedAt": "2026-10-23T20:45:00Z",</w:t>
            </w:r>
          </w:p>
          <w:p>
            <w:r>
              <w:rPr>
                <w:rFonts w:ascii="Consolas" w:cs="Consolas" w:eastAsia="Consolas" w:hAnsi="Consolas"/>
                <w:color w:val="183047"/>
                <w:sz w:val="17"/>
                <w:szCs w:val="17"/>
              </w:rPr>
              <w:t xml:space="preserve">   "receivedAt": "2026-10-24T12:06:37Z",</w:t>
            </w:r>
          </w:p>
          <w:p>
            <w:r>
              <w:rPr>
                <w:rFonts w:ascii="Consolas" w:cs="Consolas" w:eastAsia="Consolas" w:hAnsi="Consolas"/>
                <w:color w:val="183047"/>
                <w:sz w:val="17"/>
                <w:szCs w:val="17"/>
              </w:rPr>
              <w:t xml:space="preserve">   "status": "ACCEPTED",</w:t>
            </w:r>
          </w:p>
          <w:p>
            <w:r>
              <w:rPr>
                <w:rFonts w:ascii="Consolas" w:cs="Consolas" w:eastAsia="Consolas" w:hAnsi="Consolas"/>
                <w:color w:val="183047"/>
                <w:sz w:val="17"/>
                <w:szCs w:val="17"/>
              </w:rPr>
              <w:t xml:space="preserve">   "quarantineReasons": [],</w:t>
            </w:r>
          </w:p>
          <w:p>
            <w:r>
              <w:rPr>
                <w:rFonts w:ascii="Consolas" w:cs="Consolas" w:eastAsia="Consolas" w:hAnsi="Consolas"/>
                <w:color w:val="183047"/>
                <w:sz w:val="17"/>
                <w:szCs w:val="17"/>
              </w:rPr>
              <w:t xml:space="preserve">   "schemaVersion": 1</w:t>
            </w:r>
          </w:p>
          <w:p>
            <w:r>
              <w:rPr>
                <w:rFonts w:ascii="Consolas" w:cs="Consolas" w:eastAsia="Consolas" w:hAnsi="Consolas"/>
                <w:color w:val="183047"/>
                <w:sz w:val="17"/>
                <w:szCs w:val="17"/>
              </w:rPr>
              <w:t xml:space="preserve">  }</w:t>
            </w:r>
          </w:p>
          <w:p>
            <w:r>
              <w:rPr>
                <w:rFonts w:ascii="Consolas" w:cs="Consolas" w:eastAsia="Consolas" w:hAnsi="Consolas"/>
                <w:color w:val="183047"/>
                <w:sz w:val="17"/>
                <w:szCs w:val="17"/>
              </w:rPr>
              <w:t xml:space="preserve"> ]</w:t>
            </w:r>
          </w:p>
          <w:p>
            <w:r>
              <w:rPr>
                <w:rFonts w:ascii="Consolas" w:cs="Consolas" w:eastAsia="Consolas" w:hAnsi="Consolas"/>
                <w:color w:val="183047"/>
                <w:sz w:val="17"/>
                <w:szCs w:val="17"/>
              </w:rPr>
              <w:t xml:space="preserve">}</w:t>
            </w:r>
          </w:p>
        </w:tc>
      </w:tr>
      <w:tr>
        <w:tc>
          <w:tcPr>
            <w:tcW w:type="dxa" w:w="22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bCs/>
                <w:color w:val="183047"/>
                <w:sz w:val="18"/>
                <w:szCs w:val="18"/>
              </w:rPr>
              <w:t xml:space="preserve">Success status</w:t>
            </w:r>
          </w:p>
        </w:tc>
        <w:tc>
          <w:tcPr>
            <w:tcW w:type="dxa" w:w="74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color w:val="183047"/>
                <w:sz w:val="18"/>
                <w:szCs w:val="18"/>
              </w:rPr>
              <w:t xml:space="preserve">200 OK</w:t>
            </w:r>
          </w:p>
        </w:tc>
      </w:tr>
    </w:tbl>
    <w:p>
      <w:pPr>
        <w:spacing w:after="120" w:before="80"/>
      </w:pPr>
      <w:r>
        <w:rPr>
          <w:rFonts w:ascii="Calibri" w:cs="Calibri" w:eastAsia="Calibri" w:hAnsi="Calibri"/>
          <w:color w:val="183047"/>
          <w:sz w:val="21"/>
          <w:szCs w:val="21"/>
        </w:rPr>
        <w:t xml:space="preserve">Sample response is for GET /farms/farm-001/telemetry?metric=soilMoisture&amp;from=2026-10-23T20:30:00Z; all query parameters are optional.</w:t>
      </w:r>
    </w:p>
    <w:p>
      <w:pPr>
        <w:spacing w:after="120" w:before="120"/>
      </w:pPr>
      <w:r>
        <w:rPr>
          <w:rFonts w:ascii="Calibri" w:cs="Calibri" w:eastAsia="Calibri" w:hAnsi="Calibri"/>
          <w:color w:val="183047"/>
          <w:sz w:val="21"/>
          <w:szCs w:val="21"/>
        </w:rPr>
        <w:t xml:space="preserve">receivedAt is assigned by the server, so its value differs on each run. A spike or implausible value is still stored (201) but with status QUARANTINED and reasons such as SPIKE_DETECTED or IMPLAUSIBLE_VALUE; it is never published as an accepted reading.</w:t>
      </w:r>
    </w:p>
    <w:p>
      <w:pPr>
        <w:pStyle w:val="Heading2"/>
        <w:spacing w:after="100" w:before="200"/>
      </w:pPr>
      <w:r>
        <w:rPr>
          <w:rFonts w:ascii="Calibri" w:cs="Calibri" w:eastAsia="Calibri" w:hAnsi="Calibri"/>
          <w:b/>
          <w:bCs/>
          <w:color w:val="183047"/>
          <w:sz w:val="24"/>
          <w:szCs w:val="24"/>
        </w:rPr>
        <w:t xml:space="preserve">Validation and error behaviour</w:t>
      </w:r>
    </w:p>
    <w:p>
      <w:pPr>
        <w:spacing w:after="120" w:before="0"/>
      </w:pPr>
      <w:r>
        <w:rPr>
          <w:rFonts w:ascii="Calibri" w:cs="Calibri" w:eastAsia="Calibri" w:hAnsi="Calibri"/>
          <w:color w:val="183047"/>
          <w:sz w:val="21"/>
          <w:szCs w:val="21"/>
        </w:rPr>
        <w:t xml:space="preserve">A POST body must contain exactly schemaVersion, readingId, deviceId, paddockId, metric, value, unit and observedAt. farmId comes from the URL and status from the service; caller-supplied farmId, status or receivedAt is rejected. schemaVersion must be 1. readingId is 1 to 80 letters, digits, '.', '_', ':' or '-'. deviceId and paddockId are lowercase slugs. Supported metrics and units: soilMoisture in % (0 to 100), soilTemperature in degC (-20 to 60), airTemperature in degC (-50 to 60) and rainfall in mm (0 to 500). observedAt is a UTC timestamp at most five minutes in the future.</w:t>
      </w:r>
    </w:p>
    <w:p>
      <w:pPr>
        <w:spacing w:after="120" w:before="0"/>
      </w:pPr>
      <w:r>
        <w:rPr>
          <w:rFonts w:ascii="Calibri" w:cs="Calibri" w:eastAsia="Calibri" w:hAnsi="Calibri"/>
          <w:color w:val="183047"/>
          <w:sz w:val="21"/>
          <w:szCs w:val="21"/>
        </w:rPr>
        <w:t xml:space="preserve">GET accepts optional metric, deviceId, paddockId, from, to, status (ACCEPTED by default, QUARANTINED or ALL) and limit (1 to 500, default 100). Readings return in observation order; hasMore shows that the limit truncated the result. Unknown or repeated parameters are rejected.</w:t>
      </w:r>
    </w:p>
    <w:p>
      <w:pPr>
        <w:spacing w:after="120" w:before="0"/>
      </w:pPr>
      <w:r>
        <w:rPr>
          <w:rFonts w:ascii="Calibri" w:cs="Calibri" w:eastAsia="Calibri" w:hAnsi="Calibri"/>
          <w:color w:val="183047"/>
          <w:sz w:val="21"/>
          <w:szCs w:val="21"/>
        </w:rPr>
        <w:t xml:space="preserve">Demonstration identities match the other services. demo-gateway-001 is registered to farm-001 and demo-gateway-002 to farm-002; only gateways may submit. demo-owner-a owns farm-001 and demo-worker-a holds a grant on it, so both may read it; demo-owner-b owns farm-002.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5138"/>
      </w:tblGrid>
      <w:tr>
        <w:trPr>
          <w:tblHeader/>
        </w:trPr>
        <w:tc>
          <w:tcPr>
            <w:tcW w:type="dxa" w:w="1000"/>
            <w:tcBorders>
              <w:top w:val="single" w:color="9BB0C0" w:sz="4"/>
              <w:left w:val="single" w:color="9BB0C0" w:sz="4"/>
              <w:bottom w:val="single" w:color="9BB0C0" w:sz="4"/>
              <w:right w:val="single" w:color="9BB0C0" w:sz="4"/>
            </w:tcBorders>
            <w:shd w:fill="D9EBFA" w:color="auto" w:val="clear"/>
            <w:tcMar>
              <w:top w:type="dxa" w:w="60"/>
              <w:left w:type="dxa" w:w="90"/>
              <w:bottom w:type="dxa" w:w="60"/>
              <w:right w:type="dxa" w:w="90"/>
            </w:tcMar>
          </w:tcPr>
          <w:p>
            <w:r>
              <w:rPr>
                <w:rFonts w:ascii="Calibri" w:cs="Calibri" w:eastAsia="Calibri" w:hAnsi="Calibri"/>
                <w:b/>
                <w:bCs/>
                <w:color w:val="183047"/>
                <w:sz w:val="18"/>
                <w:szCs w:val="18"/>
              </w:rPr>
              <w:t xml:space="preserve">Status</w:t>
            </w:r>
          </w:p>
        </w:tc>
        <w:tc>
          <w:tcPr>
            <w:tcW w:type="dxa" w:w="3500"/>
            <w:tcBorders>
              <w:top w:val="single" w:color="9BB0C0" w:sz="4"/>
              <w:left w:val="single" w:color="9BB0C0" w:sz="4"/>
              <w:bottom w:val="single" w:color="9BB0C0" w:sz="4"/>
              <w:right w:val="single" w:color="9BB0C0" w:sz="4"/>
            </w:tcBorders>
            <w:shd w:fill="D9EBFA" w:color="auto" w:val="clear"/>
            <w:tcMar>
              <w:top w:type="dxa" w:w="60"/>
              <w:left w:type="dxa" w:w="90"/>
              <w:bottom w:type="dxa" w:w="60"/>
              <w:right w:type="dxa" w:w="90"/>
            </w:tcMar>
          </w:tcPr>
          <w:p>
            <w:r>
              <w:rPr>
                <w:rFonts w:ascii="Calibri" w:cs="Calibri" w:eastAsia="Calibri" w:hAnsi="Calibri"/>
                <w:b/>
                <w:bCs/>
                <w:color w:val="183047"/>
                <w:sz w:val="18"/>
                <w:szCs w:val="18"/>
              </w:rPr>
              <w:t xml:space="preserve">Code</w:t>
            </w:r>
          </w:p>
        </w:tc>
        <w:tc>
          <w:tcPr>
            <w:tcW w:type="dxa" w:w="5138"/>
            <w:tcBorders>
              <w:top w:val="single" w:color="9BB0C0" w:sz="4"/>
              <w:left w:val="single" w:color="9BB0C0" w:sz="4"/>
              <w:bottom w:val="single" w:color="9BB0C0" w:sz="4"/>
              <w:right w:val="single" w:color="9BB0C0" w:sz="4"/>
            </w:tcBorders>
            <w:shd w:fill="D9EBFA" w:color="auto" w:val="clear"/>
            <w:tcMar>
              <w:top w:type="dxa" w:w="60"/>
              <w:left w:type="dxa" w:w="90"/>
              <w:bottom w:type="dxa" w:w="60"/>
              <w:right w:type="dxa" w:w="90"/>
            </w:tcMar>
          </w:tcPr>
          <w:p>
            <w:r>
              <w:rPr>
                <w:rFonts w:ascii="Calibri" w:cs="Calibri" w:eastAsia="Calibri" w:hAnsi="Calibri"/>
                <w:b/>
                <w:bCs/>
                <w:color w:val="183047"/>
                <w:sz w:val="18"/>
                <w:szCs w:val="18"/>
              </w:rPr>
              <w:t xml:space="preserve">Relevant condition</w:t>
            </w:r>
          </w:p>
        </w:tc>
      </w:tr>
      <w:tr>
        <w:trPr>
          <w:tblHeader w:val="off"/>
        </w:trPr>
        <w:tc>
          <w:tcPr>
            <w:tcW w:type="dxa" w:w="10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400</w:t>
            </w:r>
          </w:p>
        </w:tc>
        <w:tc>
          <w:tcPr>
            <w:tcW w:type="dxa" w:w="35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INVALID_JSON</w:t>
            </w:r>
          </w:p>
        </w:tc>
        <w:tc>
          <w:tcPr>
            <w:tcW w:type="dxa" w:w="51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Malformed UTF-8 JSON or literal NaN/Infinity</w:t>
            </w:r>
          </w:p>
        </w:tc>
      </w:tr>
      <w:tr>
        <w:trPr>
          <w:tblHeader w:val="off"/>
        </w:trPr>
        <w:tc>
          <w:tcPr>
            <w:tcW w:type="dxa" w:w="10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401</w:t>
            </w:r>
          </w:p>
        </w:tc>
        <w:tc>
          <w:tcPr>
            <w:tcW w:type="dxa" w:w="35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UNAUTHENTICATED</w:t>
            </w:r>
          </w:p>
        </w:tc>
        <w:tc>
          <w:tcPr>
            <w:tcW w:type="dxa" w:w="51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Missing or invalid demonstration bearer identity</w:t>
            </w:r>
          </w:p>
        </w:tc>
      </w:tr>
      <w:tr>
        <w:trPr>
          <w:tblHeader w:val="off"/>
        </w:trPr>
        <w:tc>
          <w:tcPr>
            <w:tcW w:type="dxa" w:w="10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403</w:t>
            </w:r>
          </w:p>
        </w:tc>
        <w:tc>
          <w:tcPr>
            <w:tcW w:type="dxa" w:w="35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FORBIDDEN</w:t>
            </w:r>
          </w:p>
        </w:tc>
        <w:tc>
          <w:tcPr>
            <w:tcW w:type="dxa" w:w="51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Non-gateway submits a reading, or a gateway tries to read</w:t>
            </w:r>
          </w:p>
        </w:tc>
      </w:tr>
      <w:tr>
        <w:trPr>
          <w:tblHeader w:val="off"/>
        </w:trPr>
        <w:tc>
          <w:tcPr>
            <w:tcW w:type="dxa" w:w="10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404</w:t>
            </w:r>
          </w:p>
        </w:tc>
        <w:tc>
          <w:tcPr>
            <w:tcW w:type="dxa" w:w="35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FARM_NOT_FOUND</w:t>
            </w:r>
          </w:p>
        </w:tc>
        <w:tc>
          <w:tcPr>
            <w:tcW w:type="dxa" w:w="51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Farm absent, not accessible, or gateway not registered to it (identical bodies)</w:t>
            </w:r>
          </w:p>
        </w:tc>
      </w:tr>
      <w:tr>
        <w:trPr>
          <w:tblHeader w:val="off"/>
        </w:trPr>
        <w:tc>
          <w:tcPr>
            <w:tcW w:type="dxa" w:w="10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404</w:t>
            </w:r>
          </w:p>
        </w:tc>
        <w:tc>
          <w:tcPr>
            <w:tcW w:type="dxa" w:w="35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ROUTE_NOT_FOUND</w:t>
            </w:r>
          </w:p>
        </w:tc>
        <w:tc>
          <w:tcPr>
            <w:tcW w:type="dxa" w:w="51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Unknown path or malformed farm identifier</w:t>
            </w:r>
          </w:p>
        </w:tc>
      </w:tr>
      <w:tr>
        <w:trPr>
          <w:tblHeader w:val="off"/>
        </w:trPr>
        <w:tc>
          <w:tcPr>
            <w:tcW w:type="dxa" w:w="10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405</w:t>
            </w:r>
          </w:p>
        </w:tc>
        <w:tc>
          <w:tcPr>
            <w:tcW w:type="dxa" w:w="35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METHOD_NOT_ALLOWED</w:t>
            </w:r>
          </w:p>
        </w:tc>
        <w:tc>
          <w:tcPr>
            <w:tcW w:type="dxa" w:w="51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Unsupported method; Allow: GET, POST</w:t>
            </w:r>
          </w:p>
        </w:tc>
      </w:tr>
      <w:tr>
        <w:trPr>
          <w:tblHeader w:val="off"/>
        </w:trPr>
        <w:tc>
          <w:tcPr>
            <w:tcW w:type="dxa" w:w="10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409</w:t>
            </w:r>
          </w:p>
        </w:tc>
        <w:tc>
          <w:tcPr>
            <w:tcW w:type="dxa" w:w="35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READING_ID_CONFLICT</w:t>
            </w:r>
          </w:p>
        </w:tc>
        <w:tc>
          <w:tcPr>
            <w:tcW w:type="dxa" w:w="51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readingId reused with different content</w:t>
            </w:r>
          </w:p>
        </w:tc>
      </w:tr>
      <w:tr>
        <w:trPr>
          <w:tblHeader w:val="off"/>
        </w:trPr>
        <w:tc>
          <w:tcPr>
            <w:tcW w:type="dxa" w:w="10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413</w:t>
            </w:r>
          </w:p>
        </w:tc>
        <w:tc>
          <w:tcPr>
            <w:tcW w:type="dxa" w:w="35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BODY_TOO_LARGE</w:t>
            </w:r>
          </w:p>
        </w:tc>
        <w:tc>
          <w:tcPr>
            <w:tcW w:type="dxa" w:w="51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Body exceeds 65,536 bytes</w:t>
            </w:r>
          </w:p>
        </w:tc>
      </w:tr>
      <w:tr>
        <w:trPr>
          <w:tblHeader w:val="off"/>
        </w:trPr>
        <w:tc>
          <w:tcPr>
            <w:tcW w:type="dxa" w:w="10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415</w:t>
            </w:r>
          </w:p>
        </w:tc>
        <w:tc>
          <w:tcPr>
            <w:tcW w:type="dxa" w:w="35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UNSUPPORTED_MEDIA_TYPE</w:t>
            </w:r>
          </w:p>
        </w:tc>
        <w:tc>
          <w:tcPr>
            <w:tcW w:type="dxa" w:w="51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Content-Type is not application/json</w:t>
            </w:r>
          </w:p>
        </w:tc>
      </w:tr>
      <w:tr>
        <w:trPr>
          <w:tblHeader w:val="off"/>
        </w:trPr>
        <w:tc>
          <w:tcPr>
            <w:tcW w:type="dxa" w:w="10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422</w:t>
            </w:r>
          </w:p>
        </w:tc>
        <w:tc>
          <w:tcPr>
            <w:tcW w:type="dxa" w:w="35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VALIDATION_ERROR</w:t>
            </w:r>
          </w:p>
        </w:tc>
        <w:tc>
          <w:tcPr>
            <w:tcW w:type="dxa" w:w="51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Missing/extra fields, wrong unit, out-of-range value or invalid query parameter</w:t>
            </w:r>
          </w:p>
        </w:tc>
      </w:tr>
      <w:tr>
        <w:trPr>
          <w:tblHeader w:val="off"/>
        </w:trPr>
        <w:tc>
          <w:tcPr>
            <w:tcW w:type="dxa" w:w="10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422</w:t>
            </w:r>
          </w:p>
        </w:tc>
        <w:tc>
          <w:tcPr>
            <w:tcW w:type="dxa" w:w="35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UNSUPPORTED_SCHEMA_VERSION</w:t>
            </w:r>
          </w:p>
        </w:tc>
        <w:tc>
          <w:tcPr>
            <w:tcW w:type="dxa" w:w="51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schemaVersion is not 1</w:t>
            </w:r>
          </w:p>
        </w:tc>
      </w:tr>
    </w:tbl>
    <w:p>
      <w:pPr>
        <w:spacing w:after="40" w:before="120"/>
      </w:pPr>
      <w:r>
        <w:rPr>
          <w:rFonts w:ascii="Calibri" w:cs="Calibri" w:eastAsia="Calibri" w:hAnsi="Calibri"/>
          <w:b/>
          <w:bCs/>
          <w:color w:val="183047"/>
          <w:sz w:val="21"/>
          <w:szCs w:val="21"/>
        </w:rPr>
        <w:t xml:space="preserve">Error response example:</w:t>
      </w:r>
    </w:p>
    <w:p>
      <w:pPr>
        <w:spacing w:after="120" w:before="0"/>
      </w:pPr>
      <w:r>
        <w:rPr>
          <w:rFonts w:ascii="Consolas" w:cs="Consolas" w:eastAsia="Consolas" w:hAnsi="Consolas"/>
          <w:color w:val="183047"/>
          <w:sz w:val="17"/>
          <w:szCs w:val="17"/>
        </w:rPr>
        <w:t xml:space="preserve">{"error":{"code":"READING_ID_CONFLICT","message":"readingId sm-north-01-20261023T2045Z was already stored with different content."}}</w:t>
      </w:r>
    </w:p>
    <w:p>
      <w:pPr>
        <w:pStyle w:val="Heading2"/>
        <w:spacing w:after="100" w:before="200"/>
      </w:pPr>
      <w:r>
        <w:rPr>
          <w:rFonts w:ascii="Calibri" w:cs="Calibri" w:eastAsia="Calibri" w:hAnsi="Calibri"/>
          <w:b/>
          <w:bCs/>
          <w:color w:val="183047"/>
          <w:sz w:val="24"/>
          <w:szCs w:val="24"/>
        </w:rPr>
        <w:t xml:space="preserve">Where the endpoints sit in the architecture</w:t>
      </w:r>
    </w:p>
    <w:p>
      <w:pPr>
        <w:spacing w:after="120" w:before="0"/>
      </w:pPr>
      <w:r>
        <w:rPr>
          <w:rFonts w:ascii="Calibri" w:cs="Calibri" w:eastAsia="Calibri" w:hAnsi="Calibri"/>
          <w:color w:val="183047"/>
          <w:sz w:val="21"/>
          <w:szCs w:val="21"/>
        </w:rPr>
        <w:t xml:space="preserve">Both endpoints are served by the Telemetry container. In production, Farm Edge Gateways call POST over HTTPS with farm-bound machine credentials, and the Web and Mobile Apps call GET through the API Gateway. The REST Controller delegates to the Ingestion or Query Service, which authorises against Telemetry's own Farm Access Read Model rather than Farm Management's store and reads or writes the Telemetry Store through the Repository. Accepted readings leave the service only as ReadingAccepted events, consumed by Irrigation and Alerts and AI Recommendation, so Telemetry never waits for them.</w:t>
      </w:r>
    </w:p>
    <w:p>
      <w:pPr>
        <w:pStyle w:val="Heading1"/>
        <w:spacing w:after="120" w:before="280"/>
      </w:pPr>
      <w:r>
        <w:rPr>
          <w:rFonts w:ascii="Calibri" w:cs="Calibri" w:eastAsia="Calibri" w:hAnsi="Calibri"/>
          <w:b/>
          <w:bCs/>
          <w:color w:val="183047"/>
          <w:sz w:val="30"/>
          <w:szCs w:val="30"/>
        </w:rPr>
        <w:t xml:space="preserve">Repository integration</w:t>
      </w:r>
    </w:p>
    <w:p>
      <w:pPr>
        <w:spacing w:after="120" w:before="0"/>
      </w:pPr>
      <w:r>
        <w:rPr>
          <w:rFonts w:ascii="Calibri" w:cs="Calibri" w:eastAsia="Calibri" w:hAnsi="Calibri"/>
          <w:color w:val="183047"/>
          <w:sz w:val="21"/>
          <w:szCs w:val="21"/>
        </w:rPr>
        <w:t xml:space="preserve">As repository integrator, Aditya added a single start-up path and packaging for the whole team. The structure keeps one package per backend container from the Container Diagram, matching ADR-01.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9BB0C0" w:sz="4"/>
              <w:left w:val="single" w:color="9BB0C0" w:sz="4"/>
              <w:bottom w:val="single" w:color="9BB0C0" w:sz="4"/>
              <w:right w:val="single" w:color="9BB0C0" w:sz="4"/>
            </w:tcBorders>
            <w:shd w:fill="D9EBFA" w:color="auto" w:val="clear"/>
            <w:tcMar>
              <w:top w:type="dxa" w:w="60"/>
              <w:left w:type="dxa" w:w="90"/>
              <w:bottom w:type="dxa" w:w="60"/>
              <w:right w:type="dxa" w:w="90"/>
            </w:tcMar>
          </w:tcPr>
          <w:p>
            <w:r>
              <w:rPr>
                <w:rFonts w:ascii="Calibri" w:cs="Calibri" w:eastAsia="Calibri" w:hAnsi="Calibri"/>
                <w:b/>
                <w:bCs/>
                <w:color w:val="183047"/>
                <w:sz w:val="18"/>
                <w:szCs w:val="18"/>
              </w:rPr>
              <w:t xml:space="preserve">Item</w:t>
            </w:r>
          </w:p>
        </w:tc>
        <w:tc>
          <w:tcPr>
            <w:tcW w:type="dxa" w:w="6438"/>
            <w:tcBorders>
              <w:top w:val="single" w:color="9BB0C0" w:sz="4"/>
              <w:left w:val="single" w:color="9BB0C0" w:sz="4"/>
              <w:bottom w:val="single" w:color="9BB0C0" w:sz="4"/>
              <w:right w:val="single" w:color="9BB0C0" w:sz="4"/>
            </w:tcBorders>
            <w:shd w:fill="D9EBFA" w:color="auto" w:val="clear"/>
            <w:tcMar>
              <w:top w:type="dxa" w:w="60"/>
              <w:left w:type="dxa" w:w="90"/>
              <w:bottom w:type="dxa" w:w="60"/>
              <w:right w:type="dxa" w:w="90"/>
            </w:tcMar>
          </w:tcPr>
          <w:p>
            <w:r>
              <w:rPr>
                <w:rFonts w:ascii="Calibri" w:cs="Calibri" w:eastAsia="Calibri" w:hAnsi="Calibri"/>
                <w:b/>
                <w:bCs/>
                <w:color w:val="183047"/>
                <w:sz w:val="18"/>
                <w:szCs w:val="18"/>
              </w:rPr>
              <w:t xml:space="preserve">Purpose</w:t>
            </w:r>
          </w:p>
        </w:tc>
      </w:tr>
      <w:tr>
        <w:trPr>
          <w:tblHeader w:val="off"/>
        </w:trPr>
        <w:tc>
          <w:tcPr>
            <w:tcW w:type="dxa" w:w="32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run_all.py</w:t>
            </w:r>
          </w:p>
        </w:tc>
        <w:tc>
          <w:tcPr>
            <w:tcW w:type="dxa" w:w="64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Starts Farm Management (8001), Telemetry (8002) and Irrigation and Alerts (8003) in one terminal</w:t>
            </w:r>
          </w:p>
        </w:tc>
      </w:tr>
      <w:tr>
        <w:trPr>
          <w:tblHeader w:val="off"/>
        </w:trPr>
        <w:tc>
          <w:tcPr>
            <w:tcW w:type="dxa" w:w="32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requirements.txt</w:t>
            </w:r>
          </w:p>
        </w:tc>
        <w:tc>
          <w:tcPr>
            <w:tcW w:type="dxa" w:w="64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Records that the prototype needs only the Python 3.10+ standard library</w:t>
            </w:r>
          </w:p>
        </w:tc>
      </w:tr>
      <w:tr>
        <w:trPr>
          <w:tblHeader w:val="off"/>
        </w:trPr>
        <w:tc>
          <w:tcPr>
            <w:tcW w:type="dxa" w:w="32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README.md</w:t>
            </w:r>
          </w:p>
        </w:tc>
        <w:tc>
          <w:tcPr>
            <w:tcW w:type="dxa" w:w="64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Start-up, test, Postman and packaging instructions for all services</w:t>
            </w:r>
          </w:p>
        </w:tc>
      </w:tr>
      <w:tr>
        <w:trPr>
          <w:tblHeader w:val="off"/>
        </w:trPr>
        <w:tc>
          <w:tcPr>
            <w:tcW w:type="dxa" w:w="32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scripts/package_submission.py</w:t>
            </w:r>
          </w:p>
        </w:tc>
        <w:tc>
          <w:tcPr>
            <w:tcW w:type="dxa" w:w="64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Builds the clean code ZIP and re-runs all tests from the extracted copy</w:t>
            </w:r>
          </w:p>
        </w:tc>
      </w:tr>
      <w:tr>
        <w:trPr>
          <w:tblHeader w:val="off"/>
        </w:trPr>
        <w:tc>
          <w:tcPr>
            <w:tcW w:type="dxa" w:w="32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tests/test_run_all.py</w:t>
            </w:r>
          </w:p>
        </w:tc>
        <w:tc>
          <w:tcPr>
            <w:tcW w:type="dxa" w:w="64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Checks all three services start together and answer on their own ports</w:t>
            </w:r>
          </w:p>
        </w:tc>
      </w:tr>
    </w:tbl>
    <w:p>
      <w:pPr>
        <w:pStyle w:val="Heading1"/>
        <w:spacing w:after="120" w:before="280"/>
      </w:pPr>
      <w:r>
        <w:rPr>
          <w:rFonts w:ascii="Calibri" w:cs="Calibri" w:eastAsia="Calibri" w:hAnsi="Calibri"/>
          <w:b/>
          <w:bCs/>
          <w:color w:val="183047"/>
          <w:sz w:val="30"/>
          <w:szCs w:val="30"/>
        </w:rPr>
        <w:t xml:space="preserve">Validation evidence</w:t>
      </w:r>
    </w:p>
    <w:p>
      <w:pPr>
        <w:spacing w:after="120" w:before="0"/>
      </w:pPr>
      <w:r>
        <w:rPr>
          <w:rFonts w:ascii="Calibri" w:cs="Calibri" w:eastAsia="Calibri" w:hAnsi="Calibri"/>
          <w:color w:val="183047"/>
          <w:sz w:val="21"/>
          <w:szCs w:val="21"/>
        </w:rPr>
        <w:t xml:space="preserve">Fourteen HTTP integration tests start a real local server with a fixed clock and cover the exact POST contract, idempotent replay, 409 conflicts, spike and rainfall quarantine (including that quarantined readings are not published), gateway-only submission, foreign-gateway denial, schema and unit validation, rejected server-owned fields, schema versions, ordered and filtered retrieval, windows and limits, worker access, cross-owner denial, invalid query parameters, authentication, media type and method handling.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tcBorders>
              <w:top w:val="single" w:color="9BB0C0" w:sz="4"/>
              <w:left w:val="single" w:color="9BB0C0" w:sz="4"/>
              <w:bottom w:val="single" w:color="9BB0C0" w:sz="4"/>
              <w:right w:val="single" w:color="9BB0C0" w:sz="4"/>
            </w:tcBorders>
            <w:shd w:fill="D9EBFA" w:color="auto" w:val="clear"/>
            <w:tcMar>
              <w:top w:type="dxa" w:w="60"/>
              <w:left w:type="dxa" w:w="90"/>
              <w:bottom w:type="dxa" w:w="60"/>
              <w:right w:type="dxa" w:w="90"/>
            </w:tcMar>
          </w:tcPr>
          <w:p>
            <w:r>
              <w:rPr>
                <w:rFonts w:ascii="Calibri" w:cs="Calibri" w:eastAsia="Calibri" w:hAnsi="Calibri"/>
                <w:b/>
                <w:bCs/>
                <w:color w:val="183047"/>
                <w:sz w:val="18"/>
                <w:szCs w:val="18"/>
              </w:rPr>
              <w:t xml:space="preserve">Measure</w:t>
            </w:r>
          </w:p>
        </w:tc>
        <w:tc>
          <w:tcPr>
            <w:tcW w:type="dxa" w:w="4838"/>
            <w:tcBorders>
              <w:top w:val="single" w:color="9BB0C0" w:sz="4"/>
              <w:left w:val="single" w:color="9BB0C0" w:sz="4"/>
              <w:bottom w:val="single" w:color="9BB0C0" w:sz="4"/>
              <w:right w:val="single" w:color="9BB0C0" w:sz="4"/>
            </w:tcBorders>
            <w:shd w:fill="D9EBFA" w:color="auto" w:val="clear"/>
            <w:tcMar>
              <w:top w:type="dxa" w:w="60"/>
              <w:left w:type="dxa" w:w="90"/>
              <w:bottom w:type="dxa" w:w="60"/>
              <w:right w:type="dxa" w:w="90"/>
            </w:tcMar>
          </w:tcPr>
          <w:p>
            <w:r>
              <w:rPr>
                <w:rFonts w:ascii="Calibri" w:cs="Calibri" w:eastAsia="Calibri" w:hAnsi="Calibri"/>
                <w:b/>
                <w:bCs/>
                <w:color w:val="183047"/>
                <w:sz w:val="18"/>
                <w:szCs w:val="18"/>
              </w:rPr>
              <w:t xml:space="preserve">Observed result</w:t>
            </w:r>
          </w:p>
        </w:tc>
      </w:tr>
      <w:tr>
        <w:trPr>
          <w:tblHeader w:val="off"/>
        </w:trPr>
        <w:tc>
          <w:tcPr>
            <w:tcW w:type="dxa" w:w="48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Automated tests (telemetry)</w:t>
            </w:r>
          </w:p>
        </w:tc>
        <w:tc>
          <w:tcPr>
            <w:tcW w:type="dxa" w:w="48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14 passed, 0 failed</w:t>
            </w:r>
          </w:p>
        </w:tc>
      </w:tr>
      <w:tr>
        <w:trPr>
          <w:tblHeader w:val="off"/>
        </w:trPr>
        <w:tc>
          <w:tcPr>
            <w:tcW w:type="dxa" w:w="48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Full repository suite</w:t>
            </w:r>
          </w:p>
        </w:tc>
        <w:tc>
          <w:tcPr>
            <w:tcW w:type="dxa" w:w="48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49 passed, 0 failed</w:t>
            </w:r>
          </w:p>
        </w:tc>
      </w:tr>
      <w:tr>
        <w:trPr>
          <w:tblHeader w:val="off"/>
        </w:trPr>
        <w:tc>
          <w:tcPr>
            <w:tcW w:type="dxa" w:w="48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Postman collection (Newman 6, fresh server)</w:t>
            </w:r>
          </w:p>
        </w:tc>
        <w:tc>
          <w:tcPr>
            <w:tcW w:type="dxa" w:w="48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postman/Aditya_Telemetry.postman_collection.json: 19 requests, 59 of 59 assertions passed</w:t>
            </w:r>
          </w:p>
        </w:tc>
      </w:tr>
      <w:tr>
        <w:trPr>
          <w:tblHeader w:val="off"/>
        </w:trPr>
        <w:tc>
          <w:tcPr>
            <w:tcW w:type="dxa" w:w="48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Combined run via run_all.py</w:t>
            </w:r>
          </w:p>
        </w:tc>
        <w:tc>
          <w:tcPr>
            <w:tcW w:type="dxa" w:w="48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Farm 33/33, Telemetry 59/59 and Irrigation 40/40 assertions passed</w:t>
            </w:r>
          </w:p>
        </w:tc>
      </w:tr>
      <w:tr>
        <w:trPr>
          <w:tblHeader w:val="off"/>
        </w:trPr>
        <w:tc>
          <w:tcPr>
            <w:tcW w:type="dxa" w:w="4800"/>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Clean ZIP check</w:t>
            </w:r>
          </w:p>
        </w:tc>
        <w:tc>
          <w:tcPr>
            <w:tcW w:type="dxa" w:w="4838"/>
            <w:tcBorders>
              <w:top w:val="single" w:color="9BB0C0" w:sz="4"/>
              <w:left w:val="single" w:color="9BB0C0" w:sz="4"/>
              <w:bottom w:val="single" w:color="9BB0C0" w:sz="4"/>
              <w:right w:val="single" w:color="9BB0C0" w:sz="4"/>
            </w:tcBorders>
            <w:tcMar>
              <w:top w:type="dxa" w:w="60"/>
              <w:left w:type="dxa" w:w="90"/>
              <w:bottom w:type="dxa" w:w="60"/>
              <w:right w:type="dxa" w:w="90"/>
            </w:tcMar>
          </w:tcPr>
          <w:p>
            <w:r>
              <w:rPr>
                <w:rFonts w:ascii="Calibri" w:cs="Calibri" w:eastAsia="Calibri" w:hAnsi="Calibri"/>
                <w:b w:val="false"/>
                <w:bCs w:val="false"/>
                <w:color w:val="183047"/>
                <w:sz w:val="18"/>
                <w:szCs w:val="18"/>
              </w:rPr>
              <w:t xml:space="preserve">Extracted archive passed the full test suite</w:t>
            </w:r>
          </w:p>
        </w:tc>
      </w:tr>
    </w:tbl>
    <w:p>
      <w:pPr>
        <w:spacing w:after="120" w:before="120"/>
      </w:pPr>
      <w:r>
        <w:rPr>
          <w:rFonts w:ascii="Calibri" w:cs="Calibri" w:eastAsia="Calibri" w:hAnsi="Calibri"/>
          <w:color w:val="183047"/>
          <w:sz w:val="21"/>
          <w:szCs w:val="21"/>
        </w:rPr>
        <w:t xml:space="preserve">The collection was executed with Newman, Postman's command-line runner, which executes the saved JavaScript assertions; the transcript is in docs/Aditya_Newman_Run.txt. Local results do not demonstrate production throughput, autoscaling, broker lag or 72-hour edge replay.</w:t>
      </w:r>
    </w:p>
    <w:p>
      <w:pPr>
        <w:pStyle w:val="Heading1"/>
        <w:spacing w:after="120" w:before="280"/>
      </w:pPr>
      <w:r>
        <w:rPr>
          <w:rFonts w:ascii="Calibri" w:cs="Calibri" w:eastAsia="Calibri" w:hAnsi="Calibri"/>
          <w:b/>
          <w:bCs/>
          <w:color w:val="183047"/>
          <w:sz w:val="30"/>
          <w:szCs w:val="30"/>
        </w:rPr>
        <w:t xml:space="preserve">References</w:t>
      </w:r>
    </w:p>
    <w:p>
      <w:pPr>
        <w:spacing w:after="60" w:before="0"/>
      </w:pPr>
      <w:r>
        <w:rPr>
          <w:rFonts w:ascii="Calibri" w:cs="Calibri" w:eastAsia="Calibri" w:hAnsi="Calibri"/>
          <w:color w:val="183047"/>
          <w:sz w:val="19"/>
          <w:szCs w:val="19"/>
        </w:rPr>
        <w:t xml:space="preserve">[1] Brown, S. (n.d.). Component diagram. C4 model. https://c4model.com/diagrams/component. Accessed 24 October 2026.</w:t>
      </w:r>
    </w:p>
    <w:p>
      <w:pPr>
        <w:spacing w:after="60" w:before="0"/>
      </w:pPr>
      <w:r>
        <w:rPr>
          <w:rFonts w:ascii="Calibri" w:cs="Calibri" w:eastAsia="Calibri" w:hAnsi="Calibri"/>
          <w:color w:val="183047"/>
          <w:sz w:val="19"/>
          <w:szCs w:val="19"/>
        </w:rPr>
        <w:t xml:space="preserve">[2] Brown, S. (n.d.). Dynamic diagram. C4 model. https://c4model.com/diagrams/dynamic. Accessed 24 October 2026.</w:t>
      </w:r>
    </w:p>
    <w:p>
      <w:pPr>
        <w:spacing w:after="60" w:before="0"/>
      </w:pPr>
      <w:r>
        <w:rPr>
          <w:rFonts w:ascii="Calibri" w:cs="Calibri" w:eastAsia="Calibri" w:hAnsi="Calibri"/>
          <w:color w:val="183047"/>
          <w:sz w:val="19"/>
          <w:szCs w:val="19"/>
        </w:rPr>
        <w:t xml:space="preserve">[3] Sharma, P., Singh, A., Wight, T., and Shears, B. (2026). OzAgriMate Software Architecture Proposal. Submitted ISYS3459 Assignment 2 report.</w:t>
      </w:r>
    </w:p>
    <w:p>
      <w:pPr>
        <w:spacing w:after="60" w:before="0"/>
      </w:pPr>
      <w:r>
        <w:rPr>
          <w:rFonts w:ascii="Calibri" w:cs="Calibri" w:eastAsia="Calibri" w:hAnsi="Calibri"/>
          <w:color w:val="183047"/>
          <w:sz w:val="19"/>
          <w:szCs w:val="19"/>
        </w:rPr>
        <w:t xml:space="preserve">[4] Sharma, P. (2026). OzAgriMate Architecture and Farm API; Team Integration Contract. ozagrimate-a4 repository.</w:t>
      </w:r>
    </w:p>
    <w:p>
      <w:pPr>
        <w:spacing w:after="60" w:before="0"/>
      </w:pPr>
      <w:r>
        <w:rPr>
          <w:rFonts w:ascii="Calibri" w:cs="Calibri" w:eastAsia="Calibri" w:hAnsi="Calibri"/>
          <w:color w:val="183047"/>
          <w:sz w:val="19"/>
          <w:szCs w:val="19"/>
        </w:rPr>
        <w:t xml:space="preserve">[5] RMIT University. (2026). ISYS3459 Assignment 4 Software Architecture Project activity instructions. Supplied course material.</w:t>
      </w:r>
    </w:p>
    <w:p>
      <w:pPr>
        <w:spacing w:after="60" w:before="0"/>
      </w:pPr>
      <w:r>
        <w:rPr>
          <w:rFonts w:ascii="Calibri" w:cs="Calibri" w:eastAsia="Calibri" w:hAnsi="Calibri"/>
          <w:color w:val="183047"/>
          <w:sz w:val="19"/>
          <w:szCs w:val="19"/>
        </w:rPr>
        <w:t xml:space="preserve">[6] RMIT University. (2026). ADR Template. Supplied course material.</w:t>
      </w:r>
    </w:p>
    <w:sectPr>
      <w:footerReference w:type="default" r:id="rId8"/>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183047"/>
        <w:sz w:val="17"/>
        <w:szCs w:val="17"/>
      </w:rPr>
      <w:t xml:space="preserve">Aditya Singh (s4139812) | page </w:t>
    </w:r>
    <w:r>
      <w:rPr>
        <w:rFonts w:ascii="Calibri" w:cs="Calibri" w:eastAsia="Calibri" w:hAnsi="Calibri"/>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183047"/>
        <w:sz w:val="17"/>
        <w:szCs w:val="17"/>
      </w:rPr>
      <w:t xml:space="preserve">Aditya Singh (s4139812) | page </w:t>
    </w:r>
    <w:r>
      <w:rPr>
        <w:rFonts w:ascii="Calibri" w:cs="Calibri" w:eastAsia="Calibri" w:hAnsi="Calibri"/>
        <w:sz w:val="17"/>
        <w:szCs w:val="17"/>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183047"/>
        <w:sz w:val="17"/>
        <w:szCs w:val="17"/>
      </w:rPr>
      <w:t xml:space="preserve">Aditya Singh (s4139812) | page </w:t>
    </w:r>
    <w:r>
      <w:rPr>
        <w:rFonts w:ascii="Calibri" w:cs="Calibri" w:eastAsia="Calibri" w:hAnsi="Calibri"/>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8c8204ebac8aac3efd76d5688de2acdc209a3cc1.png"/><Relationship Id="rId11" Type="http://schemas.openxmlformats.org/officeDocument/2006/relationships/image" Target="media/77a298f58e8ce7a2f3e04ed10b627a7eca322b8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OzAgriMate Telemetry Architecture and API</dc:title>
  <dc:creator>Aditya Singh</dc:creator>
  <cp:lastModifiedBy>Un-named</cp:lastModifiedBy>
  <cp:revision>1</cp:revision>
  <dcterms:created xsi:type="dcterms:W3CDTF">2026-10-24T12:50:59.259Z</dcterms:created>
  <dcterms:modified xsi:type="dcterms:W3CDTF">2026-10-24T12:50:59.259Z</dcterms:modified>
</cp:coreProperties>
</file>

<file path=docProps/custom.xml><?xml version="1.0" encoding="utf-8"?>
<Properties xmlns="http://schemas.openxmlformats.org/officeDocument/2006/custom-properties" xmlns:vt="http://schemas.openxmlformats.org/officeDocument/2006/docPropsVTypes"/>
</file>