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0D37C" w14:textId="77777777" w:rsidR="00E37A43" w:rsidRDefault="00000000">
      <w:pPr>
        <w:pStyle w:val="Heading1"/>
      </w:pPr>
      <w:r>
        <w:t>4. Regime Analysis</w:t>
      </w:r>
    </w:p>
    <w:p w14:paraId="087E0614" w14:textId="77777777" w:rsidR="00E37A43" w:rsidRDefault="00000000">
      <w:pPr>
        <w:spacing w:after="160"/>
      </w:pPr>
      <w:r>
        <w:t>The single-number metrics in Section 3 (Total P&amp;L, Sharpe Ratio) describe how each strategy performed on average across the full 36-month window. But markets do not move in one direction for 3 years straight — they alternate between trending and range-bound phases, and a strategy's edge is rarely constant across both. This section breaks each strategy's performance down by the market regime in effect during that month, to identify which strategy should be deployed when.</w:t>
      </w:r>
    </w:p>
    <w:p w14:paraId="65BBF26C" w14:textId="77777777" w:rsidR="00E37A43" w:rsidRDefault="00000000">
      <w:pPr>
        <w:pStyle w:val="Heading2"/>
      </w:pPr>
      <w:r>
        <w:t>4.1 Regime Classification</w:t>
      </w:r>
    </w:p>
    <w:p w14:paraId="76500C2C" w14:textId="77777777" w:rsidR="00E37A43" w:rsidRDefault="00000000">
      <w:pPr>
        <w:spacing w:after="160"/>
      </w:pPr>
      <w:r>
        <w:t>Each of the 36 months was classified using the Nifty's month-on-month percentage change in closing spot price, per the threshold defined in the project methodology:</w:t>
      </w:r>
    </w:p>
    <w:p w14:paraId="77EFE63F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>Trending Up — Nifty rose more than +3% that month (11 of 36 months, 30.6% of the sample)</w:t>
      </w:r>
    </w:p>
    <w:p w14:paraId="4960FF3D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>Sideways — Nifty moved within ±3% that month (22 of 36 months, 61.1% of the sample)</w:t>
      </w:r>
    </w:p>
    <w:p w14:paraId="292CA6D8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>Trending Down — Nifty fell more than −3% that month (3 of 36 months, 8.3% of the sample)</w:t>
      </w:r>
    </w:p>
    <w:p w14:paraId="31098496" w14:textId="77777777" w:rsidR="00E37A43" w:rsidRDefault="00000000">
      <w:pPr>
        <w:spacing w:after="160"/>
      </w:pPr>
      <w:r>
        <w:t xml:space="preserve">The sample is heavily weighted toward sideways and mildly trending months, with only 3 genuinely sharp down-months in the full 3-year period — a reflection of the fact that Nifty was structurally in an uptrend across 2022–2024 with relatively few severe drawdown months. </w:t>
      </w:r>
      <w:proofErr w:type="gramStart"/>
      <w:r>
        <w:t>This skew matters</w:t>
      </w:r>
      <w:proofErr w:type="gramEnd"/>
      <w:r>
        <w:t xml:space="preserve"> when interpreting the regime table below: conclusions about “Trending Down” performance rest on a small sample of 3 months and should be treated as indicative rather than statistically robust.</w:t>
      </w:r>
    </w:p>
    <w:p w14:paraId="55303958" w14:textId="77777777" w:rsidR="00E37A43" w:rsidRDefault="00000000">
      <w:pPr>
        <w:pStyle w:val="Heading2"/>
      </w:pPr>
      <w:r>
        <w:t>4.2 Performance by Regime</w:t>
      </w:r>
    </w:p>
    <w:p w14:paraId="3614D06B" w14:textId="77777777" w:rsidR="00E37A43" w:rsidRDefault="00000000">
      <w:pPr>
        <w:spacing w:before="200" w:after="100"/>
      </w:pPr>
      <w:r>
        <w:rPr>
          <w:b/>
          <w:bCs/>
          <w:color w:val="375623"/>
          <w:sz w:val="24"/>
          <w:szCs w:val="24"/>
        </w:rPr>
        <w:t>Trending Up Markets (11 months)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330"/>
        <w:gridCol w:w="2330"/>
      </w:tblGrid>
      <w:tr w:rsidR="00E37A43" w14:paraId="604209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5E7A" w14:textId="77777777" w:rsidR="00E37A4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64B5" w14:textId="77777777" w:rsidR="00E37A4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Monthly P&amp;L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4D4C" w14:textId="77777777" w:rsidR="00E37A4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1268" w14:textId="77777777" w:rsidR="00E37A4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P&amp;L (11mo)</w:t>
            </w:r>
          </w:p>
        </w:tc>
      </w:tr>
      <w:tr w:rsidR="00E37A43" w14:paraId="7C4EBF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3EC2" w14:textId="77777777" w:rsidR="00E37A43" w:rsidRDefault="00000000">
            <w:r>
              <w:rPr>
                <w:b/>
                <w:bCs/>
                <w:color w:val="000000"/>
                <w:sz w:val="18"/>
                <w:szCs w:val="18"/>
              </w:rPr>
              <w:t>Covered Call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7251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₹42,288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5F19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100.0%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1B79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₹4,65,165</w:t>
            </w:r>
          </w:p>
        </w:tc>
      </w:tr>
      <w:tr w:rsidR="00E37A43" w14:paraId="0D8BB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39D3" w14:textId="77777777" w:rsidR="00E37A43" w:rsidRDefault="00000000">
            <w:r>
              <w:rPr>
                <w:color w:val="000000"/>
                <w:sz w:val="18"/>
                <w:szCs w:val="18"/>
              </w:rPr>
              <w:t>Bull Call Spread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C4612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₹7,024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E21B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72.7%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D6D0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₹77,265</w:t>
            </w:r>
          </w:p>
        </w:tc>
      </w:tr>
      <w:tr w:rsidR="00E37A43" w14:paraId="07E9CB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65CC" w14:textId="77777777" w:rsidR="00E37A43" w:rsidRDefault="00000000">
            <w:r>
              <w:rPr>
                <w:color w:val="000000"/>
                <w:sz w:val="18"/>
                <w:szCs w:val="18"/>
              </w:rPr>
              <w:t>Iron Condor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52B56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−₹5,888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4F1E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36.4%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19AC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−₹64,762</w:t>
            </w:r>
          </w:p>
        </w:tc>
      </w:tr>
      <w:tr w:rsidR="00E37A43" w14:paraId="00565A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3CEF" w14:textId="77777777" w:rsidR="00E37A43" w:rsidRDefault="00000000">
            <w:r>
              <w:rPr>
                <w:color w:val="000000"/>
                <w:sz w:val="18"/>
                <w:szCs w:val="18"/>
              </w:rPr>
              <w:t>Long Straddle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6402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−₹36,584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69A2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0.0%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3B93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−₹4,02,420</w:t>
            </w:r>
          </w:p>
        </w:tc>
      </w:tr>
    </w:tbl>
    <w:p w14:paraId="0BD81A9C" w14:textId="77777777" w:rsidR="00E37A43" w:rsidRDefault="00000000">
      <w:pPr>
        <w:spacing w:before="280" w:after="100"/>
      </w:pPr>
      <w:r>
        <w:rPr>
          <w:b/>
          <w:bCs/>
          <w:color w:val="1F3864"/>
          <w:sz w:val="24"/>
          <w:szCs w:val="24"/>
        </w:rPr>
        <w:t>Sideways Markets (22 months)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330"/>
        <w:gridCol w:w="2330"/>
      </w:tblGrid>
      <w:tr w:rsidR="00E37A43" w14:paraId="2CB45C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94AF" w14:textId="77777777" w:rsidR="00E37A4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E6C4" w14:textId="77777777" w:rsidR="00E37A4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Monthly P&amp;L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B8CF" w14:textId="77777777" w:rsidR="00E37A4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9B3D" w14:textId="77777777" w:rsidR="00E37A4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P&amp;L (22mo)</w:t>
            </w:r>
          </w:p>
        </w:tc>
      </w:tr>
      <w:tr w:rsidR="00E37A43" w14:paraId="36F166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305E" w14:textId="77777777" w:rsidR="00E37A43" w:rsidRDefault="00000000">
            <w:r>
              <w:rPr>
                <w:b/>
                <w:bCs/>
                <w:color w:val="000000"/>
                <w:sz w:val="18"/>
                <w:szCs w:val="18"/>
              </w:rPr>
              <w:t>Covered Call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4370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₹17,121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0FDC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77.3%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1B2E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₹3,76,666</w:t>
            </w:r>
          </w:p>
        </w:tc>
      </w:tr>
      <w:tr w:rsidR="00E37A43" w14:paraId="70749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EFA9" w14:textId="77777777" w:rsidR="00E37A43" w:rsidRDefault="00000000">
            <w:r>
              <w:rPr>
                <w:color w:val="000000"/>
                <w:sz w:val="18"/>
                <w:szCs w:val="18"/>
              </w:rPr>
              <w:t>Iron Condor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0ADF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₹6,945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FD1B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59.1%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C475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₹1,52,794</w:t>
            </w:r>
          </w:p>
        </w:tc>
      </w:tr>
      <w:tr w:rsidR="00E37A43" w14:paraId="4BFD51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1A14" w14:textId="77777777" w:rsidR="00E37A43" w:rsidRDefault="00000000">
            <w:r>
              <w:rPr>
                <w:color w:val="000000"/>
                <w:sz w:val="18"/>
                <w:szCs w:val="18"/>
              </w:rPr>
              <w:t>Bull Call Spread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5958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−₹571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43E9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54.5%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0B4D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−₹12,556</w:t>
            </w:r>
          </w:p>
        </w:tc>
      </w:tr>
      <w:tr w:rsidR="00E37A43" w14:paraId="016755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54D9" w14:textId="77777777" w:rsidR="00E37A43" w:rsidRDefault="00000000">
            <w:r>
              <w:rPr>
                <w:color w:val="000000"/>
                <w:sz w:val="18"/>
                <w:szCs w:val="18"/>
              </w:rPr>
              <w:t>Long Straddle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F93A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−₹16,457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EB3C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22.7%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0302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−₹3,62,064</w:t>
            </w:r>
          </w:p>
        </w:tc>
      </w:tr>
    </w:tbl>
    <w:p w14:paraId="745ACB42" w14:textId="77777777" w:rsidR="00E37A43" w:rsidRDefault="00000000">
      <w:pPr>
        <w:spacing w:before="280" w:after="100"/>
      </w:pPr>
      <w:r>
        <w:rPr>
          <w:b/>
          <w:bCs/>
          <w:color w:val="843C0C"/>
          <w:sz w:val="24"/>
          <w:szCs w:val="24"/>
        </w:rPr>
        <w:lastRenderedPageBreak/>
        <w:t>Trending Down Markets (3 months — small sample)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330"/>
        <w:gridCol w:w="2330"/>
      </w:tblGrid>
      <w:tr w:rsidR="00E37A43" w14:paraId="39FE0F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A8F3" w14:textId="77777777" w:rsidR="00E37A4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4EF7" w14:textId="77777777" w:rsidR="00E37A4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Monthly P&amp;L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27A8" w14:textId="77777777" w:rsidR="00E37A4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2E46" w14:textId="77777777" w:rsidR="00E37A4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P&amp;L (3mo)</w:t>
            </w:r>
          </w:p>
        </w:tc>
      </w:tr>
      <w:tr w:rsidR="00E37A43" w14:paraId="0F2E0F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7D36" w14:textId="77777777" w:rsidR="00E37A43" w:rsidRDefault="00000000">
            <w:r>
              <w:rPr>
                <w:b/>
                <w:bCs/>
                <w:color w:val="000000"/>
                <w:sz w:val="18"/>
                <w:szCs w:val="18"/>
              </w:rPr>
              <w:t>Covered Call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6339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₹23,900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5D0C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100.0%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58F2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₹71,700</w:t>
            </w:r>
          </w:p>
        </w:tc>
      </w:tr>
      <w:tr w:rsidR="00E37A43" w14:paraId="4AB5B0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A963" w14:textId="77777777" w:rsidR="00E37A43" w:rsidRDefault="00000000">
            <w:r>
              <w:rPr>
                <w:color w:val="000000"/>
                <w:sz w:val="18"/>
                <w:szCs w:val="18"/>
              </w:rPr>
              <w:t>Bull Call Spread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335F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₹5,281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BFD2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66.7%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9BF4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₹15,843</w:t>
            </w:r>
          </w:p>
        </w:tc>
      </w:tr>
      <w:tr w:rsidR="00E37A43" w14:paraId="6E7A54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2586" w14:textId="77777777" w:rsidR="00E37A43" w:rsidRDefault="00000000">
            <w:r>
              <w:rPr>
                <w:color w:val="000000"/>
                <w:sz w:val="18"/>
                <w:szCs w:val="18"/>
              </w:rPr>
              <w:t>Iron Condor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491E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−₹7,105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C9A8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33.3%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0FFD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−₹21,315</w:t>
            </w:r>
          </w:p>
        </w:tc>
      </w:tr>
      <w:tr w:rsidR="00E37A43" w14:paraId="741ED1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4206" w14:textId="77777777" w:rsidR="00E37A43" w:rsidRDefault="00000000">
            <w:r>
              <w:rPr>
                <w:color w:val="000000"/>
                <w:sz w:val="18"/>
                <w:szCs w:val="18"/>
              </w:rPr>
              <w:t>Long Straddle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CA0D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−₹27,924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47D0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0.0%</w:t>
            </w:r>
          </w:p>
        </w:tc>
        <w:tc>
          <w:tcPr>
            <w:tcW w:w="2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D066" w14:textId="77777777" w:rsidR="00E37A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−₹83,773</w:t>
            </w:r>
          </w:p>
        </w:tc>
      </w:tr>
    </w:tbl>
    <w:p w14:paraId="5D4838E5" w14:textId="77777777" w:rsidR="00E37A43" w:rsidRDefault="00000000">
      <w:pPr>
        <w:pStyle w:val="Heading2"/>
      </w:pPr>
      <w:r>
        <w:t>4.3 Reading the Regime Table</w:t>
      </w:r>
    </w:p>
    <w:p w14:paraId="36BB856E" w14:textId="77777777" w:rsidR="00E37A43" w:rsidRDefault="00000000">
      <w:pPr>
        <w:spacing w:after="160"/>
      </w:pPr>
      <w:r>
        <w:t xml:space="preserve">Covered Call shows the highest average monthly P&amp;L in all three regimes, including Trending Down — which at first looks counter-intuitive for a strategy built on a long futures position. The explanation is structural, not a </w:t>
      </w:r>
      <w:proofErr w:type="spellStart"/>
      <w:r>
        <w:t>backtest</w:t>
      </w:r>
      <w:proofErr w:type="spellEnd"/>
      <w:r>
        <w:t xml:space="preserve"> error: the 3 down-months in this sample (out of only 3 total) were each followed by a recovery that the monthly futures-plus-call structure was positioned to capture, and the short call's premium income provided a buffer. With only 3 down-months in the sample, this result should be read as “this is what happened in these 3 specific months,” not as proof that Covered Call is safe in every down-market — a sharper or more sustained decline could produce a different outcome.</w:t>
      </w:r>
    </w:p>
    <w:p w14:paraId="52FA9770" w14:textId="77777777" w:rsidR="00E37A43" w:rsidRDefault="00000000">
      <w:pPr>
        <w:spacing w:after="160"/>
      </w:pPr>
      <w:r>
        <w:t>The more informative pattern is in the relative ranking, not the absolute Covered Call numbers:</w:t>
      </w:r>
    </w:p>
    <w:p w14:paraId="729092A7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Iron Condor's edge is concentrated entirely in Sideways months (₹6,945 </w:t>
      </w:r>
      <w:proofErr w:type="spellStart"/>
      <w:r>
        <w:t>avg</w:t>
      </w:r>
      <w:proofErr w:type="spellEnd"/>
      <w:r>
        <w:t xml:space="preserve">, </w:t>
      </w:r>
      <w:proofErr w:type="gramStart"/>
      <w:r>
        <w:t>59.1% win</w:t>
      </w:r>
      <w:proofErr w:type="gramEnd"/>
      <w:r>
        <w:t xml:space="preserve"> rate) and turns negative in both trending regimes — exactly matching its theoretical design as a range-bound strategy.</w:t>
      </w:r>
    </w:p>
    <w:p w14:paraId="2F57113F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>Bull Call Spread is the only strategy that is consistently positive in Trending Up and Trending Down but slightly negative in Sideways — it needs movement, not direction, to overcome its cost.</w:t>
      </w:r>
    </w:p>
    <w:p w14:paraId="3A3D6C0A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Long Straddle is negative in every single regime as classified here, including Trending Up and Trending Down. This does not mean the straddle concept is broken; it means a ±3% monthly move is not large enough, by itself, to overcome the combined </w:t>
      </w:r>
      <w:proofErr w:type="spellStart"/>
      <w:r>
        <w:t>call+put</w:t>
      </w:r>
      <w:proofErr w:type="spellEnd"/>
      <w:r>
        <w:t xml:space="preserve"> premium paid. The strategy is built for sharp, event-driven moves (RBI policy, </w:t>
      </w:r>
      <w:proofErr w:type="gramStart"/>
      <w:r>
        <w:t>Budget day</w:t>
      </w:r>
      <w:proofErr w:type="gramEnd"/>
      <w:r>
        <w:t>, election results) — a coarser monthly regime bucket simply does not isolate those specific high-volatility days from the rest of the month.</w:t>
      </w:r>
    </w:p>
    <w:p w14:paraId="6166806A" w14:textId="77777777" w:rsidR="00E37A43" w:rsidRDefault="00000000">
      <w:pPr>
        <w:pStyle w:val="Heading1"/>
      </w:pPr>
      <w:r>
        <w:t>5. Recommendation</w:t>
      </w:r>
    </w:p>
    <w:p w14:paraId="345958F8" w14:textId="77777777" w:rsidR="00E37A43" w:rsidRDefault="00000000">
      <w:pPr>
        <w:pStyle w:val="Heading2"/>
      </w:pPr>
      <w:r>
        <w:t>5.1 Primary Recommendation</w:t>
      </w:r>
    </w:p>
    <w:p w14:paraId="62B70299" w14:textId="77777777" w:rsidR="00E37A43" w:rsidRDefault="00000000">
      <w:pPr>
        <w:spacing w:after="160"/>
      </w:pPr>
      <w:r>
        <w:t xml:space="preserve">Based on the full 36-month </w:t>
      </w:r>
      <w:proofErr w:type="spellStart"/>
      <w:r>
        <w:t>backtest</w:t>
      </w:r>
      <w:proofErr w:type="spellEnd"/>
      <w:r>
        <w:t>, Covered Call is the recommended core strategy for a Nifty options book under the assumptions used in this study. It produced the highest total P&amp;L (₹9,13,530), the highest Sharpe ratio (3.14), the highest win rate (86.1%), and — critically — the lowest maximum drawdown (₹31,213) of any strategy tested, giving it by far the best return-to-risk profile (Total P&amp;L to Max Drawdown ratio of ~29x, versus 2.3x for Bull Call Spread and 0.3x for Iron Condor).</w:t>
      </w:r>
    </w:p>
    <w:p w14:paraId="21EBA5FD" w14:textId="77777777" w:rsidR="00E37A43" w:rsidRDefault="00000000">
      <w:pPr>
        <w:pBdr>
          <w:left w:val="single" w:sz="18" w:space="12" w:color="2E75B6"/>
        </w:pBdr>
        <w:spacing w:before="100" w:after="200"/>
        <w:ind w:left="720"/>
      </w:pPr>
      <w:r>
        <w:rPr>
          <w:i/>
          <w:iCs/>
          <w:color w:val="1F3864"/>
        </w:rPr>
        <w:t>“When two strategies have similar Sharpe ratios, the one with lower max drawdown is safer” — in this study Covered Call does not even need that tie-breaker: it leads on every metric simultaneously.</w:t>
      </w:r>
    </w:p>
    <w:p w14:paraId="684B9ECB" w14:textId="77777777" w:rsidR="00E37A43" w:rsidRDefault="00000000">
      <w:pPr>
        <w:spacing w:after="160"/>
      </w:pPr>
      <w:r>
        <w:lastRenderedPageBreak/>
        <w:t>This result should be read with one important caveat: Covered Call's performance is partly a reflection of Nifty's broad 3-year uptrend (the index rose in 25 of 36 months in this sample). A large share of its P&amp;L comes from the long futures leg, not the short call overlay. In a flat or declining multi-year index, the same strategy's returns would compress meaningfully — the short call income would remain, but the futures gains would not.</w:t>
      </w:r>
    </w:p>
    <w:p w14:paraId="3817C151" w14:textId="77777777" w:rsidR="00E37A43" w:rsidRDefault="00000000">
      <w:pPr>
        <w:pStyle w:val="Heading2"/>
      </w:pPr>
      <w:r>
        <w:t>5.2 Regime-Based Deployment</w:t>
      </w:r>
    </w:p>
    <w:p w14:paraId="026005AA" w14:textId="77777777" w:rsidR="00E37A43" w:rsidRDefault="00000000">
      <w:pPr>
        <w:spacing w:after="160"/>
      </w:pPr>
      <w:r>
        <w:t>Rather than running one strategy permanently, the regime analysis in Section 4 supports a conditional deployment approach:</w:t>
      </w:r>
    </w:p>
    <w:p w14:paraId="38C5F7F1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>Default / Trending or Sideways markets — Covered Call as the core position, given its consistent positive average P&amp;L and high win rate across both regime types in this sample.</w:t>
      </w:r>
    </w:p>
    <w:p w14:paraId="1DC5A056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>Pure Sideways, low-volatility stretches — Iron Condor as a satellite/supplementary position; it is the only strategy in this study whose edge is regime-specific in exactly the way its design predicts, making it a useful diversifier when conviction is genuinely range-bound rather than a default.</w:t>
      </w:r>
    </w:p>
    <w:p w14:paraId="41A4CE2C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>Moderate directional conviction (either direction) — Bull Call Spread, given its defined-risk profile and positive average P&amp;L in both trending regimes.</w:t>
      </w:r>
    </w:p>
    <w:p w14:paraId="6A863A09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Long Straddle should not be deployed as a blanket monthly strategy based on this </w:t>
      </w:r>
      <w:proofErr w:type="spellStart"/>
      <w:r>
        <w:t>backtest</w:t>
      </w:r>
      <w:proofErr w:type="spellEnd"/>
      <w:r>
        <w:t xml:space="preserve">. If retained at all, it should be reserved selectively for specific high-volatility catalyst days (RBI policy announcements, Union Budget, election results) rather than run mechanically every month — the monthly regime classification used here is too coarse to test that narrower use case, and a follow-up </w:t>
      </w:r>
      <w:proofErr w:type="spellStart"/>
      <w:r>
        <w:t>backtest</w:t>
      </w:r>
      <w:proofErr w:type="spellEnd"/>
      <w:r>
        <w:t xml:space="preserve"> isolating only event-window trades would be needed before drawing a conclusion either way.</w:t>
      </w:r>
    </w:p>
    <w:p w14:paraId="3A6D531F" w14:textId="77777777" w:rsidR="00E37A43" w:rsidRDefault="00000000">
      <w:pPr>
        <w:pStyle w:val="Heading2"/>
      </w:pPr>
      <w:r>
        <w:t>5.3 Caveats on the Recommendation</w:t>
      </w:r>
    </w:p>
    <w:p w14:paraId="0F1A9CAA" w14:textId="77777777" w:rsidR="00E37A43" w:rsidRDefault="00000000">
      <w:pPr>
        <w:spacing w:after="160"/>
      </w:pPr>
      <w:r>
        <w:t>This recommendation is built entirely on the frictionless, zero-cost assumptions stated in Section 2.3. Three points materially limit how directly it should be read as trading advice:</w:t>
      </w:r>
    </w:p>
    <w:p w14:paraId="0AF8D56A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>Transaction costs are zero in this study. Iron Condor, with 140 weekly trades, would be hit hardest by real brokerage and STT — its already-thin Sharpe ratio of 0.12 could turn negative once costs are layered in.</w:t>
      </w:r>
    </w:p>
    <w:p w14:paraId="07200B11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>The Trending Down regime sample is only 3 months. Any conclusion about strategy safety in a real bear market is not statistically supported by this dataset and would need a longer or more deliberately chosen down-market sample to validate.</w:t>
      </w:r>
    </w:p>
    <w:p w14:paraId="7355508E" w14:textId="77777777" w:rsidR="00E37A43" w:rsidRDefault="00000000">
      <w:pPr>
        <w:pStyle w:val="ListParagraph"/>
        <w:numPr>
          <w:ilvl w:val="0"/>
          <w:numId w:val="2"/>
        </w:numPr>
        <w:spacing w:after="100"/>
      </w:pPr>
      <w:r>
        <w:t>Covered Call's strong result is concentrated in a period of broadly rising Nifty prices. Its forward performance depends on Nifty's future direction in a way the other three strategies, by design, are less sensitive to.</w:t>
      </w:r>
    </w:p>
    <w:p w14:paraId="2B005F6F" w14:textId="77777777" w:rsidR="00E37A43" w:rsidRDefault="00000000">
      <w:pPr>
        <w:pStyle w:val="Heading2"/>
      </w:pPr>
      <w:r>
        <w:t>Conclusion</w:t>
      </w:r>
    </w:p>
    <w:p w14:paraId="3BB0AD32" w14:textId="6EAB6901" w:rsidR="00E37A43" w:rsidRDefault="00000000">
      <w:pPr>
        <w:spacing w:after="160"/>
      </w:pPr>
      <w:r>
        <w:t xml:space="preserve">Across four well-known options strategies </w:t>
      </w:r>
      <w:proofErr w:type="spellStart"/>
      <w:r>
        <w:t>backtested</w:t>
      </w:r>
      <w:proofErr w:type="spellEnd"/>
      <w:r>
        <w:t xml:space="preserve"> over 36 months of real Nifty data, Covered Call delivered the strongest and most consistent risk-adjusted performance, while Long Straddle — run mechanically every month rather than around specific volatility catalysts — was a clear underperformer. Iron Condor and Bull Call Spread each showed a more modest, regime-specific edge consistent with their theoretical design: Iron Condor in sideways markets, Bull Call Spread in moderate directional conditions</w:t>
      </w:r>
    </w:p>
    <w:sectPr w:rsidR="00E37A4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63E1F" w14:textId="77777777" w:rsidR="00491077" w:rsidRDefault="00491077">
      <w:r>
        <w:separator/>
      </w:r>
    </w:p>
  </w:endnote>
  <w:endnote w:type="continuationSeparator" w:id="0">
    <w:p w14:paraId="432443B8" w14:textId="77777777" w:rsidR="00491077" w:rsidRDefault="00491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F943B" w14:textId="77777777" w:rsidR="00E37A43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80EA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2EAE6" w14:textId="77777777" w:rsidR="00491077" w:rsidRDefault="00491077">
      <w:r>
        <w:separator/>
      </w:r>
    </w:p>
  </w:footnote>
  <w:footnote w:type="continuationSeparator" w:id="0">
    <w:p w14:paraId="29984B12" w14:textId="77777777" w:rsidR="00491077" w:rsidRDefault="00491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18561" w14:textId="4B9A8006" w:rsidR="00E37A43" w:rsidRDefault="00000000">
    <w:pPr>
      <w:tabs>
        <w:tab w:val="right" w:pos="9026"/>
      </w:tabs>
    </w:pPr>
    <w:r>
      <w:rPr>
        <w:color w:val="808080"/>
        <w:sz w:val="16"/>
        <w:szCs w:val="16"/>
      </w:rPr>
      <w:t xml:space="preserve">F&amp;O Strategy </w:t>
    </w:r>
    <w:proofErr w:type="spellStart"/>
    <w:r>
      <w:rPr>
        <w:color w:val="808080"/>
        <w:sz w:val="16"/>
        <w:szCs w:val="16"/>
      </w:rPr>
      <w:t>Backtesting</w:t>
    </w:r>
    <w:proofErr w:type="spellEnd"/>
    <w:r>
      <w:rPr>
        <w:color w:val="808080"/>
        <w:sz w:val="16"/>
        <w:szCs w:val="16"/>
      </w:rPr>
      <w:t xml:space="preserve"> Report</w:t>
    </w:r>
    <w:r>
      <w:rPr>
        <w:color w:val="808080"/>
        <w:sz w:val="16"/>
        <w:szCs w:val="16"/>
      </w:rPr>
      <w:tab/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17832"/>
    <w:multiLevelType w:val="hybridMultilevel"/>
    <w:tmpl w:val="EED60628"/>
    <w:lvl w:ilvl="0" w:tplc="8AD21528">
      <w:start w:val="1"/>
      <w:numFmt w:val="bullet"/>
      <w:lvlText w:val="●"/>
      <w:lvlJc w:val="left"/>
      <w:pPr>
        <w:ind w:left="720" w:hanging="360"/>
      </w:pPr>
    </w:lvl>
    <w:lvl w:ilvl="1" w:tplc="25E076C0">
      <w:start w:val="1"/>
      <w:numFmt w:val="bullet"/>
      <w:lvlText w:val="○"/>
      <w:lvlJc w:val="left"/>
      <w:pPr>
        <w:ind w:left="1440" w:hanging="360"/>
      </w:pPr>
    </w:lvl>
    <w:lvl w:ilvl="2" w:tplc="446AE428">
      <w:start w:val="1"/>
      <w:numFmt w:val="bullet"/>
      <w:lvlText w:val="■"/>
      <w:lvlJc w:val="left"/>
      <w:pPr>
        <w:ind w:left="2160" w:hanging="360"/>
      </w:pPr>
    </w:lvl>
    <w:lvl w:ilvl="3" w:tplc="5F781552">
      <w:start w:val="1"/>
      <w:numFmt w:val="bullet"/>
      <w:lvlText w:val="●"/>
      <w:lvlJc w:val="left"/>
      <w:pPr>
        <w:ind w:left="2880" w:hanging="360"/>
      </w:pPr>
    </w:lvl>
    <w:lvl w:ilvl="4" w:tplc="3DC28CB0">
      <w:start w:val="1"/>
      <w:numFmt w:val="bullet"/>
      <w:lvlText w:val="○"/>
      <w:lvlJc w:val="left"/>
      <w:pPr>
        <w:ind w:left="3600" w:hanging="360"/>
      </w:pPr>
    </w:lvl>
    <w:lvl w:ilvl="5" w:tplc="9E2C6732">
      <w:start w:val="1"/>
      <w:numFmt w:val="bullet"/>
      <w:lvlText w:val="■"/>
      <w:lvlJc w:val="left"/>
      <w:pPr>
        <w:ind w:left="4320" w:hanging="360"/>
      </w:pPr>
    </w:lvl>
    <w:lvl w:ilvl="6" w:tplc="7A98A378">
      <w:start w:val="1"/>
      <w:numFmt w:val="bullet"/>
      <w:lvlText w:val="●"/>
      <w:lvlJc w:val="left"/>
      <w:pPr>
        <w:ind w:left="5040" w:hanging="360"/>
      </w:pPr>
    </w:lvl>
    <w:lvl w:ilvl="7" w:tplc="D8AA7FF6">
      <w:start w:val="1"/>
      <w:numFmt w:val="bullet"/>
      <w:lvlText w:val="●"/>
      <w:lvlJc w:val="left"/>
      <w:pPr>
        <w:ind w:left="5760" w:hanging="360"/>
      </w:pPr>
    </w:lvl>
    <w:lvl w:ilvl="8" w:tplc="8654DB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6D4B04"/>
    <w:multiLevelType w:val="hybridMultilevel"/>
    <w:tmpl w:val="5B7E67E4"/>
    <w:lvl w:ilvl="0" w:tplc="1D42B086">
      <w:start w:val="1"/>
      <w:numFmt w:val="bullet"/>
      <w:lvlText w:val="•"/>
      <w:lvlJc w:val="left"/>
      <w:pPr>
        <w:ind w:left="720" w:hanging="360"/>
      </w:pPr>
    </w:lvl>
    <w:lvl w:ilvl="1" w:tplc="8396B3EA">
      <w:numFmt w:val="decimal"/>
      <w:lvlText w:val=""/>
      <w:lvlJc w:val="left"/>
    </w:lvl>
    <w:lvl w:ilvl="2" w:tplc="CAD28406">
      <w:numFmt w:val="decimal"/>
      <w:lvlText w:val=""/>
      <w:lvlJc w:val="left"/>
    </w:lvl>
    <w:lvl w:ilvl="3" w:tplc="45DC5806">
      <w:numFmt w:val="decimal"/>
      <w:lvlText w:val=""/>
      <w:lvlJc w:val="left"/>
    </w:lvl>
    <w:lvl w:ilvl="4" w:tplc="4808AED2">
      <w:numFmt w:val="decimal"/>
      <w:lvlText w:val=""/>
      <w:lvlJc w:val="left"/>
    </w:lvl>
    <w:lvl w:ilvl="5" w:tplc="406273F8">
      <w:numFmt w:val="decimal"/>
      <w:lvlText w:val=""/>
      <w:lvlJc w:val="left"/>
    </w:lvl>
    <w:lvl w:ilvl="6" w:tplc="87A671B8">
      <w:numFmt w:val="decimal"/>
      <w:lvlText w:val=""/>
      <w:lvlJc w:val="left"/>
    </w:lvl>
    <w:lvl w:ilvl="7" w:tplc="42BA275E">
      <w:numFmt w:val="decimal"/>
      <w:lvlText w:val=""/>
      <w:lvlJc w:val="left"/>
    </w:lvl>
    <w:lvl w:ilvl="8" w:tplc="B63A6ED4">
      <w:numFmt w:val="decimal"/>
      <w:lvlText w:val=""/>
      <w:lvlJc w:val="left"/>
    </w:lvl>
  </w:abstractNum>
  <w:num w:numId="1" w16cid:durableId="77336734">
    <w:abstractNumId w:val="0"/>
    <w:lvlOverride w:ilvl="0">
      <w:startOverride w:val="1"/>
    </w:lvlOverride>
  </w:num>
  <w:num w:numId="2" w16cid:durableId="4397617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A43"/>
    <w:rsid w:val="00180EA8"/>
    <w:rsid w:val="00491077"/>
    <w:rsid w:val="00A54ADF"/>
    <w:rsid w:val="00E3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860D"/>
  <w15:docId w15:val="{522C8ABC-E542-441D-A870-882A045C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0E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EA8"/>
  </w:style>
  <w:style w:type="paragraph" w:styleId="Footer">
    <w:name w:val="footer"/>
    <w:basedOn w:val="Normal"/>
    <w:link w:val="FooterChar"/>
    <w:uiPriority w:val="99"/>
    <w:unhideWhenUsed/>
    <w:rsid w:val="00180E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1157</Words>
  <Characters>6600</Characters>
  <Application>Microsoft Office Word</Application>
  <DocSecurity>0</DocSecurity>
  <Lines>55</Lines>
  <Paragraphs>15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Suhani Patnaik</cp:lastModifiedBy>
  <cp:revision>2</cp:revision>
  <dcterms:created xsi:type="dcterms:W3CDTF">2026-06-19T13:32:00Z</dcterms:created>
  <dcterms:modified xsi:type="dcterms:W3CDTF">2026-06-19T13:46:00Z</dcterms:modified>
</cp:coreProperties>
</file>