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Bdr>
          <w:bottom w:val="single" w:sz="6" w:space="6" w:color="BFBFBF"/>
        </w:pBdr>
        <w:spacing w:before="0" w:after="240"/>
      </w:pPr>
      <w:r>
        <w:rPr>
          <w:b/>
          <w:color w:val="1F3864"/>
          <w:sz w:val="72"/>
          <w:szCs w:val="72"/>
        </w:rPr>
        <w:t xml:space="preserve">SAM.gov Opportunity Filter — Code Whitelist for Review</w:t>
      </w:r>
    </w:p>
    <w:p>
      <w:pPr>
        <w:spacing w:before="0" w:after="140"/>
      </w:pPr>
      <w:r>
        <w:rPr>
          <w:b/>
        </w:rPr>
        <w:t xml:space="preserve">Prepared for:</w:t>
      </w:r>
      <w:r>
        <w:t xml:space="preserve"> Leadership review</w:t>
      </w:r>
    </w:p>
    <w:p>
      <w:pPr>
        <w:spacing w:before="0" w:after="140"/>
      </w:pPr>
      <w:r>
        <w:rPr>
          <w:b/>
        </w:rPr>
        <w:t xml:space="preserve">Prepared by:</w:t>
      </w:r>
      <w:r>
        <w:t xml:space="preserve"> Federico Aguilar</w:t>
      </w:r>
    </w:p>
    <w:p>
      <w:pPr>
        <w:spacing w:before="0" w:after="140"/>
      </w:pPr>
      <w:r>
        <w:rPr>
          <w:b/>
        </w:rPr>
        <w:t xml:space="preserve">Date:</w:t>
      </w:r>
      <w:r>
        <w:t xml:space="preserve"> 2026-08-28</w:t>
      </w:r>
    </w:p>
    <w:p>
      <w:pPr>
        <w:spacing w:before="0" w:after="140"/>
      </w:pPr>
      <w:r>
        <w:rPr>
          <w:b/>
        </w:rPr>
        <w:t xml:space="preserve">Source of truth:</w:t>
      </w:r>
      <w:r>
        <w:t xml:space="preserve"> </w:t>
      </w:r>
      <w:r>
        <w:rPr>
          <w:rFonts w:ascii="Consolas" w:hAnsi="Consolas"/>
          <w:sz w:val="18"/>
          <w:szCs w:val="18"/>
        </w:rPr>
        <w:t xml:space="preserve">scrapers/samgov.py</w:t>
      </w:r>
    </w:p>
    <w:p>
      <w:pPr>
        <w:spacing w:before="0" w:after="140"/>
      </w:pPr>
      <w:r>
        <w:rPr>
          <w:b/>
        </w:rPr>
        <w:t xml:space="preserve">Code labels decoded from:</w:t>
      </w:r>
      <w:r>
        <w:t xml:space="preserve"> 2022 NAICS (US Census Bureau) and the Product &amp; Service Code Manual, April 2025 (acquisition.gov)</w:t>
      </w:r>
    </w:p>
    <w:p>
      <w:pPr>
        <w:pBdr>
          <w:bottom w:val="single" w:sz="6" w:space="6" w:color="BFBFBF"/>
        </w:pBdr>
        <w:spacing w:before="0" w:after="160"/>
      </w:pPr>
      <w:r>
        <w:t/>
      </w:r>
    </w:p>
    <w:p>
      <w:pPr>
        <w:spacing w:before="320" w:after="160"/>
      </w:pPr>
      <w:r>
        <w:rPr>
          <w:b/>
          <w:color w:val="1F3864"/>
          <w:sz w:val="52"/>
          <w:szCs w:val="52"/>
        </w:rPr>
        <w:t xml:space="preserve">What needs review</w:t>
      </w:r>
    </w:p>
    <w:p>
      <w:pPr>
        <w:spacing w:before="0" w:after="140"/>
      </w:pPr>
      <w:r>
        <w:t xml:space="preserve">Every federal solicitation posted to SAM.gov carries two classification codes assigned by the buying agency: a NAICS code (what industry the work belongs to) and a PSC code, also called a Classification Code (what is being bought). About 2,280 posts per day.</w:t>
      </w:r>
    </w:p>
    <w:p>
      <w:pPr>
        <w:spacing w:before="0" w:after="140"/>
      </w:pPr>
      <w:r>
        <w:t xml:space="preserve">We keep a whitelist of these codes. A notice whose code is on the whitelist advances for review; one whose code is not is dropped, unless it is rescued by product language (explained in Section 3).</w:t>
      </w:r>
    </w:p>
    <w:p>
      <w:pPr>
        <w:spacing w:before="0" w:after="140"/>
      </w:pPr>
      <w:r>
        <w:t xml:space="preserve">Three questions:</w:t>
      </w:r>
    </w:p>
    <w:p>
      <w:pPr>
        <w:numPr>
          <w:ilvl w:val="0"/>
          <w:numId w:val="1"/>
        </w:numPr>
        <w:spacing w:before="0" w:after="60"/>
      </w:pPr>
      <w:r>
        <w:t xml:space="preserve">Are the codes on this list the right ones?</w:t>
      </w:r>
    </w:p>
    <w:p>
      <w:pPr>
        <w:numPr>
          <w:ilvl w:val="0"/>
          <w:numId w:val="1"/>
        </w:numPr>
        <w:spacing w:before="0" w:after="60"/>
      </w:pPr>
      <w:r>
        <w:t xml:space="preserve">Are there codes missing that we should be watching?</w:t>
      </w:r>
    </w:p>
    <w:p>
      <w:pPr>
        <w:numPr>
          <w:ilvl w:val="0"/>
          <w:numId w:val="1"/>
        </w:numPr>
        <w:spacing w:before="0" w:after="60"/>
      </w:pPr>
      <w:r>
        <w:t xml:space="preserve">Should any of the broad categories be narrowed? Several currently admit large volumes of work.</w:t>
      </w:r>
    </w:p>
    <w:p>
      <w:pPr>
        <w:pBdr>
          <w:bottom w:val="single" w:sz="6" w:space="6" w:color="BFBFBF"/>
        </w:pBdr>
        <w:spacing w:before="0" w:after="160"/>
      </w:pPr>
      <w:r>
        <w:t/>
      </w:r>
    </w:p>
    <w:p>
      <w:pPr>
        <w:spacing w:before="320" w:after="160"/>
      </w:pPr>
      <w:r>
        <w:rPr>
          <w:b/>
          <w:color w:val="1F3864"/>
          <w:sz w:val="52"/>
          <w:szCs w:val="52"/>
        </w:rPr>
        <w:t xml:space="preserve">How the filter works</w:t>
      </w:r>
    </w:p>
    <w:p>
      <w:pPr>
        <w:spacing w:before="0" w:after="140"/>
      </w:pPr>
      <w:r>
        <w:t xml:space="preserve">The codes are stage one of three. A code being on the list does not mean we bid the work — it means the AI review gets to see it.</w:t>
      </w:r>
    </w:p>
    <w:tbl>
      <w:tblPr>
        <w:tblW w:w="5000" w:type="pct"/>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60" w:type="dxa"/>
          <w:bottom w:w="60" w:type="dxa"/>
          <w:left w:w="108" w:type="dxa"/>
          <w:right w:w="108" w:type="dxa"/>
        </w:tblCellMar>
      </w:tblPr>
      <w:tblGrid>
        <w:gridCol w:w="3267"/>
        <w:gridCol w:w="4680"/>
        <w:gridCol w:w="1412"/>
      </w:tblGrid>
      <w:tr>
        <w:trPr>
          <w:tblHeader/>
          <w:cantSplit/>
        </w:trPr>
        <w:tc>
          <w:tcPr>
            <w:tcW w:w="3267" w:type="dxa"/>
            <w:shd w:val="clear" w:color="auto" w:fill="E7E9EF"/>
            <w:vAlign w:val="center"/>
          </w:tcPr>
          <w:p>
            <w:pPr>
              <w:spacing w:before="0" w:after="0"/>
            </w:pPr>
            <w:r>
              <w:rPr>
                <w:b/>
                <w:color w:val="1F3864"/>
                <w:sz w:val="18"/>
                <w:szCs w:val="18"/>
              </w:rPr>
              <w:t xml:space="preserve">Stage</w:t>
            </w:r>
          </w:p>
        </w:tc>
        <w:tc>
          <w:tcPr>
            <w:tcW w:w="4680" w:type="dxa"/>
            <w:shd w:val="clear" w:color="auto" w:fill="E7E9EF"/>
            <w:vAlign w:val="center"/>
          </w:tcPr>
          <w:p>
            <w:pPr>
              <w:spacing w:before="0" w:after="0"/>
            </w:pPr>
            <w:r>
              <w:rPr>
                <w:b/>
                <w:color w:val="1F3864"/>
                <w:sz w:val="18"/>
                <w:szCs w:val="18"/>
              </w:rPr>
              <w:t xml:space="preserve">What it does</w:t>
            </w:r>
          </w:p>
        </w:tc>
        <w:tc>
          <w:tcPr>
            <w:tcW w:w="1412" w:type="dxa"/>
            <w:shd w:val="clear" w:color="auto" w:fill="E7E9EF"/>
            <w:vAlign w:val="center"/>
          </w:tcPr>
          <w:p>
            <w:pPr>
              <w:spacing w:before="0" w:after="0"/>
            </w:pPr>
            <w:r>
              <w:rPr>
                <w:b/>
                <w:color w:val="1F3864"/>
                <w:sz w:val="18"/>
                <w:szCs w:val="18"/>
              </w:rPr>
              <w:t xml:space="preserve">Per business day</w:t>
            </w:r>
          </w:p>
        </w:tc>
      </w:tr>
      <w:tr>
        <w:tc>
          <w:tcPr>
            <w:tcW w:w="3267" w:type="dxa"/>
            <w:vAlign w:val="center"/>
          </w:tcPr>
          <w:p>
            <w:pPr>
              <w:spacing w:before="0" w:after="0"/>
            </w:pPr>
            <w:r>
              <w:rPr>
                <w:sz w:val="18"/>
                <w:szCs w:val="18"/>
              </w:rPr>
              <w:t xml:space="preserve">Notice type</w:t>
            </w:r>
          </w:p>
        </w:tc>
        <w:tc>
          <w:tcPr>
            <w:tcW w:w="4680" w:type="dxa"/>
            <w:vAlign w:val="center"/>
          </w:tcPr>
          <w:p>
            <w:pPr>
              <w:spacing w:before="0" w:after="0"/>
            </w:pPr>
            <w:r>
              <w:rPr>
                <w:sz w:val="18"/>
                <w:szCs w:val="18"/>
              </w:rPr>
              <w:t xml:space="preserve">Keeps open solicitations, drops awards already made</w:t>
            </w:r>
          </w:p>
        </w:tc>
        <w:tc>
          <w:tcPr>
            <w:tcW w:w="1412" w:type="dxa"/>
            <w:vAlign w:val="center"/>
          </w:tcPr>
          <w:p>
            <w:pPr>
              <w:spacing w:before="0" w:after="0"/>
            </w:pPr>
            <w:r>
              <w:rPr>
                <w:sz w:val="18"/>
                <w:szCs w:val="18"/>
              </w:rPr>
              <w:t xml:space="preserve">2,040 to 1,269</w:t>
            </w:r>
          </w:p>
        </w:tc>
      </w:tr>
      <w:tr>
        <w:tc>
          <w:tcPr>
            <w:tcW w:w="3267" w:type="dxa"/>
            <w:vAlign w:val="center"/>
          </w:tcPr>
          <w:p>
            <w:pPr>
              <w:spacing w:before="0" w:after="0"/>
            </w:pPr>
            <w:r>
              <w:rPr>
                <w:b/>
                <w:sz w:val="18"/>
                <w:szCs w:val="18"/>
              </w:rPr>
              <w:t xml:space="preserve">Code whitelist + product language</w:t>
            </w:r>
          </w:p>
        </w:tc>
        <w:tc>
          <w:tcPr>
            <w:tcW w:w="4680" w:type="dxa"/>
            <w:vAlign w:val="center"/>
          </w:tcPr>
          <w:p>
            <w:pPr>
              <w:spacing w:before="0" w:after="0"/>
            </w:pPr>
            <w:r>
              <w:rPr>
                <w:sz w:val="18"/>
                <w:szCs w:val="18"/>
              </w:rPr>
              <w:t xml:space="preserve">The subject of this document</w:t>
            </w:r>
          </w:p>
        </w:tc>
        <w:tc>
          <w:tcPr>
            <w:tcW w:w="1412" w:type="dxa"/>
            <w:vAlign w:val="center"/>
          </w:tcPr>
          <w:p>
            <w:pPr>
              <w:spacing w:before="0" w:after="0"/>
            </w:pPr>
            <w:r>
              <w:rPr>
                <w:sz w:val="18"/>
                <w:szCs w:val="18"/>
              </w:rPr>
              <w:t xml:space="preserve">1,269 to </w:t>
            </w:r>
            <w:r>
              <w:rPr>
                <w:b/>
                <w:sz w:val="18"/>
                <w:szCs w:val="18"/>
              </w:rPr>
              <w:t xml:space="preserve">199</w:t>
            </w:r>
          </w:p>
        </w:tc>
      </w:tr>
      <w:tr>
        <w:tc>
          <w:tcPr>
            <w:tcW w:w="3267" w:type="dxa"/>
            <w:vAlign w:val="center"/>
          </w:tcPr>
          <w:p>
            <w:pPr>
              <w:spacing w:before="0" w:after="0"/>
            </w:pPr>
            <w:r>
              <w:rPr>
                <w:sz w:val="18"/>
                <w:szCs w:val="18"/>
              </w:rPr>
              <w:t xml:space="preserve">AI review</w:t>
            </w:r>
          </w:p>
        </w:tc>
        <w:tc>
          <w:tcPr>
            <w:tcW w:w="4680" w:type="dxa"/>
            <w:vAlign w:val="center"/>
          </w:tcPr>
          <w:p>
            <w:pPr>
              <w:spacing w:before="0" w:after="0"/>
            </w:pPr>
            <w:r>
              <w:rPr>
                <w:sz w:val="18"/>
                <w:szCs w:val="18"/>
              </w:rPr>
              <w:t xml:space="preserve">Reads the scope, judges fit against our product lines</w:t>
            </w:r>
          </w:p>
        </w:tc>
        <w:tc>
          <w:tcPr>
            <w:tcW w:w="1412" w:type="dxa"/>
            <w:vAlign w:val="center"/>
          </w:tcPr>
          <w:p>
            <w:pPr>
              <w:spacing w:before="0" w:after="0"/>
            </w:pPr>
            <w:r>
              <w:rPr>
                <w:sz w:val="18"/>
                <w:szCs w:val="18"/>
              </w:rPr>
              <w:t xml:space="preserve">199 to a handful</w:t>
            </w:r>
          </w:p>
        </w:tc>
      </w:tr>
    </w:tbl>
    <w:p>
      <w:pPr>
        <w:spacing w:before="0" w:after="120"/>
      </w:pPr>
      <w:r>
        <w:t/>
      </w:r>
    </w:p>
    <w:p>
      <w:pPr>
        <w:spacing w:before="0" w:after="140"/>
      </w:pPr>
      <w:r>
        <w:t xml:space="preserve">Measured over eight complete business days of the live feed. Volume collapses to near zero on weekends, so these are business-day averages.</w:t>
      </w:r>
    </w:p>
    <w:p>
      <w:pPr>
        <w:spacing w:before="0" w:after="140"/>
      </w:pPr>
      <w:r>
        <w:rPr>
          <w:b/>
        </w:rPr>
        <w:t xml:space="preserve">PSC decides. NAICS is a fallback.</w:t>
      </w:r>
      <w:r>
        <w:t xml:space="preserve"> PSC says what is being bought; NAICS says what industry the seller is in. When they disagree, PSC is right — a plumbing contractor's chiller replacement carries NAICS 238220, which is on our list, and PSC J041, which is not. NAICS is therefore only consulted when the agency leaves PSC blank. That has not happened once in 14,137 notices.</w:t>
      </w:r>
    </w:p>
    <w:p>
      <w:pPr>
        <w:pBdr>
          <w:bottom w:val="single" w:sz="6" w:space="6" w:color="BFBFBF"/>
        </w:pBdr>
        <w:spacing w:before="0" w:after="160"/>
      </w:pPr>
      <w:r>
        <w:t/>
      </w:r>
    </w:p>
    <w:p>
      <w:pPr>
        <w:spacing w:before="320" w:after="160"/>
      </w:pPr>
      <w:r>
        <w:rPr>
          <w:b/>
          <w:color w:val="1F3864"/>
          <w:sz w:val="52"/>
          <w:szCs w:val="52"/>
        </w:rPr>
        <w:t xml:space="preserve">Section 1 — PSC whitelist (7 prefixes, 365 codes)</w:t>
      </w:r>
    </w:p>
    <w:p>
      <w:pPr>
        <w:spacing w:before="0" w:after="140"/>
      </w:pPr>
      <w:r>
        <w:t xml:space="preserve">This is the gate that does the work.</w:t>
      </w:r>
    </w:p>
    <w:p>
      <w:pPr>
        <w:spacing w:before="0" w:after="140"/>
      </w:pPr>
      <w:r>
        <w:t xml:space="preserve">PSC codes are hierarchical: </w:t>
      </w:r>
      <w:r>
        <w:rPr>
          <w:rFonts w:ascii="Consolas" w:hAnsi="Consolas"/>
          <w:sz w:val="18"/>
          <w:szCs w:val="18"/>
        </w:rPr>
        <w:t xml:space="preserve">Y1</w:t>
      </w:r>
      <w:r>
        <w:t xml:space="preserve"> is a category, </w:t>
      </w:r>
      <w:r>
        <w:rPr>
          <w:rFonts w:ascii="Consolas" w:hAnsi="Consolas"/>
          <w:sz w:val="18"/>
          <w:szCs w:val="18"/>
        </w:rPr>
        <w:t xml:space="preserve">Y1BE</w:t>
      </w:r>
      <w:r>
        <w:t xml:space="preserve"> is a specific service inside it. We match on prefix, so whitelisting </w:t>
      </w:r>
      <w:r>
        <w:rPr>
          <w:rFonts w:ascii="Consolas" w:hAnsi="Consolas"/>
          <w:sz w:val="18"/>
          <w:szCs w:val="18"/>
        </w:rPr>
        <w:t xml:space="preserve">63</w:t>
      </w:r>
      <w:r>
        <w:t xml:space="preserve"> admits every code beginning with 63.</w:t>
      </w:r>
    </w:p>
    <w:tbl>
      <w:tblPr>
        <w:tblW w:w="5000" w:type="pct"/>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60" w:type="dxa"/>
          <w:bottom w:w="60" w:type="dxa"/>
          <w:left w:w="108" w:type="dxa"/>
          <w:right w:w="108" w:type="dxa"/>
        </w:tblCellMar>
      </w:tblPr>
      <w:tblGrid>
        <w:gridCol w:w="706"/>
        <w:gridCol w:w="4150"/>
        <w:gridCol w:w="1236"/>
        <w:gridCol w:w="3267"/>
      </w:tblGrid>
      <w:tr>
        <w:trPr>
          <w:tblHeader/>
          <w:cantSplit/>
        </w:trPr>
        <w:tc>
          <w:tcPr>
            <w:tcW w:w="706" w:type="dxa"/>
            <w:shd w:val="clear" w:color="auto" w:fill="E7E9EF"/>
            <w:vAlign w:val="center"/>
          </w:tcPr>
          <w:p>
            <w:pPr>
              <w:spacing w:before="0" w:after="0"/>
            </w:pPr>
            <w:r>
              <w:rPr>
                <w:b/>
                <w:color w:val="1F3864"/>
                <w:sz w:val="18"/>
                <w:szCs w:val="18"/>
              </w:rPr>
              <w:t xml:space="preserve">Prefix</w:t>
            </w:r>
          </w:p>
        </w:tc>
        <w:tc>
          <w:tcPr>
            <w:tcW w:w="4150" w:type="dxa"/>
            <w:shd w:val="clear" w:color="auto" w:fill="E7E9EF"/>
            <w:vAlign w:val="center"/>
          </w:tcPr>
          <w:p>
            <w:pPr>
              <w:spacing w:before="0" w:after="0"/>
            </w:pPr>
            <w:r>
              <w:rPr>
                <w:b/>
                <w:color w:val="1F3864"/>
                <w:sz w:val="18"/>
                <w:szCs w:val="18"/>
              </w:rPr>
              <w:t xml:space="preserve">Official category</w:t>
            </w:r>
          </w:p>
        </w:tc>
        <w:tc>
          <w:tcPr>
            <w:tcW w:w="1236" w:type="dxa"/>
            <w:shd w:val="clear" w:color="auto" w:fill="E7E9EF"/>
            <w:vAlign w:val="center"/>
          </w:tcPr>
          <w:p>
            <w:pPr>
              <w:spacing w:before="0" w:after="0"/>
            </w:pPr>
            <w:r>
              <w:rPr>
                <w:b/>
                <w:color w:val="1F3864"/>
                <w:sz w:val="18"/>
                <w:szCs w:val="18"/>
              </w:rPr>
              <w:t xml:space="preserve">Codes admitted</w:t>
            </w:r>
          </w:p>
        </w:tc>
        <w:tc>
          <w:tcPr>
            <w:tcW w:w="3267" w:type="dxa"/>
            <w:shd w:val="clear" w:color="auto" w:fill="E7E9EF"/>
            <w:vAlign w:val="center"/>
          </w:tcPr>
          <w:p>
            <w:pPr>
              <w:spacing w:before="0" w:after="0"/>
            </w:pPr>
            <w:r>
              <w:rPr>
                <w:b/>
                <w:color w:val="1F3864"/>
                <w:sz w:val="18"/>
                <w:szCs w:val="18"/>
              </w:rPr>
              <w:t xml:space="preserve">Why</w:t>
            </w:r>
          </w:p>
        </w:tc>
      </w:tr>
      <w:tr>
        <w:tc>
          <w:tcPr>
            <w:tcW w:w="706" w:type="dxa"/>
            <w:vAlign w:val="center"/>
          </w:tcPr>
          <w:p>
            <w:pPr>
              <w:spacing w:before="0" w:after="0"/>
            </w:pPr>
            <w:r>
              <w:rPr>
                <w:sz w:val="18"/>
                <w:szCs w:val="18"/>
              </w:rPr>
              <w:t xml:space="preserve">Y1</w:t>
            </w:r>
          </w:p>
        </w:tc>
        <w:tc>
          <w:tcPr>
            <w:tcW w:w="4150" w:type="dxa"/>
            <w:vAlign w:val="center"/>
          </w:tcPr>
          <w:p>
            <w:pPr>
              <w:spacing w:before="0" w:after="0"/>
            </w:pPr>
            <w:r>
              <w:rPr>
                <w:sz w:val="18"/>
                <w:szCs w:val="18"/>
              </w:rPr>
              <w:t xml:space="preserve">Construction of Buildings</w:t>
            </w:r>
          </w:p>
        </w:tc>
        <w:tc>
          <w:tcPr>
            <w:tcW w:w="1236" w:type="dxa"/>
            <w:vAlign w:val="center"/>
          </w:tcPr>
          <w:p>
            <w:pPr>
              <w:spacing w:before="0" w:after="0"/>
            </w:pPr>
            <w:r>
              <w:rPr>
                <w:sz w:val="18"/>
                <w:szCs w:val="18"/>
              </w:rPr>
              <w:t xml:space="preserve">115</w:t>
            </w:r>
          </w:p>
        </w:tc>
        <w:tc>
          <w:tcPr>
            <w:tcW w:w="3267" w:type="dxa"/>
            <w:vAlign w:val="center"/>
          </w:tcPr>
          <w:p>
            <w:pPr>
              <w:spacing w:before="0" w:after="0"/>
            </w:pPr>
            <w:r>
              <w:rPr>
                <w:sz w:val="18"/>
                <w:szCs w:val="18"/>
              </w:rPr>
              <w:t xml:space="preserve">New building construction</w:t>
            </w:r>
          </w:p>
        </w:tc>
      </w:tr>
      <w:tr>
        <w:tc>
          <w:tcPr>
            <w:tcW w:w="706" w:type="dxa"/>
            <w:vAlign w:val="center"/>
          </w:tcPr>
          <w:p>
            <w:pPr>
              <w:spacing w:before="0" w:after="0"/>
            </w:pPr>
            <w:r>
              <w:rPr>
                <w:sz w:val="18"/>
                <w:szCs w:val="18"/>
              </w:rPr>
              <w:t xml:space="preserve">Z1</w:t>
            </w:r>
          </w:p>
        </w:tc>
        <w:tc>
          <w:tcPr>
            <w:tcW w:w="4150" w:type="dxa"/>
            <w:vAlign w:val="center"/>
          </w:tcPr>
          <w:p>
            <w:pPr>
              <w:spacing w:before="0" w:after="0"/>
            </w:pPr>
            <w:r>
              <w:rPr>
                <w:sz w:val="18"/>
                <w:szCs w:val="18"/>
              </w:rPr>
              <w:t xml:space="preserve">Maintenance, Alteration, Repair — Buildings</w:t>
            </w:r>
          </w:p>
        </w:tc>
        <w:tc>
          <w:tcPr>
            <w:tcW w:w="1236" w:type="dxa"/>
            <w:vAlign w:val="center"/>
          </w:tcPr>
          <w:p>
            <w:pPr>
              <w:spacing w:before="0" w:after="0"/>
            </w:pPr>
            <w:r>
              <w:rPr>
                <w:sz w:val="18"/>
                <w:szCs w:val="18"/>
              </w:rPr>
              <w:t xml:space="preserve">115</w:t>
            </w:r>
          </w:p>
        </w:tc>
        <w:tc>
          <w:tcPr>
            <w:tcW w:w="3267" w:type="dxa"/>
            <w:vAlign w:val="center"/>
          </w:tcPr>
          <w:p>
            <w:pPr>
              <w:spacing w:before="0" w:after="0"/>
            </w:pPr>
            <w:r>
              <w:rPr>
                <w:sz w:val="18"/>
                <w:szCs w:val="18"/>
              </w:rPr>
              <w:t xml:space="preserve">Building renovation</w:t>
            </w:r>
          </w:p>
        </w:tc>
      </w:tr>
      <w:tr>
        <w:tc>
          <w:tcPr>
            <w:tcW w:w="706" w:type="dxa"/>
            <w:vAlign w:val="center"/>
          </w:tcPr>
          <w:p>
            <w:pPr>
              <w:spacing w:before="0" w:after="0"/>
            </w:pPr>
            <w:r>
              <w:rPr>
                <w:sz w:val="18"/>
                <w:szCs w:val="18"/>
              </w:rPr>
              <w:t xml:space="preserve">Z2</w:t>
            </w:r>
          </w:p>
        </w:tc>
        <w:tc>
          <w:tcPr>
            <w:tcW w:w="4150" w:type="dxa"/>
            <w:vAlign w:val="center"/>
          </w:tcPr>
          <w:p>
            <w:pPr>
              <w:spacing w:before="0" w:after="0"/>
            </w:pPr>
            <w:r>
              <w:rPr>
                <w:sz w:val="18"/>
                <w:szCs w:val="18"/>
              </w:rPr>
              <w:t xml:space="preserve">Maintenance, Alteration, Repair — Non-Buildings</w:t>
            </w:r>
          </w:p>
        </w:tc>
        <w:tc>
          <w:tcPr>
            <w:tcW w:w="1236" w:type="dxa"/>
            <w:vAlign w:val="center"/>
          </w:tcPr>
          <w:p>
            <w:pPr>
              <w:spacing w:before="0" w:after="0"/>
            </w:pPr>
            <w:r>
              <w:rPr>
                <w:sz w:val="18"/>
                <w:szCs w:val="18"/>
              </w:rPr>
              <w:t xml:space="preserve">105</w:t>
            </w:r>
          </w:p>
        </w:tc>
        <w:tc>
          <w:tcPr>
            <w:tcW w:w="3267" w:type="dxa"/>
            <w:vAlign w:val="center"/>
          </w:tcPr>
          <w:p>
            <w:pPr>
              <w:spacing w:before="0" w:after="0"/>
            </w:pPr>
            <w:r>
              <w:rPr>
                <w:sz w:val="18"/>
                <w:szCs w:val="18"/>
              </w:rPr>
              <w:t xml:space="preserve">Non-building repair</w:t>
            </w:r>
          </w:p>
        </w:tc>
      </w:tr>
      <w:tr>
        <w:tc>
          <w:tcPr>
            <w:tcW w:w="706" w:type="dxa"/>
            <w:vAlign w:val="center"/>
          </w:tcPr>
          <w:p>
            <w:pPr>
              <w:spacing w:before="0" w:after="0"/>
            </w:pPr>
            <w:r>
              <w:rPr>
                <w:sz w:val="18"/>
                <w:szCs w:val="18"/>
              </w:rPr>
              <w:t xml:space="preserve">56</w:t>
            </w:r>
          </w:p>
        </w:tc>
        <w:tc>
          <w:tcPr>
            <w:tcW w:w="4150" w:type="dxa"/>
            <w:vAlign w:val="center"/>
          </w:tcPr>
          <w:p>
            <w:pPr>
              <w:spacing w:before="0" w:after="0"/>
            </w:pPr>
            <w:r>
              <w:rPr>
                <w:sz w:val="18"/>
                <w:szCs w:val="18"/>
              </w:rPr>
              <w:t xml:space="preserve">Construction and Building Material</w:t>
            </w:r>
          </w:p>
        </w:tc>
        <w:tc>
          <w:tcPr>
            <w:tcW w:w="1236" w:type="dxa"/>
            <w:vAlign w:val="center"/>
          </w:tcPr>
          <w:p>
            <w:pPr>
              <w:spacing w:before="0" w:after="0"/>
            </w:pPr>
            <w:r>
              <w:rPr>
                <w:sz w:val="18"/>
                <w:szCs w:val="18"/>
              </w:rPr>
              <w:t xml:space="preserve">10</w:t>
            </w:r>
          </w:p>
        </w:tc>
        <w:tc>
          <w:tcPr>
            <w:tcW w:w="3267" w:type="dxa"/>
            <w:vAlign w:val="center"/>
          </w:tcPr>
          <w:p>
            <w:pPr>
              <w:spacing w:before="0" w:after="0"/>
            </w:pPr>
            <w:r>
              <w:rPr>
                <w:sz w:val="18"/>
                <w:szCs w:val="18"/>
              </w:rPr>
              <w:t xml:space="preserve">To catch </w:t>
            </w:r>
            <w:r>
              <w:rPr>
                <w:b/>
                <w:sz w:val="18"/>
                <w:szCs w:val="18"/>
              </w:rPr>
              <w:t xml:space="preserve">5660</w:t>
            </w:r>
            <w:r>
              <w:rPr>
                <w:sz w:val="18"/>
                <w:szCs w:val="18"/>
              </w:rPr>
              <w:t xml:space="preserve">, fencing and gates</w:t>
            </w:r>
          </w:p>
        </w:tc>
      </w:tr>
      <w:tr>
        <w:tc>
          <w:tcPr>
            <w:tcW w:w="706" w:type="dxa"/>
            <w:vAlign w:val="center"/>
          </w:tcPr>
          <w:p>
            <w:pPr>
              <w:spacing w:before="0" w:after="0"/>
            </w:pPr>
            <w:r>
              <w:rPr>
                <w:sz w:val="18"/>
                <w:szCs w:val="18"/>
              </w:rPr>
              <w:t xml:space="preserve">71</w:t>
            </w:r>
          </w:p>
        </w:tc>
        <w:tc>
          <w:tcPr>
            <w:tcW w:w="4150" w:type="dxa"/>
            <w:vAlign w:val="center"/>
          </w:tcPr>
          <w:p>
            <w:pPr>
              <w:spacing w:before="0" w:after="0"/>
            </w:pPr>
            <w:r>
              <w:rPr>
                <w:sz w:val="18"/>
                <w:szCs w:val="18"/>
              </w:rPr>
              <w:t xml:space="preserve">Furniture</w:t>
            </w:r>
          </w:p>
        </w:tc>
        <w:tc>
          <w:tcPr>
            <w:tcW w:w="1236" w:type="dxa"/>
            <w:vAlign w:val="center"/>
          </w:tcPr>
          <w:p>
            <w:pPr>
              <w:spacing w:before="0" w:after="0"/>
            </w:pPr>
            <w:r>
              <w:rPr>
                <w:sz w:val="18"/>
                <w:szCs w:val="18"/>
              </w:rPr>
              <w:t xml:space="preserve">5</w:t>
            </w:r>
          </w:p>
        </w:tc>
        <w:tc>
          <w:tcPr>
            <w:tcW w:w="3267" w:type="dxa"/>
            <w:vAlign w:val="center"/>
          </w:tcPr>
          <w:p>
            <w:pPr>
              <w:spacing w:before="0" w:after="0"/>
            </w:pPr>
            <w:r>
              <w:rPr>
                <w:sz w:val="18"/>
                <w:szCs w:val="18"/>
              </w:rPr>
              <w:t xml:space="preserve">To catch </w:t>
            </w:r>
            <w:r>
              <w:rPr>
                <w:b/>
                <w:sz w:val="18"/>
                <w:szCs w:val="18"/>
              </w:rPr>
              <w:t xml:space="preserve">7110</w:t>
            </w:r>
            <w:r>
              <w:rPr>
                <w:sz w:val="18"/>
                <w:szCs w:val="18"/>
              </w:rPr>
              <w:t xml:space="preserve">, </w:t>
            </w:r>
            <w:r>
              <w:rPr>
                <w:b/>
                <w:sz w:val="18"/>
                <w:szCs w:val="18"/>
              </w:rPr>
              <w:t xml:space="preserve">7125</w:t>
            </w:r>
            <w:r>
              <w:rPr>
                <w:sz w:val="18"/>
                <w:szCs w:val="18"/>
              </w:rPr>
              <w:t xml:space="preserve">, </w:t>
            </w:r>
            <w:r>
              <w:rPr>
                <w:b/>
                <w:sz w:val="18"/>
                <w:szCs w:val="18"/>
              </w:rPr>
              <w:t xml:space="preserve">7195</w:t>
            </w:r>
          </w:p>
        </w:tc>
      </w:tr>
      <w:tr>
        <w:tc>
          <w:tcPr>
            <w:tcW w:w="706" w:type="dxa"/>
            <w:vAlign w:val="center"/>
          </w:tcPr>
          <w:p>
            <w:pPr>
              <w:spacing w:before="0" w:after="0"/>
            </w:pPr>
            <w:r>
              <w:rPr>
                <w:sz w:val="18"/>
                <w:szCs w:val="18"/>
              </w:rPr>
              <w:t xml:space="preserve">99</w:t>
            </w:r>
          </w:p>
        </w:tc>
        <w:tc>
          <w:tcPr>
            <w:tcW w:w="4150" w:type="dxa"/>
            <w:vAlign w:val="center"/>
          </w:tcPr>
          <w:p>
            <w:pPr>
              <w:spacing w:before="0" w:after="0"/>
            </w:pPr>
            <w:r>
              <w:rPr>
                <w:sz w:val="18"/>
                <w:szCs w:val="18"/>
              </w:rPr>
              <w:t xml:space="preserve">Miscellaneous</w:t>
            </w:r>
          </w:p>
        </w:tc>
        <w:tc>
          <w:tcPr>
            <w:tcW w:w="1236" w:type="dxa"/>
            <w:vAlign w:val="center"/>
          </w:tcPr>
          <w:p>
            <w:pPr>
              <w:spacing w:before="0" w:after="0"/>
            </w:pPr>
            <w:r>
              <w:rPr>
                <w:sz w:val="18"/>
                <w:szCs w:val="18"/>
              </w:rPr>
              <w:t xml:space="preserve">9</w:t>
            </w:r>
          </w:p>
        </w:tc>
        <w:tc>
          <w:tcPr>
            <w:tcW w:w="3267" w:type="dxa"/>
            <w:vAlign w:val="center"/>
          </w:tcPr>
          <w:p>
            <w:pPr>
              <w:spacing w:before="0" w:after="0"/>
            </w:pPr>
            <w:r>
              <w:rPr>
                <w:sz w:val="18"/>
                <w:szCs w:val="18"/>
              </w:rPr>
              <w:t xml:space="preserve">To catch </w:t>
            </w:r>
            <w:r>
              <w:rPr>
                <w:b/>
                <w:sz w:val="18"/>
                <w:szCs w:val="18"/>
              </w:rPr>
              <w:t xml:space="preserve">9905</w:t>
            </w:r>
            <w:r>
              <w:rPr>
                <w:sz w:val="18"/>
                <w:szCs w:val="18"/>
              </w:rPr>
              <w:t xml:space="preserve">, signs and displays</w:t>
            </w:r>
          </w:p>
        </w:tc>
      </w:tr>
      <w:tr>
        <w:tc>
          <w:tcPr>
            <w:tcW w:w="706" w:type="dxa"/>
            <w:vAlign w:val="center"/>
          </w:tcPr>
          <w:p>
            <w:pPr>
              <w:spacing w:before="0" w:after="0"/>
            </w:pPr>
            <w:r>
              <w:rPr>
                <w:sz w:val="18"/>
                <w:szCs w:val="18"/>
              </w:rPr>
              <w:t xml:space="preserve">63</w:t>
            </w:r>
          </w:p>
        </w:tc>
        <w:tc>
          <w:tcPr>
            <w:tcW w:w="4150" w:type="dxa"/>
            <w:vAlign w:val="center"/>
          </w:tcPr>
          <w:p>
            <w:pPr>
              <w:spacing w:before="0" w:after="0"/>
            </w:pPr>
            <w:r>
              <w:rPr>
                <w:sz w:val="18"/>
                <w:szCs w:val="18"/>
              </w:rPr>
              <w:t xml:space="preserve">Alarm, Signal, Security Detection</w:t>
            </w:r>
          </w:p>
        </w:tc>
        <w:tc>
          <w:tcPr>
            <w:tcW w:w="1236" w:type="dxa"/>
            <w:vAlign w:val="center"/>
          </w:tcPr>
          <w:p>
            <w:pPr>
              <w:spacing w:before="0" w:after="0"/>
            </w:pPr>
            <w:r>
              <w:rPr>
                <w:sz w:val="18"/>
                <w:szCs w:val="18"/>
              </w:rPr>
              <w:t xml:space="preserve">6</w:t>
            </w:r>
          </w:p>
        </w:tc>
        <w:tc>
          <w:tcPr>
            <w:tcW w:w="3267" w:type="dxa"/>
            <w:vAlign w:val="center"/>
          </w:tcPr>
          <w:p>
            <w:pPr>
              <w:spacing w:before="0" w:after="0"/>
            </w:pPr>
            <w:r>
              <w:rPr>
                <w:sz w:val="18"/>
                <w:szCs w:val="18"/>
              </w:rPr>
              <w:t xml:space="preserve">To catch </w:t>
            </w:r>
            <w:r>
              <w:rPr>
                <w:b/>
                <w:sz w:val="18"/>
                <w:szCs w:val="18"/>
              </w:rPr>
              <w:t xml:space="preserve">6350</w:t>
            </w:r>
            <w:r>
              <w:rPr>
                <w:sz w:val="18"/>
                <w:szCs w:val="18"/>
              </w:rPr>
              <w:t xml:space="preserve"> — see Question 1</w:t>
            </w:r>
          </w:p>
        </w:tc>
      </w:tr>
    </w:tbl>
    <w:p>
      <w:pPr>
        <w:spacing w:before="0" w:after="120"/>
      </w:pPr>
      <w:r>
        <w:t/>
      </w:r>
    </w:p>
    <w:p>
      <w:pPr>
        <w:spacing w:before="280" w:after="120"/>
      </w:pPr>
      <w:r>
        <w:rPr>
          <w:b/>
          <w:color w:val="1F3864"/>
          <w:sz w:val="42"/>
          <w:szCs w:val="42"/>
        </w:rPr>
        <w:t xml:space="preserve">1a. The four product prefixes, expanded</w:t>
      </w:r>
    </w:p>
    <w:p>
      <w:pPr>
        <w:spacing w:before="0" w:after="140"/>
      </w:pPr>
      <w:r>
        <w:t xml:space="preserve">Codes marked </w:t>
      </w:r>
      <w:r>
        <w:rPr>
          <w:b/>
        </w:rPr>
        <w:t xml:space="preserve">Target</w:t>
      </w:r>
      <w:r>
        <w:t xml:space="preserve"> are why we whitelisted the prefix. The rest are admitted as a side effect.</w:t>
      </w:r>
    </w:p>
    <w:p>
      <w:pPr>
        <w:spacing w:before="0" w:after="140"/>
      </w:pPr>
      <w:r>
        <w:rPr>
          <w:b/>
        </w:rPr>
        <w:t xml:space="preserve">56 — Construction and Building Material</w:t>
      </w:r>
    </w:p>
    <w:tbl>
      <w:tblPr>
        <w:tblW w:w="5000" w:type="pct"/>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60" w:type="dxa"/>
          <w:bottom w:w="60" w:type="dxa"/>
          <w:left w:w="108" w:type="dxa"/>
          <w:right w:w="108" w:type="dxa"/>
        </w:tblCellMar>
      </w:tblPr>
      <w:tblGrid>
        <w:gridCol w:w="960"/>
        <w:gridCol w:w="7080"/>
        <w:gridCol w:w="1320"/>
      </w:tblGrid>
      <w:tr>
        <w:trPr>
          <w:tblHeader/>
          <w:cantSplit/>
        </w:trPr>
        <w:tc>
          <w:tcPr>
            <w:tcW w:w="960" w:type="dxa"/>
            <w:shd w:val="clear" w:color="auto" w:fill="E7E9EF"/>
            <w:vAlign w:val="center"/>
          </w:tcPr>
          <w:p>
            <w:pPr>
              <w:spacing w:before="0" w:after="0"/>
            </w:pPr>
            <w:r>
              <w:rPr>
                <w:b/>
                <w:color w:val="1F3864"/>
                <w:sz w:val="18"/>
                <w:szCs w:val="18"/>
              </w:rPr>
              <w:t xml:space="preserve">Code</w:t>
            </w:r>
          </w:p>
        </w:tc>
        <w:tc>
          <w:tcPr>
            <w:tcW w:w="7080" w:type="dxa"/>
            <w:shd w:val="clear" w:color="auto" w:fill="E7E9EF"/>
            <w:vAlign w:val="center"/>
          </w:tcPr>
          <w:p>
            <w:pPr>
              <w:spacing w:before="0" w:after="0"/>
            </w:pPr>
            <w:r>
              <w:rPr>
                <w:b/>
                <w:color w:val="1F3864"/>
                <w:sz w:val="18"/>
                <w:szCs w:val="18"/>
              </w:rPr>
              <w:t xml:space="preserve">Label</w:t>
            </w:r>
          </w:p>
        </w:tc>
        <w:tc>
          <w:tcPr>
            <w:tcW w:w="1320" w:type="dxa"/>
            <w:shd w:val="clear" w:color="auto" w:fill="E7E9EF"/>
            <w:vAlign w:val="center"/>
          </w:tcPr>
          <w:p>
            <w:pPr>
              <w:spacing w:before="0" w:after="0"/>
            </w:pPr>
            <w:r>
              <w:rPr>
                <w:b/>
                <w:color w:val="1F3864"/>
                <w:sz w:val="18"/>
                <w:szCs w:val="18"/>
              </w:rPr>
              <w:t xml:space="preserve">Status</w:t>
            </w:r>
          </w:p>
        </w:tc>
      </w:tr>
      <w:tr>
        <w:tc>
          <w:tcPr>
            <w:tcW w:w="960" w:type="dxa"/>
            <w:vAlign w:val="center"/>
          </w:tcPr>
          <w:p>
            <w:pPr>
              <w:spacing w:before="0" w:after="0"/>
            </w:pPr>
            <w:r>
              <w:rPr>
                <w:sz w:val="18"/>
                <w:szCs w:val="18"/>
              </w:rPr>
              <w:t xml:space="preserve">5610</w:t>
            </w:r>
          </w:p>
        </w:tc>
        <w:tc>
          <w:tcPr>
            <w:tcW w:w="7080" w:type="dxa"/>
            <w:vAlign w:val="center"/>
          </w:tcPr>
          <w:p>
            <w:pPr>
              <w:spacing w:before="0" w:after="0"/>
            </w:pPr>
            <w:r>
              <w:rPr>
                <w:sz w:val="18"/>
                <w:szCs w:val="18"/>
              </w:rPr>
              <w:t xml:space="preserve">Mineral Construction Materials, Bulk</w:t>
            </w:r>
          </w:p>
        </w:tc>
        <w:tc>
          <w:tcPr>
            <w:tcW w:w="1320" w:type="dxa"/>
            <w:vAlign w:val="center"/>
          </w:tcPr>
          <w:p>
            <w:pPr>
              <w:spacing w:before="0" w:after="0"/>
            </w:pPr>
            <w:r>
              <w:rPr>
                <w:sz w:val="18"/>
                <w:szCs w:val="18"/>
              </w:rPr>
              <w:t xml:space="preserve">Rides along</w:t>
            </w:r>
          </w:p>
        </w:tc>
      </w:tr>
      <w:tr>
        <w:tc>
          <w:tcPr>
            <w:tcW w:w="960" w:type="dxa"/>
            <w:vAlign w:val="center"/>
          </w:tcPr>
          <w:p>
            <w:pPr>
              <w:spacing w:before="0" w:after="0"/>
            </w:pPr>
            <w:r>
              <w:rPr>
                <w:sz w:val="18"/>
                <w:szCs w:val="18"/>
              </w:rPr>
              <w:t xml:space="preserve">5620</w:t>
            </w:r>
          </w:p>
        </w:tc>
        <w:tc>
          <w:tcPr>
            <w:tcW w:w="7080" w:type="dxa"/>
            <w:vAlign w:val="center"/>
          </w:tcPr>
          <w:p>
            <w:pPr>
              <w:spacing w:before="0" w:after="0"/>
            </w:pPr>
            <w:r>
              <w:rPr>
                <w:sz w:val="18"/>
                <w:szCs w:val="18"/>
              </w:rPr>
              <w:t xml:space="preserve">Tile, Brick, and Block</w:t>
            </w:r>
          </w:p>
        </w:tc>
        <w:tc>
          <w:tcPr>
            <w:tcW w:w="1320" w:type="dxa"/>
            <w:vAlign w:val="center"/>
          </w:tcPr>
          <w:p>
            <w:pPr>
              <w:spacing w:before="0" w:after="0"/>
            </w:pPr>
            <w:r>
              <w:rPr>
                <w:sz w:val="18"/>
                <w:szCs w:val="18"/>
              </w:rPr>
              <w:t xml:space="preserve">Rides along</w:t>
            </w:r>
          </w:p>
        </w:tc>
      </w:tr>
      <w:tr>
        <w:tc>
          <w:tcPr>
            <w:tcW w:w="960" w:type="dxa"/>
            <w:vAlign w:val="center"/>
          </w:tcPr>
          <w:p>
            <w:pPr>
              <w:spacing w:before="0" w:after="0"/>
            </w:pPr>
            <w:r>
              <w:rPr>
                <w:sz w:val="18"/>
                <w:szCs w:val="18"/>
              </w:rPr>
              <w:t xml:space="preserve">5630</w:t>
            </w:r>
          </w:p>
        </w:tc>
        <w:tc>
          <w:tcPr>
            <w:tcW w:w="7080" w:type="dxa"/>
            <w:vAlign w:val="center"/>
          </w:tcPr>
          <w:p>
            <w:pPr>
              <w:spacing w:before="0" w:after="0"/>
            </w:pPr>
            <w:r>
              <w:rPr>
                <w:sz w:val="18"/>
                <w:szCs w:val="18"/>
              </w:rPr>
              <w:t xml:space="preserve">Pipe and Conduit, Nonmetallic</w:t>
            </w:r>
          </w:p>
        </w:tc>
        <w:tc>
          <w:tcPr>
            <w:tcW w:w="1320" w:type="dxa"/>
            <w:vAlign w:val="center"/>
          </w:tcPr>
          <w:p>
            <w:pPr>
              <w:spacing w:before="0" w:after="0"/>
            </w:pPr>
            <w:r>
              <w:rPr>
                <w:sz w:val="18"/>
                <w:szCs w:val="18"/>
              </w:rPr>
              <w:t xml:space="preserve">Rides along</w:t>
            </w:r>
          </w:p>
        </w:tc>
      </w:tr>
      <w:tr>
        <w:tc>
          <w:tcPr>
            <w:tcW w:w="960" w:type="dxa"/>
            <w:vAlign w:val="center"/>
          </w:tcPr>
          <w:p>
            <w:pPr>
              <w:spacing w:before="0" w:after="0"/>
            </w:pPr>
            <w:r>
              <w:rPr>
                <w:sz w:val="18"/>
                <w:szCs w:val="18"/>
              </w:rPr>
              <w:t xml:space="preserve">5640</w:t>
            </w:r>
          </w:p>
        </w:tc>
        <w:tc>
          <w:tcPr>
            <w:tcW w:w="7080" w:type="dxa"/>
            <w:vAlign w:val="center"/>
          </w:tcPr>
          <w:p>
            <w:pPr>
              <w:spacing w:before="0" w:after="0"/>
            </w:pPr>
            <w:r>
              <w:rPr>
                <w:sz w:val="18"/>
                <w:szCs w:val="18"/>
              </w:rPr>
              <w:t xml:space="preserve">Wallboard, Building Paper, and Thermal Insulation Materials</w:t>
            </w:r>
          </w:p>
        </w:tc>
        <w:tc>
          <w:tcPr>
            <w:tcW w:w="1320" w:type="dxa"/>
            <w:vAlign w:val="center"/>
          </w:tcPr>
          <w:p>
            <w:pPr>
              <w:spacing w:before="0" w:after="0"/>
            </w:pPr>
            <w:r>
              <w:rPr>
                <w:sz w:val="18"/>
                <w:szCs w:val="18"/>
              </w:rPr>
              <w:t xml:space="preserve">Rides along</w:t>
            </w:r>
          </w:p>
        </w:tc>
      </w:tr>
      <w:tr>
        <w:tc>
          <w:tcPr>
            <w:tcW w:w="960" w:type="dxa"/>
            <w:vAlign w:val="center"/>
          </w:tcPr>
          <w:p>
            <w:pPr>
              <w:spacing w:before="0" w:after="0"/>
            </w:pPr>
            <w:r>
              <w:rPr>
                <w:sz w:val="18"/>
                <w:szCs w:val="18"/>
              </w:rPr>
              <w:t xml:space="preserve">5650</w:t>
            </w:r>
          </w:p>
        </w:tc>
        <w:tc>
          <w:tcPr>
            <w:tcW w:w="7080" w:type="dxa"/>
            <w:vAlign w:val="center"/>
          </w:tcPr>
          <w:p>
            <w:pPr>
              <w:spacing w:before="0" w:after="0"/>
            </w:pPr>
            <w:r>
              <w:rPr>
                <w:sz w:val="18"/>
                <w:szCs w:val="18"/>
              </w:rPr>
              <w:t xml:space="preserve">Roofing and Siding Materials</w:t>
            </w:r>
          </w:p>
        </w:tc>
        <w:tc>
          <w:tcPr>
            <w:tcW w:w="1320" w:type="dxa"/>
            <w:vAlign w:val="center"/>
          </w:tcPr>
          <w:p>
            <w:pPr>
              <w:spacing w:before="0" w:after="0"/>
            </w:pPr>
            <w:r>
              <w:rPr>
                <w:sz w:val="18"/>
                <w:szCs w:val="18"/>
              </w:rPr>
              <w:t xml:space="preserve">Rides along</w:t>
            </w:r>
          </w:p>
        </w:tc>
      </w:tr>
      <w:tr>
        <w:tc>
          <w:tcPr>
            <w:tcW w:w="960" w:type="dxa"/>
            <w:vAlign w:val="center"/>
          </w:tcPr>
          <w:p>
            <w:pPr>
              <w:spacing w:before="0" w:after="0"/>
            </w:pPr>
            <w:r>
              <w:rPr>
                <w:sz w:val="18"/>
                <w:szCs w:val="18"/>
              </w:rPr>
              <w:t xml:space="preserve">5660</w:t>
            </w:r>
          </w:p>
        </w:tc>
        <w:tc>
          <w:tcPr>
            <w:tcW w:w="7080" w:type="dxa"/>
            <w:vAlign w:val="center"/>
          </w:tcPr>
          <w:p>
            <w:pPr>
              <w:spacing w:before="0" w:after="0"/>
            </w:pPr>
            <w:r>
              <w:rPr>
                <w:sz w:val="18"/>
                <w:szCs w:val="18"/>
              </w:rPr>
              <w:t xml:space="preserve">Fencing, Fences, Gates and Components</w:t>
            </w:r>
          </w:p>
        </w:tc>
        <w:tc>
          <w:tcPr>
            <w:tcW w:w="1320" w:type="dxa"/>
            <w:vAlign w:val="center"/>
          </w:tcPr>
          <w:p>
            <w:pPr>
              <w:spacing w:before="0" w:after="0"/>
            </w:pPr>
            <w:r>
              <w:rPr>
                <w:b/>
                <w:sz w:val="18"/>
                <w:szCs w:val="18"/>
              </w:rPr>
              <w:t xml:space="preserve">Target</w:t>
            </w:r>
          </w:p>
        </w:tc>
      </w:tr>
      <w:tr>
        <w:tc>
          <w:tcPr>
            <w:tcW w:w="960" w:type="dxa"/>
            <w:vAlign w:val="center"/>
          </w:tcPr>
          <w:p>
            <w:pPr>
              <w:spacing w:before="0" w:after="0"/>
            </w:pPr>
            <w:r>
              <w:rPr>
                <w:sz w:val="18"/>
                <w:szCs w:val="18"/>
              </w:rPr>
              <w:t xml:space="preserve">5670</w:t>
            </w:r>
          </w:p>
        </w:tc>
        <w:tc>
          <w:tcPr>
            <w:tcW w:w="7080" w:type="dxa"/>
            <w:vAlign w:val="center"/>
          </w:tcPr>
          <w:p>
            <w:pPr>
              <w:spacing w:before="0" w:after="0"/>
            </w:pPr>
            <w:r>
              <w:rPr>
                <w:sz w:val="18"/>
                <w:szCs w:val="18"/>
              </w:rPr>
              <w:t xml:space="preserve">Building Components, Prefabricated</w:t>
            </w:r>
          </w:p>
        </w:tc>
        <w:tc>
          <w:tcPr>
            <w:tcW w:w="1320" w:type="dxa"/>
            <w:vAlign w:val="center"/>
          </w:tcPr>
          <w:p>
            <w:pPr>
              <w:spacing w:before="0" w:after="0"/>
            </w:pPr>
            <w:r>
              <w:rPr>
                <w:sz w:val="18"/>
                <w:szCs w:val="18"/>
              </w:rPr>
              <w:t xml:space="preserve">Rides along</w:t>
            </w:r>
          </w:p>
        </w:tc>
      </w:tr>
      <w:tr>
        <w:tc>
          <w:tcPr>
            <w:tcW w:w="960" w:type="dxa"/>
            <w:vAlign w:val="center"/>
          </w:tcPr>
          <w:p>
            <w:pPr>
              <w:spacing w:before="0" w:after="0"/>
            </w:pPr>
            <w:r>
              <w:rPr>
                <w:sz w:val="18"/>
                <w:szCs w:val="18"/>
              </w:rPr>
              <w:t xml:space="preserve">5675</w:t>
            </w:r>
          </w:p>
        </w:tc>
        <w:tc>
          <w:tcPr>
            <w:tcW w:w="7080" w:type="dxa"/>
            <w:vAlign w:val="center"/>
          </w:tcPr>
          <w:p>
            <w:pPr>
              <w:spacing w:before="0" w:after="0"/>
            </w:pPr>
            <w:r>
              <w:rPr>
                <w:sz w:val="18"/>
                <w:szCs w:val="18"/>
              </w:rPr>
              <w:t xml:space="preserve">Nonwood Construction Lumber and Related Materials</w:t>
            </w:r>
          </w:p>
        </w:tc>
        <w:tc>
          <w:tcPr>
            <w:tcW w:w="1320" w:type="dxa"/>
            <w:vAlign w:val="center"/>
          </w:tcPr>
          <w:p>
            <w:pPr>
              <w:spacing w:before="0" w:after="0"/>
            </w:pPr>
            <w:r>
              <w:rPr>
                <w:sz w:val="18"/>
                <w:szCs w:val="18"/>
              </w:rPr>
              <w:t xml:space="preserve">Rides along</w:t>
            </w:r>
          </w:p>
        </w:tc>
      </w:tr>
      <w:tr>
        <w:tc>
          <w:tcPr>
            <w:tcW w:w="960" w:type="dxa"/>
            <w:vAlign w:val="center"/>
          </w:tcPr>
          <w:p>
            <w:pPr>
              <w:spacing w:before="0" w:after="0"/>
            </w:pPr>
            <w:r>
              <w:rPr>
                <w:sz w:val="18"/>
                <w:szCs w:val="18"/>
              </w:rPr>
              <w:t xml:space="preserve">5680</w:t>
            </w:r>
          </w:p>
        </w:tc>
        <w:tc>
          <w:tcPr>
            <w:tcW w:w="7080" w:type="dxa"/>
            <w:vAlign w:val="center"/>
          </w:tcPr>
          <w:p>
            <w:pPr>
              <w:spacing w:before="0" w:after="0"/>
            </w:pPr>
            <w:r>
              <w:rPr>
                <w:sz w:val="18"/>
                <w:szCs w:val="18"/>
              </w:rPr>
              <w:t xml:space="preserve">Miscellaneous Construction Materials</w:t>
            </w:r>
          </w:p>
        </w:tc>
        <w:tc>
          <w:tcPr>
            <w:tcW w:w="1320" w:type="dxa"/>
            <w:vAlign w:val="center"/>
          </w:tcPr>
          <w:p>
            <w:pPr>
              <w:spacing w:before="0" w:after="0"/>
            </w:pPr>
            <w:r>
              <w:rPr>
                <w:sz w:val="18"/>
                <w:szCs w:val="18"/>
              </w:rPr>
              <w:t xml:space="preserve">Rides along</w:t>
            </w:r>
          </w:p>
        </w:tc>
      </w:tr>
    </w:tbl>
    <w:p>
      <w:pPr>
        <w:spacing w:before="0" w:after="120"/>
      </w:pPr>
      <w:r>
        <w:t/>
      </w:r>
    </w:p>
    <w:p>
      <w:pPr>
        <w:spacing w:before="0" w:after="140"/>
      </w:pPr>
      <w:r>
        <w:rPr>
          <w:b/>
        </w:rPr>
        <w:t xml:space="preserve">71 — Furniture</w:t>
      </w:r>
    </w:p>
    <w:tbl>
      <w:tblPr>
        <w:tblW w:w="5000" w:type="pct"/>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60" w:type="dxa"/>
          <w:bottom w:w="60" w:type="dxa"/>
          <w:left w:w="108" w:type="dxa"/>
          <w:right w:w="108" w:type="dxa"/>
        </w:tblCellMar>
      </w:tblPr>
      <w:tblGrid>
        <w:gridCol w:w="1337"/>
        <w:gridCol w:w="6184"/>
        <w:gridCol w:w="1838"/>
      </w:tblGrid>
      <w:tr>
        <w:trPr>
          <w:tblHeader/>
          <w:cantSplit/>
        </w:trPr>
        <w:tc>
          <w:tcPr>
            <w:tcW w:w="1337" w:type="dxa"/>
            <w:shd w:val="clear" w:color="auto" w:fill="E7E9EF"/>
            <w:vAlign w:val="center"/>
          </w:tcPr>
          <w:p>
            <w:pPr>
              <w:spacing w:before="0" w:after="0"/>
            </w:pPr>
            <w:r>
              <w:rPr>
                <w:b/>
                <w:color w:val="1F3864"/>
                <w:sz w:val="18"/>
                <w:szCs w:val="18"/>
              </w:rPr>
              <w:t xml:space="preserve">Code</w:t>
            </w:r>
          </w:p>
        </w:tc>
        <w:tc>
          <w:tcPr>
            <w:tcW w:w="6184" w:type="dxa"/>
            <w:shd w:val="clear" w:color="auto" w:fill="E7E9EF"/>
            <w:vAlign w:val="center"/>
          </w:tcPr>
          <w:p>
            <w:pPr>
              <w:spacing w:before="0" w:after="0"/>
            </w:pPr>
            <w:r>
              <w:rPr>
                <w:b/>
                <w:color w:val="1F3864"/>
                <w:sz w:val="18"/>
                <w:szCs w:val="18"/>
              </w:rPr>
              <w:t xml:space="preserve">Label</w:t>
            </w:r>
          </w:p>
        </w:tc>
        <w:tc>
          <w:tcPr>
            <w:tcW w:w="1838" w:type="dxa"/>
            <w:shd w:val="clear" w:color="auto" w:fill="E7E9EF"/>
            <w:vAlign w:val="center"/>
          </w:tcPr>
          <w:p>
            <w:pPr>
              <w:spacing w:before="0" w:after="0"/>
            </w:pPr>
            <w:r>
              <w:rPr>
                <w:b/>
                <w:color w:val="1F3864"/>
                <w:sz w:val="18"/>
                <w:szCs w:val="18"/>
              </w:rPr>
              <w:t xml:space="preserve">Status</w:t>
            </w:r>
          </w:p>
        </w:tc>
      </w:tr>
      <w:tr>
        <w:tc>
          <w:tcPr>
            <w:tcW w:w="1337" w:type="dxa"/>
            <w:vAlign w:val="center"/>
          </w:tcPr>
          <w:p>
            <w:pPr>
              <w:spacing w:before="0" w:after="0"/>
            </w:pPr>
            <w:r>
              <w:rPr>
                <w:sz w:val="18"/>
                <w:szCs w:val="18"/>
              </w:rPr>
              <w:t xml:space="preserve">7105</w:t>
            </w:r>
          </w:p>
        </w:tc>
        <w:tc>
          <w:tcPr>
            <w:tcW w:w="6184" w:type="dxa"/>
            <w:vAlign w:val="center"/>
          </w:tcPr>
          <w:p>
            <w:pPr>
              <w:spacing w:before="0" w:after="0"/>
            </w:pPr>
            <w:r>
              <w:rPr>
                <w:sz w:val="18"/>
                <w:szCs w:val="18"/>
              </w:rPr>
              <w:t xml:space="preserve">Household Furniture</w:t>
            </w:r>
          </w:p>
        </w:tc>
        <w:tc>
          <w:tcPr>
            <w:tcW w:w="1838" w:type="dxa"/>
            <w:vAlign w:val="center"/>
          </w:tcPr>
          <w:p>
            <w:pPr>
              <w:spacing w:before="0" w:after="0"/>
            </w:pPr>
            <w:r>
              <w:rPr>
                <w:sz w:val="18"/>
                <w:szCs w:val="18"/>
              </w:rPr>
              <w:t xml:space="preserve">Rides along</w:t>
            </w:r>
          </w:p>
        </w:tc>
      </w:tr>
      <w:tr>
        <w:tc>
          <w:tcPr>
            <w:tcW w:w="1337" w:type="dxa"/>
            <w:vAlign w:val="center"/>
          </w:tcPr>
          <w:p>
            <w:pPr>
              <w:spacing w:before="0" w:after="0"/>
            </w:pPr>
            <w:r>
              <w:rPr>
                <w:sz w:val="18"/>
                <w:szCs w:val="18"/>
              </w:rPr>
              <w:t xml:space="preserve">7110</w:t>
            </w:r>
          </w:p>
        </w:tc>
        <w:tc>
          <w:tcPr>
            <w:tcW w:w="6184" w:type="dxa"/>
            <w:vAlign w:val="center"/>
          </w:tcPr>
          <w:p>
            <w:pPr>
              <w:spacing w:before="0" w:after="0"/>
            </w:pPr>
            <w:r>
              <w:rPr>
                <w:sz w:val="18"/>
                <w:szCs w:val="18"/>
              </w:rPr>
              <w:t xml:space="preserve">Office Furniture</w:t>
            </w:r>
          </w:p>
        </w:tc>
        <w:tc>
          <w:tcPr>
            <w:tcW w:w="1838" w:type="dxa"/>
            <w:vAlign w:val="center"/>
          </w:tcPr>
          <w:p>
            <w:pPr>
              <w:spacing w:before="0" w:after="0"/>
            </w:pPr>
            <w:r>
              <w:rPr>
                <w:b/>
                <w:sz w:val="18"/>
                <w:szCs w:val="18"/>
              </w:rPr>
              <w:t xml:space="preserve">Target</w:t>
            </w:r>
          </w:p>
        </w:tc>
      </w:tr>
      <w:tr>
        <w:tc>
          <w:tcPr>
            <w:tcW w:w="1337" w:type="dxa"/>
            <w:vAlign w:val="center"/>
          </w:tcPr>
          <w:p>
            <w:pPr>
              <w:spacing w:before="0" w:after="0"/>
            </w:pPr>
            <w:r>
              <w:rPr>
                <w:sz w:val="18"/>
                <w:szCs w:val="18"/>
              </w:rPr>
              <w:t xml:space="preserve">7125</w:t>
            </w:r>
          </w:p>
        </w:tc>
        <w:tc>
          <w:tcPr>
            <w:tcW w:w="6184" w:type="dxa"/>
            <w:vAlign w:val="center"/>
          </w:tcPr>
          <w:p>
            <w:pPr>
              <w:spacing w:before="0" w:after="0"/>
            </w:pPr>
            <w:r>
              <w:rPr>
                <w:sz w:val="18"/>
                <w:szCs w:val="18"/>
              </w:rPr>
              <w:t xml:space="preserve">Cabinets, Lockers, Bins, and Shelving</w:t>
            </w:r>
          </w:p>
        </w:tc>
        <w:tc>
          <w:tcPr>
            <w:tcW w:w="1838" w:type="dxa"/>
            <w:vAlign w:val="center"/>
          </w:tcPr>
          <w:p>
            <w:pPr>
              <w:spacing w:before="0" w:after="0"/>
            </w:pPr>
            <w:r>
              <w:rPr>
                <w:b/>
                <w:sz w:val="18"/>
                <w:szCs w:val="18"/>
              </w:rPr>
              <w:t xml:space="preserve">Target</w:t>
            </w:r>
          </w:p>
        </w:tc>
      </w:tr>
      <w:tr>
        <w:tc>
          <w:tcPr>
            <w:tcW w:w="1337" w:type="dxa"/>
            <w:vAlign w:val="center"/>
          </w:tcPr>
          <w:p>
            <w:pPr>
              <w:spacing w:before="0" w:after="0"/>
            </w:pPr>
            <w:r>
              <w:rPr>
                <w:sz w:val="18"/>
                <w:szCs w:val="18"/>
              </w:rPr>
              <w:t xml:space="preserve">7195</w:t>
            </w:r>
          </w:p>
        </w:tc>
        <w:tc>
          <w:tcPr>
            <w:tcW w:w="6184" w:type="dxa"/>
            <w:vAlign w:val="center"/>
          </w:tcPr>
          <w:p>
            <w:pPr>
              <w:spacing w:before="0" w:after="0"/>
            </w:pPr>
            <w:r>
              <w:rPr>
                <w:sz w:val="18"/>
                <w:szCs w:val="18"/>
              </w:rPr>
              <w:t xml:space="preserve">Miscellaneous Furniture and Fixtures</w:t>
            </w:r>
          </w:p>
        </w:tc>
        <w:tc>
          <w:tcPr>
            <w:tcW w:w="1838" w:type="dxa"/>
            <w:vAlign w:val="center"/>
          </w:tcPr>
          <w:p>
            <w:pPr>
              <w:spacing w:before="0" w:after="0"/>
            </w:pPr>
            <w:r>
              <w:rPr>
                <w:b/>
                <w:sz w:val="18"/>
                <w:szCs w:val="18"/>
              </w:rPr>
              <w:t xml:space="preserve">Target</w:t>
            </w:r>
          </w:p>
        </w:tc>
      </w:tr>
    </w:tbl>
    <w:p>
      <w:pPr>
        <w:spacing w:before="0" w:after="120"/>
      </w:pPr>
      <w:r>
        <w:t/>
      </w:r>
    </w:p>
    <w:p>
      <w:pPr>
        <w:spacing w:before="0" w:after="140"/>
      </w:pPr>
      <w:r>
        <w:rPr>
          <w:b/>
        </w:rPr>
        <w:t xml:space="preserve">99 — Miscellaneous</w:t>
      </w:r>
    </w:p>
    <w:tbl>
      <w:tblPr>
        <w:tblW w:w="5000" w:type="pct"/>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60" w:type="dxa"/>
          <w:bottom w:w="60" w:type="dxa"/>
          <w:left w:w="108" w:type="dxa"/>
          <w:right w:w="108" w:type="dxa"/>
        </w:tblCellMar>
      </w:tblPr>
      <w:tblGrid>
        <w:gridCol w:w="985"/>
        <w:gridCol w:w="7020"/>
        <w:gridCol w:w="1354"/>
      </w:tblGrid>
      <w:tr>
        <w:trPr>
          <w:tblHeader/>
          <w:cantSplit/>
        </w:trPr>
        <w:tc>
          <w:tcPr>
            <w:tcW w:w="985" w:type="dxa"/>
            <w:shd w:val="clear" w:color="auto" w:fill="E7E9EF"/>
            <w:vAlign w:val="center"/>
          </w:tcPr>
          <w:p>
            <w:pPr>
              <w:spacing w:before="0" w:after="0"/>
            </w:pPr>
            <w:r>
              <w:rPr>
                <w:b/>
                <w:color w:val="1F3864"/>
                <w:sz w:val="18"/>
                <w:szCs w:val="18"/>
              </w:rPr>
              <w:t xml:space="preserve">Code</w:t>
            </w:r>
          </w:p>
        </w:tc>
        <w:tc>
          <w:tcPr>
            <w:tcW w:w="7020" w:type="dxa"/>
            <w:shd w:val="clear" w:color="auto" w:fill="E7E9EF"/>
            <w:vAlign w:val="center"/>
          </w:tcPr>
          <w:p>
            <w:pPr>
              <w:spacing w:before="0" w:after="0"/>
            </w:pPr>
            <w:r>
              <w:rPr>
                <w:b/>
                <w:color w:val="1F3864"/>
                <w:sz w:val="18"/>
                <w:szCs w:val="18"/>
              </w:rPr>
              <w:t xml:space="preserve">Label</w:t>
            </w:r>
          </w:p>
        </w:tc>
        <w:tc>
          <w:tcPr>
            <w:tcW w:w="1354" w:type="dxa"/>
            <w:shd w:val="clear" w:color="auto" w:fill="E7E9EF"/>
            <w:vAlign w:val="center"/>
          </w:tcPr>
          <w:p>
            <w:pPr>
              <w:spacing w:before="0" w:after="0"/>
            </w:pPr>
            <w:r>
              <w:rPr>
                <w:b/>
                <w:color w:val="1F3864"/>
                <w:sz w:val="18"/>
                <w:szCs w:val="18"/>
              </w:rPr>
              <w:t xml:space="preserve">Status</w:t>
            </w:r>
          </w:p>
        </w:tc>
      </w:tr>
      <w:tr>
        <w:tc>
          <w:tcPr>
            <w:tcW w:w="985" w:type="dxa"/>
            <w:vAlign w:val="center"/>
          </w:tcPr>
          <w:p>
            <w:pPr>
              <w:spacing w:before="0" w:after="0"/>
            </w:pPr>
            <w:r>
              <w:rPr>
                <w:sz w:val="18"/>
                <w:szCs w:val="18"/>
              </w:rPr>
              <w:t xml:space="preserve">9905</w:t>
            </w:r>
          </w:p>
        </w:tc>
        <w:tc>
          <w:tcPr>
            <w:tcW w:w="7020" w:type="dxa"/>
            <w:vAlign w:val="center"/>
          </w:tcPr>
          <w:p>
            <w:pPr>
              <w:spacing w:before="0" w:after="0"/>
            </w:pPr>
            <w:r>
              <w:rPr>
                <w:sz w:val="18"/>
                <w:szCs w:val="18"/>
              </w:rPr>
              <w:t xml:space="preserve">Signs, Advertising Displays, and Identification Plates</w:t>
            </w:r>
          </w:p>
        </w:tc>
        <w:tc>
          <w:tcPr>
            <w:tcW w:w="1354" w:type="dxa"/>
            <w:vAlign w:val="center"/>
          </w:tcPr>
          <w:p>
            <w:pPr>
              <w:spacing w:before="0" w:after="0"/>
            </w:pPr>
            <w:r>
              <w:rPr>
                <w:b/>
                <w:sz w:val="18"/>
                <w:szCs w:val="18"/>
              </w:rPr>
              <w:t xml:space="preserve">Target</w:t>
            </w:r>
          </w:p>
        </w:tc>
      </w:tr>
      <w:tr>
        <w:tc>
          <w:tcPr>
            <w:tcW w:w="985" w:type="dxa"/>
            <w:vAlign w:val="center"/>
          </w:tcPr>
          <w:p>
            <w:pPr>
              <w:spacing w:before="0" w:after="0"/>
            </w:pPr>
            <w:r>
              <w:rPr>
                <w:sz w:val="18"/>
                <w:szCs w:val="18"/>
              </w:rPr>
              <w:t xml:space="preserve">9910</w:t>
            </w:r>
          </w:p>
        </w:tc>
        <w:tc>
          <w:tcPr>
            <w:tcW w:w="7020" w:type="dxa"/>
            <w:vAlign w:val="center"/>
          </w:tcPr>
          <w:p>
            <w:pPr>
              <w:spacing w:before="0" w:after="0"/>
            </w:pPr>
            <w:r>
              <w:rPr>
                <w:sz w:val="18"/>
                <w:szCs w:val="18"/>
              </w:rPr>
              <w:t xml:space="preserve">Jewelry</w:t>
            </w:r>
          </w:p>
        </w:tc>
        <w:tc>
          <w:tcPr>
            <w:tcW w:w="1354" w:type="dxa"/>
            <w:vAlign w:val="center"/>
          </w:tcPr>
          <w:p>
            <w:pPr>
              <w:spacing w:before="0" w:after="0"/>
            </w:pPr>
            <w:r>
              <w:rPr>
                <w:sz w:val="18"/>
                <w:szCs w:val="18"/>
              </w:rPr>
              <w:t xml:space="preserve">Rides along</w:t>
            </w:r>
          </w:p>
        </w:tc>
      </w:tr>
      <w:tr>
        <w:tc>
          <w:tcPr>
            <w:tcW w:w="985" w:type="dxa"/>
            <w:vAlign w:val="center"/>
          </w:tcPr>
          <w:p>
            <w:pPr>
              <w:spacing w:before="0" w:after="0"/>
            </w:pPr>
            <w:r>
              <w:rPr>
                <w:sz w:val="18"/>
                <w:szCs w:val="18"/>
              </w:rPr>
              <w:t xml:space="preserve">9915</w:t>
            </w:r>
          </w:p>
        </w:tc>
        <w:tc>
          <w:tcPr>
            <w:tcW w:w="7020" w:type="dxa"/>
            <w:vAlign w:val="center"/>
          </w:tcPr>
          <w:p>
            <w:pPr>
              <w:spacing w:before="0" w:after="0"/>
            </w:pPr>
            <w:r>
              <w:rPr>
                <w:sz w:val="18"/>
                <w:szCs w:val="18"/>
              </w:rPr>
              <w:t xml:space="preserve">Collectors and/or Historical Items</w:t>
            </w:r>
          </w:p>
        </w:tc>
        <w:tc>
          <w:tcPr>
            <w:tcW w:w="1354" w:type="dxa"/>
            <w:vAlign w:val="center"/>
          </w:tcPr>
          <w:p>
            <w:pPr>
              <w:spacing w:before="0" w:after="0"/>
            </w:pPr>
            <w:r>
              <w:rPr>
                <w:sz w:val="18"/>
                <w:szCs w:val="18"/>
              </w:rPr>
              <w:t xml:space="preserve">Rides along</w:t>
            </w:r>
          </w:p>
        </w:tc>
      </w:tr>
      <w:tr>
        <w:tc>
          <w:tcPr>
            <w:tcW w:w="985" w:type="dxa"/>
            <w:vAlign w:val="center"/>
          </w:tcPr>
          <w:p>
            <w:pPr>
              <w:spacing w:before="0" w:after="0"/>
            </w:pPr>
            <w:r>
              <w:rPr>
                <w:sz w:val="18"/>
                <w:szCs w:val="18"/>
              </w:rPr>
              <w:t xml:space="preserve">9920</w:t>
            </w:r>
          </w:p>
        </w:tc>
        <w:tc>
          <w:tcPr>
            <w:tcW w:w="7020" w:type="dxa"/>
            <w:vAlign w:val="center"/>
          </w:tcPr>
          <w:p>
            <w:pPr>
              <w:spacing w:before="0" w:after="0"/>
            </w:pPr>
            <w:r>
              <w:rPr>
                <w:sz w:val="18"/>
                <w:szCs w:val="18"/>
              </w:rPr>
              <w:t xml:space="preserve">Smokers Articles and Matches</w:t>
            </w:r>
          </w:p>
        </w:tc>
        <w:tc>
          <w:tcPr>
            <w:tcW w:w="1354" w:type="dxa"/>
            <w:vAlign w:val="center"/>
          </w:tcPr>
          <w:p>
            <w:pPr>
              <w:spacing w:before="0" w:after="0"/>
            </w:pPr>
            <w:r>
              <w:rPr>
                <w:sz w:val="18"/>
                <w:szCs w:val="18"/>
              </w:rPr>
              <w:t xml:space="preserve">Rides along</w:t>
            </w:r>
          </w:p>
        </w:tc>
      </w:tr>
      <w:tr>
        <w:tc>
          <w:tcPr>
            <w:tcW w:w="985" w:type="dxa"/>
            <w:vAlign w:val="center"/>
          </w:tcPr>
          <w:p>
            <w:pPr>
              <w:spacing w:before="0" w:after="0"/>
            </w:pPr>
            <w:r>
              <w:rPr>
                <w:sz w:val="18"/>
                <w:szCs w:val="18"/>
              </w:rPr>
              <w:t xml:space="preserve">9925</w:t>
            </w:r>
          </w:p>
        </w:tc>
        <w:tc>
          <w:tcPr>
            <w:tcW w:w="7020" w:type="dxa"/>
            <w:vAlign w:val="center"/>
          </w:tcPr>
          <w:p>
            <w:pPr>
              <w:spacing w:before="0" w:after="0"/>
            </w:pPr>
            <w:r>
              <w:rPr>
                <w:sz w:val="18"/>
                <w:szCs w:val="18"/>
              </w:rPr>
              <w:t xml:space="preserve">Ecclesiastical Equipment, Furnishings, and Supplies</w:t>
            </w:r>
          </w:p>
        </w:tc>
        <w:tc>
          <w:tcPr>
            <w:tcW w:w="1354" w:type="dxa"/>
            <w:vAlign w:val="center"/>
          </w:tcPr>
          <w:p>
            <w:pPr>
              <w:spacing w:before="0" w:after="0"/>
            </w:pPr>
            <w:r>
              <w:rPr>
                <w:sz w:val="18"/>
                <w:szCs w:val="18"/>
              </w:rPr>
              <w:t xml:space="preserve">Rides along</w:t>
            </w:r>
          </w:p>
        </w:tc>
      </w:tr>
      <w:tr>
        <w:tc>
          <w:tcPr>
            <w:tcW w:w="985" w:type="dxa"/>
            <w:vAlign w:val="center"/>
          </w:tcPr>
          <w:p>
            <w:pPr>
              <w:spacing w:before="0" w:after="0"/>
            </w:pPr>
            <w:r>
              <w:rPr>
                <w:sz w:val="18"/>
                <w:szCs w:val="18"/>
              </w:rPr>
              <w:t xml:space="preserve">9930</w:t>
            </w:r>
          </w:p>
        </w:tc>
        <w:tc>
          <w:tcPr>
            <w:tcW w:w="7020" w:type="dxa"/>
            <w:vAlign w:val="center"/>
          </w:tcPr>
          <w:p>
            <w:pPr>
              <w:spacing w:before="0" w:after="0"/>
            </w:pPr>
            <w:r>
              <w:rPr>
                <w:sz w:val="18"/>
                <w:szCs w:val="18"/>
              </w:rPr>
              <w:t xml:space="preserve">Memorials; Cemeterial and Mortuary Equipment and Supplies</w:t>
            </w:r>
          </w:p>
        </w:tc>
        <w:tc>
          <w:tcPr>
            <w:tcW w:w="1354" w:type="dxa"/>
            <w:vAlign w:val="center"/>
          </w:tcPr>
          <w:p>
            <w:pPr>
              <w:spacing w:before="0" w:after="0"/>
            </w:pPr>
            <w:r>
              <w:rPr>
                <w:sz w:val="18"/>
                <w:szCs w:val="18"/>
              </w:rPr>
              <w:t xml:space="preserve">Rides along</w:t>
            </w:r>
          </w:p>
        </w:tc>
      </w:tr>
      <w:tr>
        <w:tc>
          <w:tcPr>
            <w:tcW w:w="985" w:type="dxa"/>
            <w:vAlign w:val="center"/>
          </w:tcPr>
          <w:p>
            <w:pPr>
              <w:spacing w:before="0" w:after="0"/>
            </w:pPr>
            <w:r>
              <w:rPr>
                <w:sz w:val="18"/>
                <w:szCs w:val="18"/>
              </w:rPr>
              <w:t xml:space="preserve">9998</w:t>
            </w:r>
          </w:p>
        </w:tc>
        <w:tc>
          <w:tcPr>
            <w:tcW w:w="7020" w:type="dxa"/>
            <w:vAlign w:val="center"/>
          </w:tcPr>
          <w:p>
            <w:pPr>
              <w:spacing w:before="0" w:after="0"/>
            </w:pPr>
            <w:r>
              <w:rPr>
                <w:sz w:val="18"/>
                <w:szCs w:val="18"/>
              </w:rPr>
              <w:t xml:space="preserve">Non-Food Items for Resale</w:t>
            </w:r>
          </w:p>
        </w:tc>
        <w:tc>
          <w:tcPr>
            <w:tcW w:w="1354" w:type="dxa"/>
            <w:vAlign w:val="center"/>
          </w:tcPr>
          <w:p>
            <w:pPr>
              <w:spacing w:before="0" w:after="0"/>
            </w:pPr>
            <w:r>
              <w:rPr>
                <w:sz w:val="18"/>
                <w:szCs w:val="18"/>
              </w:rPr>
              <w:t xml:space="preserve">Rides along</w:t>
            </w:r>
          </w:p>
        </w:tc>
      </w:tr>
      <w:tr>
        <w:tc>
          <w:tcPr>
            <w:tcW w:w="985" w:type="dxa"/>
            <w:vAlign w:val="center"/>
          </w:tcPr>
          <w:p>
            <w:pPr>
              <w:spacing w:before="0" w:after="0"/>
            </w:pPr>
            <w:r>
              <w:rPr>
                <w:sz w:val="18"/>
                <w:szCs w:val="18"/>
              </w:rPr>
              <w:t xml:space="preserve">9999</w:t>
            </w:r>
          </w:p>
        </w:tc>
        <w:tc>
          <w:tcPr>
            <w:tcW w:w="7020" w:type="dxa"/>
            <w:vAlign w:val="center"/>
          </w:tcPr>
          <w:p>
            <w:pPr>
              <w:spacing w:before="0" w:after="0"/>
            </w:pPr>
            <w:r>
              <w:rPr>
                <w:sz w:val="18"/>
                <w:szCs w:val="18"/>
              </w:rPr>
              <w:t xml:space="preserve">Miscellaneous Items</w:t>
            </w:r>
          </w:p>
        </w:tc>
        <w:tc>
          <w:tcPr>
            <w:tcW w:w="1354" w:type="dxa"/>
            <w:vAlign w:val="center"/>
          </w:tcPr>
          <w:p>
            <w:pPr>
              <w:spacing w:before="0" w:after="0"/>
            </w:pPr>
            <w:r>
              <w:rPr>
                <w:sz w:val="18"/>
                <w:szCs w:val="18"/>
              </w:rPr>
              <w:t xml:space="preserve">Rides along</w:t>
            </w:r>
          </w:p>
        </w:tc>
      </w:tr>
    </w:tbl>
    <w:p>
      <w:pPr>
        <w:spacing w:before="0" w:after="120"/>
      </w:pPr>
      <w:r>
        <w:t/>
      </w:r>
    </w:p>
    <w:p>
      <w:pPr>
        <w:spacing w:before="0" w:after="140"/>
      </w:pPr>
      <w:r>
        <w:rPr>
          <w:b/>
        </w:rPr>
        <w:t xml:space="preserve">63 — Alarm, Signal, Security Detection</w:t>
      </w:r>
    </w:p>
    <w:tbl>
      <w:tblPr>
        <w:tblW w:w="5000" w:type="pct"/>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60" w:type="dxa"/>
          <w:bottom w:w="60" w:type="dxa"/>
          <w:left w:w="108" w:type="dxa"/>
          <w:right w:w="108" w:type="dxa"/>
        </w:tblCellMar>
      </w:tblPr>
      <w:tblGrid>
        <w:gridCol w:w="960"/>
        <w:gridCol w:w="7080"/>
        <w:gridCol w:w="1320"/>
      </w:tblGrid>
      <w:tr>
        <w:trPr>
          <w:tblHeader/>
          <w:cantSplit/>
        </w:trPr>
        <w:tc>
          <w:tcPr>
            <w:tcW w:w="960" w:type="dxa"/>
            <w:shd w:val="clear" w:color="auto" w:fill="E7E9EF"/>
            <w:vAlign w:val="center"/>
          </w:tcPr>
          <w:p>
            <w:pPr>
              <w:spacing w:before="0" w:after="0"/>
            </w:pPr>
            <w:r>
              <w:rPr>
                <w:b/>
                <w:color w:val="1F3864"/>
                <w:sz w:val="18"/>
                <w:szCs w:val="18"/>
              </w:rPr>
              <w:t xml:space="preserve">Code</w:t>
            </w:r>
          </w:p>
        </w:tc>
        <w:tc>
          <w:tcPr>
            <w:tcW w:w="7080" w:type="dxa"/>
            <w:shd w:val="clear" w:color="auto" w:fill="E7E9EF"/>
            <w:vAlign w:val="center"/>
          </w:tcPr>
          <w:p>
            <w:pPr>
              <w:spacing w:before="0" w:after="0"/>
            </w:pPr>
            <w:r>
              <w:rPr>
                <w:b/>
                <w:color w:val="1F3864"/>
                <w:sz w:val="18"/>
                <w:szCs w:val="18"/>
              </w:rPr>
              <w:t xml:space="preserve">Label</w:t>
            </w:r>
          </w:p>
        </w:tc>
        <w:tc>
          <w:tcPr>
            <w:tcW w:w="1320" w:type="dxa"/>
            <w:shd w:val="clear" w:color="auto" w:fill="E7E9EF"/>
            <w:vAlign w:val="center"/>
          </w:tcPr>
          <w:p>
            <w:pPr>
              <w:spacing w:before="0" w:after="0"/>
            </w:pPr>
            <w:r>
              <w:rPr>
                <w:b/>
                <w:color w:val="1F3864"/>
                <w:sz w:val="18"/>
                <w:szCs w:val="18"/>
              </w:rPr>
              <w:t xml:space="preserve">Status</w:t>
            </w:r>
          </w:p>
        </w:tc>
      </w:tr>
      <w:tr>
        <w:tc>
          <w:tcPr>
            <w:tcW w:w="960" w:type="dxa"/>
            <w:vAlign w:val="center"/>
          </w:tcPr>
          <w:p>
            <w:pPr>
              <w:spacing w:before="0" w:after="0"/>
            </w:pPr>
            <w:r>
              <w:rPr>
                <w:sz w:val="18"/>
                <w:szCs w:val="18"/>
              </w:rPr>
              <w:t xml:space="preserve">6310</w:t>
            </w:r>
          </w:p>
        </w:tc>
        <w:tc>
          <w:tcPr>
            <w:tcW w:w="7080" w:type="dxa"/>
            <w:vAlign w:val="center"/>
          </w:tcPr>
          <w:p>
            <w:pPr>
              <w:spacing w:before="0" w:after="0"/>
            </w:pPr>
            <w:r>
              <w:rPr>
                <w:sz w:val="18"/>
                <w:szCs w:val="18"/>
              </w:rPr>
              <w:t xml:space="preserve">Traffic and Transit Signal Systems</w:t>
            </w:r>
          </w:p>
        </w:tc>
        <w:tc>
          <w:tcPr>
            <w:tcW w:w="1320" w:type="dxa"/>
            <w:vAlign w:val="center"/>
          </w:tcPr>
          <w:p>
            <w:pPr>
              <w:spacing w:before="0" w:after="0"/>
            </w:pPr>
            <w:r>
              <w:rPr>
                <w:sz w:val="18"/>
                <w:szCs w:val="18"/>
              </w:rPr>
              <w:t xml:space="preserve">Rides along</w:t>
            </w:r>
          </w:p>
        </w:tc>
      </w:tr>
      <w:tr>
        <w:tc>
          <w:tcPr>
            <w:tcW w:w="960" w:type="dxa"/>
            <w:vAlign w:val="center"/>
          </w:tcPr>
          <w:p>
            <w:pPr>
              <w:spacing w:before="0" w:after="0"/>
            </w:pPr>
            <w:r>
              <w:rPr>
                <w:sz w:val="18"/>
                <w:szCs w:val="18"/>
              </w:rPr>
              <w:t xml:space="preserve">6320</w:t>
            </w:r>
          </w:p>
        </w:tc>
        <w:tc>
          <w:tcPr>
            <w:tcW w:w="7080" w:type="dxa"/>
            <w:vAlign w:val="center"/>
          </w:tcPr>
          <w:p>
            <w:pPr>
              <w:spacing w:before="0" w:after="0"/>
            </w:pPr>
            <w:r>
              <w:rPr>
                <w:sz w:val="18"/>
                <w:szCs w:val="18"/>
              </w:rPr>
              <w:t xml:space="preserve">Shipboard Alarm and Signals Systems</w:t>
            </w:r>
          </w:p>
        </w:tc>
        <w:tc>
          <w:tcPr>
            <w:tcW w:w="1320" w:type="dxa"/>
            <w:vAlign w:val="center"/>
          </w:tcPr>
          <w:p>
            <w:pPr>
              <w:spacing w:before="0" w:after="0"/>
            </w:pPr>
            <w:r>
              <w:rPr>
                <w:sz w:val="18"/>
                <w:szCs w:val="18"/>
              </w:rPr>
              <w:t xml:space="preserve">Rides along</w:t>
            </w:r>
          </w:p>
        </w:tc>
      </w:tr>
      <w:tr>
        <w:tc>
          <w:tcPr>
            <w:tcW w:w="960" w:type="dxa"/>
            <w:vAlign w:val="center"/>
          </w:tcPr>
          <w:p>
            <w:pPr>
              <w:spacing w:before="0" w:after="0"/>
            </w:pPr>
            <w:r>
              <w:rPr>
                <w:sz w:val="18"/>
                <w:szCs w:val="18"/>
              </w:rPr>
              <w:t xml:space="preserve">6330</w:t>
            </w:r>
          </w:p>
        </w:tc>
        <w:tc>
          <w:tcPr>
            <w:tcW w:w="7080" w:type="dxa"/>
            <w:vAlign w:val="center"/>
          </w:tcPr>
          <w:p>
            <w:pPr>
              <w:spacing w:before="0" w:after="0"/>
            </w:pPr>
            <w:r>
              <w:rPr>
                <w:sz w:val="18"/>
                <w:szCs w:val="18"/>
              </w:rPr>
              <w:t xml:space="preserve">Railroad Signal and Warning Devices</w:t>
            </w:r>
          </w:p>
        </w:tc>
        <w:tc>
          <w:tcPr>
            <w:tcW w:w="1320" w:type="dxa"/>
            <w:vAlign w:val="center"/>
          </w:tcPr>
          <w:p>
            <w:pPr>
              <w:spacing w:before="0" w:after="0"/>
            </w:pPr>
            <w:r>
              <w:rPr>
                <w:sz w:val="18"/>
                <w:szCs w:val="18"/>
              </w:rPr>
              <w:t xml:space="preserve">Rides along</w:t>
            </w:r>
          </w:p>
        </w:tc>
      </w:tr>
      <w:tr>
        <w:tc>
          <w:tcPr>
            <w:tcW w:w="960" w:type="dxa"/>
            <w:vAlign w:val="center"/>
          </w:tcPr>
          <w:p>
            <w:pPr>
              <w:spacing w:before="0" w:after="0"/>
            </w:pPr>
            <w:r>
              <w:rPr>
                <w:sz w:val="18"/>
                <w:szCs w:val="18"/>
              </w:rPr>
              <w:t xml:space="preserve">6340</w:t>
            </w:r>
          </w:p>
        </w:tc>
        <w:tc>
          <w:tcPr>
            <w:tcW w:w="7080" w:type="dxa"/>
            <w:vAlign w:val="center"/>
          </w:tcPr>
          <w:p>
            <w:pPr>
              <w:spacing w:before="0" w:after="0"/>
            </w:pPr>
            <w:r>
              <w:rPr>
                <w:sz w:val="18"/>
                <w:szCs w:val="18"/>
              </w:rPr>
              <w:t xml:space="preserve">Aircraft Alarm and Signal Systems</w:t>
            </w:r>
          </w:p>
        </w:tc>
        <w:tc>
          <w:tcPr>
            <w:tcW w:w="1320" w:type="dxa"/>
            <w:vAlign w:val="center"/>
          </w:tcPr>
          <w:p>
            <w:pPr>
              <w:spacing w:before="0" w:after="0"/>
            </w:pPr>
            <w:r>
              <w:rPr>
                <w:sz w:val="18"/>
                <w:szCs w:val="18"/>
              </w:rPr>
              <w:t xml:space="preserve">Rides along</w:t>
            </w:r>
          </w:p>
        </w:tc>
      </w:tr>
      <w:tr>
        <w:tc>
          <w:tcPr>
            <w:tcW w:w="960" w:type="dxa"/>
            <w:vAlign w:val="center"/>
          </w:tcPr>
          <w:p>
            <w:pPr>
              <w:spacing w:before="0" w:after="0"/>
            </w:pPr>
            <w:r>
              <w:rPr>
                <w:sz w:val="18"/>
                <w:szCs w:val="18"/>
              </w:rPr>
              <w:t xml:space="preserve">6350</w:t>
            </w:r>
          </w:p>
        </w:tc>
        <w:tc>
          <w:tcPr>
            <w:tcW w:w="7080" w:type="dxa"/>
            <w:vAlign w:val="center"/>
          </w:tcPr>
          <w:p>
            <w:pPr>
              <w:spacing w:before="0" w:after="0"/>
            </w:pPr>
            <w:r>
              <w:rPr>
                <w:sz w:val="18"/>
                <w:szCs w:val="18"/>
              </w:rPr>
              <w:t xml:space="preserve">Miscellaneous Alarm, Signal, and Security Detection Systems</w:t>
            </w:r>
          </w:p>
        </w:tc>
        <w:tc>
          <w:tcPr>
            <w:tcW w:w="1320" w:type="dxa"/>
            <w:vAlign w:val="center"/>
          </w:tcPr>
          <w:p>
            <w:pPr>
              <w:spacing w:before="0" w:after="0"/>
            </w:pPr>
            <w:r>
              <w:rPr>
                <w:b/>
                <w:sz w:val="18"/>
                <w:szCs w:val="18"/>
              </w:rPr>
              <w:t xml:space="preserve">Target</w:t>
            </w:r>
          </w:p>
        </w:tc>
      </w:tr>
    </w:tbl>
    <w:p>
      <w:pPr>
        <w:spacing w:before="0" w:after="120"/>
      </w:pPr>
      <w:r>
        <w:t/>
      </w:r>
    </w:p>
    <w:p>
      <w:pPr>
        <w:spacing w:before="0" w:after="140"/>
      </w:pPr>
      <w:r>
        <w:t xml:space="preserve">Of the 30 codes these four prefixes admit, 5 are the ones we wanted. We accept jewelry, memorials, roofing materials and shipboard alarms in order to catch fences, furniture, signs and security systems.</w:t>
      </w:r>
    </w:p>
    <w:p>
      <w:pPr>
        <w:spacing w:before="280" w:after="120"/>
      </w:pPr>
      <w:r>
        <w:rPr>
          <w:b/>
          <w:color w:val="1F3864"/>
          <w:sz w:val="42"/>
          <w:szCs w:val="42"/>
        </w:rPr>
        <w:t xml:space="preserve">1b. Y1 / Z1 / Z2 — construction and renovation</w:t>
      </w:r>
    </w:p>
    <w:p>
      <w:pPr>
        <w:spacing w:before="0" w:after="140"/>
      </w:pPr>
      <w:r>
        <w:t xml:space="preserve">These three are 335 of the 365 codes. They share one structure: the same facility types repeated three times, once for construction, once for maintenance, once for repair or alteration.</w:t>
      </w:r>
    </w:p>
    <w:tbl>
      <w:tblPr>
        <w:tblW w:w="5000" w:type="pct"/>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60" w:type="dxa"/>
          <w:bottom w:w="60" w:type="dxa"/>
          <w:left w:w="108" w:type="dxa"/>
          <w:right w:w="108" w:type="dxa"/>
        </w:tblCellMar>
      </w:tblPr>
      <w:tblGrid>
        <w:gridCol w:w="600"/>
        <w:gridCol w:w="4676"/>
        <w:gridCol w:w="600"/>
        <w:gridCol w:w="3484"/>
      </w:tblGrid>
      <w:tr>
        <w:trPr>
          <w:tblHeader/>
          <w:cantSplit/>
        </w:trPr>
        <w:tc>
          <w:tcPr>
            <w:tcW w:w="600" w:type="dxa"/>
            <w:shd w:val="clear" w:color="auto" w:fill="E7E9EF"/>
            <w:vAlign w:val="center"/>
          </w:tcPr>
          <w:p>
            <w:pPr>
              <w:spacing w:before="0" w:after="0"/>
            </w:pPr>
            <w:r>
              <w:rPr>
                <w:b/>
                <w:color w:val="1F3864"/>
                <w:sz w:val="18"/>
                <w:szCs w:val="18"/>
              </w:rPr>
              <w:t xml:space="preserve">Family</w:t>
            </w:r>
          </w:p>
        </w:tc>
        <w:tc>
          <w:tcPr>
            <w:tcW w:w="4676" w:type="dxa"/>
            <w:shd w:val="clear" w:color="auto" w:fill="E7E9EF"/>
            <w:vAlign w:val="center"/>
          </w:tcPr>
          <w:p>
            <w:pPr>
              <w:spacing w:before="0" w:after="0"/>
            </w:pPr>
            <w:r>
              <w:rPr>
                <w:b/>
                <w:color w:val="1F3864"/>
                <w:sz w:val="18"/>
                <w:szCs w:val="18"/>
              </w:rPr>
              <w:t xml:space="preserve">Facility types</w:t>
            </w:r>
          </w:p>
        </w:tc>
        <w:tc>
          <w:tcPr>
            <w:tcW w:w="600" w:type="dxa"/>
            <w:shd w:val="clear" w:color="auto" w:fill="E7E9EF"/>
            <w:vAlign w:val="center"/>
          </w:tcPr>
          <w:p>
            <w:pPr>
              <w:spacing w:before="0" w:after="0"/>
            </w:pPr>
            <w:r>
              <w:rPr>
                <w:b/>
                <w:color w:val="1F3864"/>
                <w:sz w:val="18"/>
                <w:szCs w:val="18"/>
              </w:rPr>
              <w:t xml:space="preserve">Types</w:t>
            </w:r>
          </w:p>
        </w:tc>
        <w:tc>
          <w:tcPr>
            <w:tcW w:w="3484" w:type="dxa"/>
            <w:shd w:val="clear" w:color="auto" w:fill="E7E9EF"/>
            <w:vAlign w:val="center"/>
          </w:tcPr>
          <w:p>
            <w:pPr>
              <w:spacing w:before="0" w:after="0"/>
            </w:pPr>
            <w:r>
              <w:rPr>
                <w:b/>
                <w:color w:val="1F3864"/>
                <w:sz w:val="18"/>
                <w:szCs w:val="18"/>
              </w:rPr>
              <w:t xml:space="preserve">Plausible Lavi content</w:t>
            </w:r>
          </w:p>
        </w:tc>
      </w:tr>
      <w:tr>
        <w:tc>
          <w:tcPr>
            <w:tcW w:w="600" w:type="dxa"/>
            <w:vAlign w:val="center"/>
          </w:tcPr>
          <w:p>
            <w:pPr>
              <w:spacing w:before="0" w:after="0"/>
            </w:pPr>
            <w:r>
              <w:rPr>
                <w:sz w:val="18"/>
                <w:szCs w:val="18"/>
              </w:rPr>
              <w:t xml:space="preserve">A</w:t>
            </w:r>
          </w:p>
        </w:tc>
        <w:tc>
          <w:tcPr>
            <w:tcW w:w="4676" w:type="dxa"/>
            <w:vAlign w:val="center"/>
          </w:tcPr>
          <w:p>
            <w:pPr>
              <w:spacing w:before="0" w:after="0"/>
            </w:pPr>
            <w:r>
              <w:rPr>
                <w:sz w:val="18"/>
                <w:szCs w:val="18"/>
              </w:rPr>
              <w:t xml:space="preserve">Office buildings, conference facilities, administrative buildings</w:t>
            </w:r>
          </w:p>
        </w:tc>
        <w:tc>
          <w:tcPr>
            <w:tcW w:w="600" w:type="dxa"/>
            <w:vAlign w:val="center"/>
          </w:tcPr>
          <w:p>
            <w:pPr>
              <w:spacing w:before="0" w:after="0"/>
            </w:pPr>
            <w:r>
              <w:rPr>
                <w:sz w:val="18"/>
                <w:szCs w:val="18"/>
              </w:rPr>
              <w:t xml:space="preserve">3</w:t>
            </w:r>
          </w:p>
        </w:tc>
        <w:tc>
          <w:tcPr>
            <w:tcW w:w="3484" w:type="dxa"/>
            <w:vAlign w:val="center"/>
          </w:tcPr>
          <w:p>
            <w:pPr>
              <w:spacing w:before="0" w:after="0"/>
            </w:pPr>
            <w:r>
              <w:rPr>
                <w:b/>
                <w:sz w:val="18"/>
                <w:szCs w:val="18"/>
              </w:rPr>
              <w:t xml:space="preserve">High</w:t>
            </w:r>
            <w:r>
              <w:rPr>
                <w:sz w:val="18"/>
                <w:szCs w:val="18"/>
              </w:rPr>
              <w:t xml:space="preserve"> — lobbies, reception, visitor queuing</w:t>
            </w:r>
          </w:p>
        </w:tc>
      </w:tr>
      <w:tr>
        <w:tc>
          <w:tcPr>
            <w:tcW w:w="600" w:type="dxa"/>
            <w:vAlign w:val="center"/>
          </w:tcPr>
          <w:p>
            <w:pPr>
              <w:spacing w:before="0" w:after="0"/>
            </w:pPr>
            <w:r>
              <w:rPr>
                <w:sz w:val="18"/>
                <w:szCs w:val="18"/>
              </w:rPr>
              <w:t xml:space="preserve">B</w:t>
            </w:r>
          </w:p>
        </w:tc>
        <w:tc>
          <w:tcPr>
            <w:tcW w:w="4676" w:type="dxa"/>
            <w:vAlign w:val="center"/>
          </w:tcPr>
          <w:p>
            <w:pPr>
              <w:spacing w:before="0" w:after="0"/>
            </w:pPr>
            <w:r>
              <w:rPr>
                <w:sz w:val="18"/>
                <w:szCs w:val="18"/>
              </w:rPr>
              <w:t xml:space="preserve">Air traffic control towers, radar facilities, runways, </w:t>
            </w:r>
            <w:r>
              <w:rPr>
                <w:b/>
                <w:sz w:val="18"/>
                <w:szCs w:val="18"/>
              </w:rPr>
              <w:t xml:space="preserve">airport terminals</w:t>
            </w:r>
            <w:r>
              <w:rPr>
                <w:sz w:val="18"/>
                <w:szCs w:val="18"/>
              </w:rPr>
              <w:t xml:space="preserve">, communications facilities</w:t>
            </w:r>
          </w:p>
        </w:tc>
        <w:tc>
          <w:tcPr>
            <w:tcW w:w="600" w:type="dxa"/>
            <w:vAlign w:val="center"/>
          </w:tcPr>
          <w:p>
            <w:pPr>
              <w:spacing w:before="0" w:after="0"/>
            </w:pPr>
            <w:r>
              <w:rPr>
                <w:sz w:val="18"/>
                <w:szCs w:val="18"/>
              </w:rPr>
              <w:t xml:space="preserve">8</w:t>
            </w:r>
          </w:p>
        </w:tc>
        <w:tc>
          <w:tcPr>
            <w:tcW w:w="3484" w:type="dxa"/>
            <w:vAlign w:val="center"/>
          </w:tcPr>
          <w:p>
            <w:pPr>
              <w:spacing w:before="0" w:after="0"/>
            </w:pPr>
            <w:r>
              <w:rPr>
                <w:b/>
                <w:sz w:val="18"/>
                <w:szCs w:val="18"/>
              </w:rPr>
              <w:t xml:space="preserve">High</w:t>
            </w:r>
            <w:r>
              <w:rPr>
                <w:sz w:val="18"/>
                <w:szCs w:val="18"/>
              </w:rPr>
              <w:t xml:space="preserve"> — terminal passenger flow is a core market</w:t>
            </w:r>
          </w:p>
        </w:tc>
      </w:tr>
      <w:tr>
        <w:tc>
          <w:tcPr>
            <w:tcW w:w="600" w:type="dxa"/>
            <w:vAlign w:val="center"/>
          </w:tcPr>
          <w:p>
            <w:pPr>
              <w:spacing w:before="0" w:after="0"/>
            </w:pPr>
            <w:r>
              <w:rPr>
                <w:sz w:val="18"/>
                <w:szCs w:val="18"/>
              </w:rPr>
              <w:t xml:space="preserve">C</w:t>
            </w:r>
          </w:p>
        </w:tc>
        <w:tc>
          <w:tcPr>
            <w:tcW w:w="4676" w:type="dxa"/>
            <w:vAlign w:val="center"/>
          </w:tcPr>
          <w:p>
            <w:pPr>
              <w:spacing w:before="0" w:after="0"/>
            </w:pPr>
            <w:r>
              <w:rPr>
                <w:sz w:val="18"/>
                <w:szCs w:val="18"/>
              </w:rPr>
              <w:t xml:space="preserve">Schools and other educational buildings</w:t>
            </w:r>
          </w:p>
        </w:tc>
        <w:tc>
          <w:tcPr>
            <w:tcW w:w="600" w:type="dxa"/>
            <w:vAlign w:val="center"/>
          </w:tcPr>
          <w:p>
            <w:pPr>
              <w:spacing w:before="0" w:after="0"/>
            </w:pPr>
            <w:r>
              <w:rPr>
                <w:sz w:val="18"/>
                <w:szCs w:val="18"/>
              </w:rPr>
              <w:t xml:space="preserve">2</w:t>
            </w:r>
          </w:p>
        </w:tc>
        <w:tc>
          <w:tcPr>
            <w:tcW w:w="3484" w:type="dxa"/>
            <w:vAlign w:val="center"/>
          </w:tcPr>
          <w:p>
            <w:pPr>
              <w:spacing w:before="0" w:after="0"/>
            </w:pPr>
            <w:r>
              <w:rPr>
                <w:sz w:val="18"/>
                <w:szCs w:val="18"/>
              </w:rPr>
              <w:t xml:space="preserve">Medium</w:t>
            </w:r>
          </w:p>
        </w:tc>
      </w:tr>
      <w:tr>
        <w:tc>
          <w:tcPr>
            <w:tcW w:w="600" w:type="dxa"/>
            <w:vAlign w:val="center"/>
          </w:tcPr>
          <w:p>
            <w:pPr>
              <w:spacing w:before="0" w:after="0"/>
            </w:pPr>
            <w:r>
              <w:rPr>
                <w:sz w:val="18"/>
                <w:szCs w:val="18"/>
              </w:rPr>
              <w:t xml:space="preserve">D</w:t>
            </w:r>
          </w:p>
        </w:tc>
        <w:tc>
          <w:tcPr>
            <w:tcW w:w="4676" w:type="dxa"/>
            <w:vAlign w:val="center"/>
          </w:tcPr>
          <w:p>
            <w:pPr>
              <w:spacing w:before="0" w:after="0"/>
            </w:pPr>
            <w:r>
              <w:rPr>
                <w:sz w:val="18"/>
                <w:szCs w:val="18"/>
              </w:rPr>
              <w:t xml:space="preserve">Hospitals, infirmaries, laboratories, clinics</w:t>
            </w:r>
          </w:p>
        </w:tc>
        <w:tc>
          <w:tcPr>
            <w:tcW w:w="600" w:type="dxa"/>
            <w:vAlign w:val="center"/>
          </w:tcPr>
          <w:p>
            <w:pPr>
              <w:spacing w:before="0" w:after="0"/>
            </w:pPr>
            <w:r>
              <w:rPr>
                <w:sz w:val="18"/>
                <w:szCs w:val="18"/>
              </w:rPr>
              <w:t xml:space="preserve">3</w:t>
            </w:r>
          </w:p>
        </w:tc>
        <w:tc>
          <w:tcPr>
            <w:tcW w:w="3484" w:type="dxa"/>
            <w:vAlign w:val="center"/>
          </w:tcPr>
          <w:p>
            <w:pPr>
              <w:spacing w:before="0" w:after="0"/>
            </w:pPr>
            <w:r>
              <w:rPr>
                <w:b/>
                <w:sz w:val="18"/>
                <w:szCs w:val="18"/>
              </w:rPr>
              <w:t xml:space="preserve">High</w:t>
            </w:r>
            <w:r>
              <w:rPr>
                <w:sz w:val="18"/>
                <w:szCs w:val="18"/>
              </w:rPr>
              <w:t xml:space="preserve"> — patient check-in and waiting areas</w:t>
            </w:r>
          </w:p>
        </w:tc>
      </w:tr>
      <w:tr>
        <w:tc>
          <w:tcPr>
            <w:tcW w:w="600" w:type="dxa"/>
            <w:vAlign w:val="center"/>
          </w:tcPr>
          <w:p>
            <w:pPr>
              <w:spacing w:before="0" w:after="0"/>
            </w:pPr>
            <w:r>
              <w:rPr>
                <w:sz w:val="18"/>
                <w:szCs w:val="18"/>
              </w:rPr>
              <w:t xml:space="preserve">E</w:t>
            </w:r>
          </w:p>
        </w:tc>
        <w:tc>
          <w:tcPr>
            <w:tcW w:w="4676" w:type="dxa"/>
            <w:vAlign w:val="center"/>
          </w:tcPr>
          <w:p>
            <w:pPr>
              <w:spacing w:before="0" w:after="0"/>
            </w:pPr>
            <w:r>
              <w:rPr>
                <w:sz w:val="18"/>
                <w:szCs w:val="18"/>
              </w:rPr>
              <w:t xml:space="preserve">Ammunition, maintenance, production, ship repair, tank automotive, industrial</w:t>
            </w:r>
          </w:p>
        </w:tc>
        <w:tc>
          <w:tcPr>
            <w:tcW w:w="600" w:type="dxa"/>
            <w:vAlign w:val="center"/>
          </w:tcPr>
          <w:p>
            <w:pPr>
              <w:spacing w:before="0" w:after="0"/>
            </w:pPr>
            <w:r>
              <w:rPr>
                <w:sz w:val="18"/>
                <w:szCs w:val="18"/>
              </w:rPr>
              <w:t xml:space="preserve">6</w:t>
            </w:r>
          </w:p>
        </w:tc>
        <w:tc>
          <w:tcPr>
            <w:tcW w:w="3484" w:type="dxa"/>
            <w:vAlign w:val="center"/>
          </w:tcPr>
          <w:p>
            <w:pPr>
              <w:spacing w:before="0" w:after="0"/>
            </w:pPr>
            <w:r>
              <w:rPr>
                <w:sz w:val="18"/>
                <w:szCs w:val="18"/>
              </w:rPr>
              <w:t xml:space="preserve">Low</w:t>
            </w:r>
          </w:p>
        </w:tc>
      </w:tr>
      <w:tr>
        <w:tc>
          <w:tcPr>
            <w:tcW w:w="600" w:type="dxa"/>
            <w:vAlign w:val="center"/>
          </w:tcPr>
          <w:p>
            <w:pPr>
              <w:spacing w:before="0" w:after="0"/>
            </w:pPr>
            <w:r>
              <w:rPr>
                <w:sz w:val="18"/>
                <w:szCs w:val="18"/>
              </w:rPr>
              <w:t xml:space="preserve">F</w:t>
            </w:r>
          </w:p>
        </w:tc>
        <w:tc>
          <w:tcPr>
            <w:tcW w:w="4676" w:type="dxa"/>
            <w:vAlign w:val="center"/>
          </w:tcPr>
          <w:p>
            <w:pPr>
              <w:spacing w:before="0" w:after="0"/>
            </w:pPr>
            <w:r>
              <w:rPr>
                <w:sz w:val="18"/>
                <w:szCs w:val="18"/>
              </w:rPr>
              <w:t xml:space="preserve">Family housing, recreational, troop housing, </w:t>
            </w:r>
            <w:r>
              <w:rPr>
                <w:b/>
                <w:sz w:val="18"/>
                <w:szCs w:val="18"/>
              </w:rPr>
              <w:t xml:space="preserve">dining facilities</w:t>
            </w:r>
            <w:r>
              <w:rPr>
                <w:sz w:val="18"/>
                <w:szCs w:val="18"/>
              </w:rPr>
              <w:t xml:space="preserve">, religious, penal</w:t>
            </w:r>
          </w:p>
        </w:tc>
        <w:tc>
          <w:tcPr>
            <w:tcW w:w="600" w:type="dxa"/>
            <w:vAlign w:val="center"/>
          </w:tcPr>
          <w:p>
            <w:pPr>
              <w:spacing w:before="0" w:after="0"/>
            </w:pPr>
            <w:r>
              <w:rPr>
                <w:sz w:val="18"/>
                <w:szCs w:val="18"/>
              </w:rPr>
              <w:t xml:space="preserve">7</w:t>
            </w:r>
          </w:p>
        </w:tc>
        <w:tc>
          <w:tcPr>
            <w:tcW w:w="3484" w:type="dxa"/>
            <w:vAlign w:val="center"/>
          </w:tcPr>
          <w:p>
            <w:pPr>
              <w:spacing w:before="0" w:after="0"/>
            </w:pPr>
            <w:r>
              <w:rPr>
                <w:sz w:val="18"/>
                <w:szCs w:val="18"/>
              </w:rPr>
              <w:t xml:space="preserve">Mixed — dining and penal queue, housing does not</w:t>
            </w:r>
          </w:p>
        </w:tc>
      </w:tr>
      <w:tr>
        <w:tc>
          <w:tcPr>
            <w:tcW w:w="600" w:type="dxa"/>
            <w:vAlign w:val="center"/>
          </w:tcPr>
          <w:p>
            <w:pPr>
              <w:spacing w:before="0" w:after="0"/>
            </w:pPr>
            <w:r>
              <w:rPr>
                <w:sz w:val="18"/>
                <w:szCs w:val="18"/>
              </w:rPr>
              <w:t xml:space="preserve">G</w:t>
            </w:r>
          </w:p>
        </w:tc>
        <w:tc>
          <w:tcPr>
            <w:tcW w:w="4676" w:type="dxa"/>
            <w:vAlign w:val="center"/>
          </w:tcPr>
          <w:p>
            <w:pPr>
              <w:spacing w:before="0" w:after="0"/>
            </w:pPr>
            <w:r>
              <w:rPr>
                <w:sz w:val="18"/>
                <w:szCs w:val="18"/>
              </w:rPr>
              <w:t xml:space="preserve">Ammunition, food, fuel and open storage, warehouses</w:t>
            </w:r>
          </w:p>
        </w:tc>
        <w:tc>
          <w:tcPr>
            <w:tcW w:w="600" w:type="dxa"/>
            <w:vAlign w:val="center"/>
          </w:tcPr>
          <w:p>
            <w:pPr>
              <w:spacing w:before="0" w:after="0"/>
            </w:pPr>
            <w:r>
              <w:rPr>
                <w:sz w:val="18"/>
                <w:szCs w:val="18"/>
              </w:rPr>
              <w:t xml:space="preserve">5</w:t>
            </w:r>
          </w:p>
        </w:tc>
        <w:tc>
          <w:tcPr>
            <w:tcW w:w="3484" w:type="dxa"/>
            <w:vAlign w:val="center"/>
          </w:tcPr>
          <w:p>
            <w:pPr>
              <w:spacing w:before="0" w:after="0"/>
            </w:pPr>
            <w:r>
              <w:rPr>
                <w:sz w:val="18"/>
                <w:szCs w:val="18"/>
              </w:rPr>
              <w:t xml:space="preserve">Low</w:t>
            </w:r>
          </w:p>
        </w:tc>
      </w:tr>
      <w:tr>
        <w:tc>
          <w:tcPr>
            <w:tcW w:w="600" w:type="dxa"/>
            <w:vAlign w:val="center"/>
          </w:tcPr>
          <w:p>
            <w:pPr>
              <w:spacing w:before="0" w:after="0"/>
            </w:pPr>
            <w:r>
              <w:rPr>
                <w:sz w:val="18"/>
                <w:szCs w:val="18"/>
              </w:rPr>
              <w:t xml:space="preserve">H</w:t>
            </w:r>
          </w:p>
        </w:tc>
        <w:tc>
          <w:tcPr>
            <w:tcW w:w="4676" w:type="dxa"/>
            <w:vAlign w:val="center"/>
          </w:tcPr>
          <w:p>
            <w:pPr>
              <w:spacing w:before="0" w:after="0"/>
            </w:pPr>
            <w:r>
              <w:rPr>
                <w:sz w:val="18"/>
                <w:szCs w:val="18"/>
              </w:rPr>
              <w:t xml:space="preserve">Government R&amp;D facilities and environmental laboratories</w:t>
            </w:r>
          </w:p>
        </w:tc>
        <w:tc>
          <w:tcPr>
            <w:tcW w:w="600" w:type="dxa"/>
            <w:vAlign w:val="center"/>
          </w:tcPr>
          <w:p>
            <w:pPr>
              <w:spacing w:before="0" w:after="0"/>
            </w:pPr>
            <w:r>
              <w:rPr>
                <w:sz w:val="18"/>
                <w:szCs w:val="18"/>
              </w:rPr>
              <w:t xml:space="preserve">4</w:t>
            </w:r>
          </w:p>
        </w:tc>
        <w:tc>
          <w:tcPr>
            <w:tcW w:w="3484" w:type="dxa"/>
            <w:vAlign w:val="center"/>
          </w:tcPr>
          <w:p>
            <w:pPr>
              <w:spacing w:before="0" w:after="0"/>
            </w:pPr>
            <w:r>
              <w:rPr>
                <w:sz w:val="18"/>
                <w:szCs w:val="18"/>
              </w:rPr>
              <w:t xml:space="preserve">Low</w:t>
            </w:r>
          </w:p>
        </w:tc>
      </w:tr>
      <w:tr>
        <w:tc>
          <w:tcPr>
            <w:tcW w:w="600" w:type="dxa"/>
            <w:vAlign w:val="center"/>
          </w:tcPr>
          <w:p>
            <w:pPr>
              <w:spacing w:before="0" w:after="0"/>
            </w:pPr>
            <w:r>
              <w:rPr>
                <w:sz w:val="18"/>
                <w:szCs w:val="18"/>
              </w:rPr>
              <w:t xml:space="preserve">J</w:t>
            </w:r>
          </w:p>
        </w:tc>
        <w:tc>
          <w:tcPr>
            <w:tcW w:w="4676" w:type="dxa"/>
            <w:vAlign w:val="center"/>
          </w:tcPr>
          <w:p>
            <w:pPr>
              <w:spacing w:before="0" w:after="0"/>
            </w:pPr>
            <w:r>
              <w:rPr>
                <w:b/>
                <w:sz w:val="18"/>
                <w:szCs w:val="18"/>
              </w:rPr>
              <w:t xml:space="preserve">Museums and exhibition buildings</w:t>
            </w:r>
            <w:r>
              <w:rPr>
                <w:sz w:val="18"/>
                <w:szCs w:val="18"/>
              </w:rPr>
              <w:t xml:space="preserve">, testing and measurement, miscellaneous</w:t>
            </w:r>
          </w:p>
        </w:tc>
        <w:tc>
          <w:tcPr>
            <w:tcW w:w="600" w:type="dxa"/>
            <w:vAlign w:val="center"/>
          </w:tcPr>
          <w:p>
            <w:pPr>
              <w:spacing w:before="0" w:after="0"/>
            </w:pPr>
            <w:r>
              <w:rPr>
                <w:sz w:val="18"/>
                <w:szCs w:val="18"/>
              </w:rPr>
              <w:t xml:space="preserve">3</w:t>
            </w:r>
          </w:p>
        </w:tc>
        <w:tc>
          <w:tcPr>
            <w:tcW w:w="3484" w:type="dxa"/>
            <w:vAlign w:val="center"/>
          </w:tcPr>
          <w:p>
            <w:pPr>
              <w:spacing w:before="0" w:after="0"/>
            </w:pPr>
            <w:r>
              <w:rPr>
                <w:b/>
                <w:sz w:val="18"/>
                <w:szCs w:val="18"/>
              </w:rPr>
              <w:t xml:space="preserve">High</w:t>
            </w:r>
            <w:r>
              <w:rPr>
                <w:sz w:val="18"/>
                <w:szCs w:val="18"/>
              </w:rPr>
              <w:t xml:space="preserve"> — museums are a crowd-control market</w:t>
            </w:r>
          </w:p>
        </w:tc>
      </w:tr>
      <w:tr>
        <w:tc>
          <w:tcPr>
            <w:tcW w:w="600" w:type="dxa"/>
            <w:vAlign w:val="center"/>
          </w:tcPr>
          <w:p>
            <w:pPr>
              <w:spacing w:before="0" w:after="0"/>
            </w:pPr>
            <w:r>
              <w:rPr>
                <w:sz w:val="18"/>
                <w:szCs w:val="18"/>
              </w:rPr>
              <w:t xml:space="preserve">K</w:t>
            </w:r>
          </w:p>
        </w:tc>
        <w:tc>
          <w:tcPr>
            <w:tcW w:w="4676" w:type="dxa"/>
            <w:vAlign w:val="center"/>
          </w:tcPr>
          <w:p>
            <w:pPr>
              <w:spacing w:before="0" w:after="0"/>
            </w:pPr>
            <w:r>
              <w:rPr>
                <w:sz w:val="18"/>
                <w:szCs w:val="18"/>
              </w:rPr>
              <w:t xml:space="preserve">Dams, canals, mine fire control, mine subsidence, reclamation, dredging</w:t>
            </w:r>
          </w:p>
        </w:tc>
        <w:tc>
          <w:tcPr>
            <w:tcW w:w="600" w:type="dxa"/>
            <w:vAlign w:val="center"/>
          </w:tcPr>
          <w:p>
            <w:pPr>
              <w:spacing w:before="0" w:after="0"/>
            </w:pPr>
            <w:r>
              <w:rPr>
                <w:sz w:val="18"/>
                <w:szCs w:val="18"/>
              </w:rPr>
              <w:t xml:space="preserve">7</w:t>
            </w:r>
          </w:p>
        </w:tc>
        <w:tc>
          <w:tcPr>
            <w:tcW w:w="3484" w:type="dxa"/>
            <w:vAlign w:val="center"/>
          </w:tcPr>
          <w:p>
            <w:pPr>
              <w:spacing w:before="0" w:after="0"/>
            </w:pPr>
            <w:r>
              <w:rPr>
                <w:b/>
                <w:sz w:val="18"/>
                <w:szCs w:val="18"/>
              </w:rPr>
              <w:t xml:space="preserve">None</w:t>
            </w:r>
          </w:p>
        </w:tc>
      </w:tr>
      <w:tr>
        <w:tc>
          <w:tcPr>
            <w:tcW w:w="600" w:type="dxa"/>
            <w:vAlign w:val="center"/>
          </w:tcPr>
          <w:p>
            <w:pPr>
              <w:spacing w:before="0" w:after="0"/>
            </w:pPr>
            <w:r>
              <w:rPr>
                <w:sz w:val="18"/>
                <w:szCs w:val="18"/>
              </w:rPr>
              <w:t xml:space="preserve">L</w:t>
            </w:r>
          </w:p>
        </w:tc>
        <w:tc>
          <w:tcPr>
            <w:tcW w:w="4676" w:type="dxa"/>
            <w:vAlign w:val="center"/>
          </w:tcPr>
          <w:p>
            <w:pPr>
              <w:spacing w:before="0" w:after="0"/>
            </w:pPr>
            <w:r>
              <w:rPr>
                <w:sz w:val="18"/>
                <w:szCs w:val="18"/>
              </w:rPr>
              <w:t xml:space="preserve">Airport service roads, highways, bridges, railways, tunnels, </w:t>
            </w:r>
            <w:r>
              <w:rPr>
                <w:b/>
                <w:sz w:val="18"/>
                <w:szCs w:val="18"/>
              </w:rPr>
              <w:t xml:space="preserve">parking</w:t>
            </w:r>
          </w:p>
        </w:tc>
        <w:tc>
          <w:tcPr>
            <w:tcW w:w="600" w:type="dxa"/>
            <w:vAlign w:val="center"/>
          </w:tcPr>
          <w:p>
            <w:pPr>
              <w:spacing w:before="0" w:after="0"/>
            </w:pPr>
            <w:r>
              <w:rPr>
                <w:sz w:val="18"/>
                <w:szCs w:val="18"/>
              </w:rPr>
              <w:t xml:space="preserve">4</w:t>
            </w:r>
          </w:p>
        </w:tc>
        <w:tc>
          <w:tcPr>
            <w:tcW w:w="3484" w:type="dxa"/>
            <w:vAlign w:val="center"/>
          </w:tcPr>
          <w:p>
            <w:pPr>
              <w:spacing w:before="0" w:after="0"/>
            </w:pPr>
            <w:r>
              <w:rPr>
                <w:sz w:val="18"/>
                <w:szCs w:val="18"/>
              </w:rPr>
              <w:t xml:space="preserve">Low — parking only</w:t>
            </w:r>
          </w:p>
        </w:tc>
      </w:tr>
      <w:tr>
        <w:tc>
          <w:tcPr>
            <w:tcW w:w="600" w:type="dxa"/>
            <w:vAlign w:val="center"/>
          </w:tcPr>
          <w:p>
            <w:pPr>
              <w:spacing w:before="0" w:after="0"/>
            </w:pPr>
            <w:r>
              <w:rPr>
                <w:sz w:val="18"/>
                <w:szCs w:val="18"/>
              </w:rPr>
              <w:t xml:space="preserve">M</w:t>
            </w:r>
          </w:p>
        </w:tc>
        <w:tc>
          <w:tcPr>
            <w:tcW w:w="4676" w:type="dxa"/>
            <w:vAlign w:val="center"/>
          </w:tcPr>
          <w:p>
            <w:pPr>
              <w:spacing w:before="0" w:after="0"/>
            </w:pPr>
            <w:r>
              <w:rPr>
                <w:sz w:val="18"/>
                <w:szCs w:val="18"/>
              </w:rPr>
              <w:t xml:space="preserve">Electric power generation — coal, gas, geothermal, hydro, nuclear, petroleum, solar, wind, transmission</w:t>
            </w:r>
          </w:p>
        </w:tc>
        <w:tc>
          <w:tcPr>
            <w:tcW w:w="600" w:type="dxa"/>
            <w:vAlign w:val="center"/>
          </w:tcPr>
          <w:p>
            <w:pPr>
              <w:spacing w:before="0" w:after="0"/>
            </w:pPr>
            <w:r>
              <w:rPr>
                <w:sz w:val="18"/>
                <w:szCs w:val="18"/>
              </w:rPr>
              <w:t xml:space="preserve">9</w:t>
            </w:r>
          </w:p>
        </w:tc>
        <w:tc>
          <w:tcPr>
            <w:tcW w:w="3484" w:type="dxa"/>
            <w:vAlign w:val="center"/>
          </w:tcPr>
          <w:p>
            <w:pPr>
              <w:spacing w:before="0" w:after="0"/>
            </w:pPr>
            <w:r>
              <w:rPr>
                <w:b/>
                <w:sz w:val="18"/>
                <w:szCs w:val="18"/>
              </w:rPr>
              <w:t xml:space="preserve">None</w:t>
            </w:r>
          </w:p>
        </w:tc>
      </w:tr>
      <w:tr>
        <w:tc>
          <w:tcPr>
            <w:tcW w:w="600" w:type="dxa"/>
            <w:vAlign w:val="center"/>
          </w:tcPr>
          <w:p>
            <w:pPr>
              <w:spacing w:before="0" w:after="0"/>
            </w:pPr>
            <w:r>
              <w:rPr>
                <w:sz w:val="18"/>
                <w:szCs w:val="18"/>
              </w:rPr>
              <w:t xml:space="preserve">N</w:t>
            </w:r>
          </w:p>
        </w:tc>
        <w:tc>
          <w:tcPr>
            <w:tcW w:w="4676" w:type="dxa"/>
            <w:vAlign w:val="center"/>
          </w:tcPr>
          <w:p>
            <w:pPr>
              <w:spacing w:before="0" w:after="0"/>
            </w:pPr>
            <w:r>
              <w:rPr>
                <w:sz w:val="18"/>
                <w:szCs w:val="18"/>
              </w:rPr>
              <w:t xml:space="preserve">Fuel supply, heating and cooling plants, pollution abatement, sewage, water supply</w:t>
            </w:r>
          </w:p>
        </w:tc>
        <w:tc>
          <w:tcPr>
            <w:tcW w:w="600" w:type="dxa"/>
            <w:vAlign w:val="center"/>
          </w:tcPr>
          <w:p>
            <w:pPr>
              <w:spacing w:before="0" w:after="0"/>
            </w:pPr>
            <w:r>
              <w:rPr>
                <w:sz w:val="18"/>
                <w:szCs w:val="18"/>
              </w:rPr>
              <w:t xml:space="preserve">6</w:t>
            </w:r>
          </w:p>
        </w:tc>
        <w:tc>
          <w:tcPr>
            <w:tcW w:w="3484" w:type="dxa"/>
            <w:vAlign w:val="center"/>
          </w:tcPr>
          <w:p>
            <w:pPr>
              <w:spacing w:before="0" w:after="0"/>
            </w:pPr>
            <w:r>
              <w:rPr>
                <w:b/>
                <w:sz w:val="18"/>
                <w:szCs w:val="18"/>
              </w:rPr>
              <w:t xml:space="preserve">None</w:t>
            </w:r>
          </w:p>
        </w:tc>
      </w:tr>
      <w:tr>
        <w:tc>
          <w:tcPr>
            <w:tcW w:w="600" w:type="dxa"/>
            <w:vAlign w:val="center"/>
          </w:tcPr>
          <w:p>
            <w:pPr>
              <w:spacing w:before="0" w:after="0"/>
            </w:pPr>
            <w:r>
              <w:rPr>
                <w:sz w:val="18"/>
                <w:szCs w:val="18"/>
              </w:rPr>
              <w:t xml:space="preserve">P</w:t>
            </w:r>
          </w:p>
        </w:tc>
        <w:tc>
          <w:tcPr>
            <w:tcW w:w="4676" w:type="dxa"/>
            <w:vAlign w:val="center"/>
          </w:tcPr>
          <w:p>
            <w:pPr>
              <w:spacing w:before="0" w:after="0"/>
            </w:pPr>
            <w:r>
              <w:rPr>
                <w:sz w:val="18"/>
                <w:szCs w:val="18"/>
              </w:rPr>
              <w:t xml:space="preserve">Recreation facilities, </w:t>
            </w:r>
            <w:r>
              <w:rPr>
                <w:b/>
                <w:sz w:val="18"/>
                <w:szCs w:val="18"/>
              </w:rPr>
              <w:t xml:space="preserve">exhibit design</w:t>
            </w:r>
            <w:r>
              <w:rPr>
                <w:sz w:val="18"/>
                <w:szCs w:val="18"/>
              </w:rPr>
              <w:t xml:space="preserve">, unimproved land, waste treatment</w:t>
            </w:r>
          </w:p>
        </w:tc>
        <w:tc>
          <w:tcPr>
            <w:tcW w:w="600" w:type="dxa"/>
            <w:vAlign w:val="center"/>
          </w:tcPr>
          <w:p>
            <w:pPr>
              <w:spacing w:before="0" w:after="0"/>
            </w:pPr>
            <w:r>
              <w:rPr>
                <w:sz w:val="18"/>
                <w:szCs w:val="18"/>
              </w:rPr>
              <w:t xml:space="preserve">5</w:t>
            </w:r>
          </w:p>
        </w:tc>
        <w:tc>
          <w:tcPr>
            <w:tcW w:w="3484" w:type="dxa"/>
            <w:vAlign w:val="center"/>
          </w:tcPr>
          <w:p>
            <w:pPr>
              <w:spacing w:before="0" w:after="0"/>
            </w:pPr>
            <w:r>
              <w:rPr>
                <w:sz w:val="18"/>
                <w:szCs w:val="18"/>
              </w:rPr>
              <w:t xml:space="preserve">Mixed — exhibit design only</w:t>
            </w:r>
          </w:p>
        </w:tc>
      </w:tr>
      <w:tr>
        <w:tc>
          <w:tcPr>
            <w:tcW w:w="600" w:type="dxa"/>
            <w:vAlign w:val="center"/>
          </w:tcPr>
          <w:p>
            <w:pPr>
              <w:spacing w:before="0" w:after="0"/>
            </w:pPr>
            <w:r>
              <w:rPr>
                <w:sz w:val="18"/>
                <w:szCs w:val="18"/>
              </w:rPr>
              <w:t xml:space="preserve">Q</w:t>
            </w:r>
          </w:p>
        </w:tc>
        <w:tc>
          <w:tcPr>
            <w:tcW w:w="4676" w:type="dxa"/>
            <w:vAlign w:val="center"/>
          </w:tcPr>
          <w:p>
            <w:pPr>
              <w:spacing w:before="0" w:after="0"/>
            </w:pPr>
            <w:r>
              <w:rPr>
                <w:sz w:val="18"/>
                <w:szCs w:val="18"/>
              </w:rPr>
              <w:t xml:space="preserve">Restoration of real property</w:t>
            </w:r>
          </w:p>
        </w:tc>
        <w:tc>
          <w:tcPr>
            <w:tcW w:w="600" w:type="dxa"/>
            <w:vAlign w:val="center"/>
          </w:tcPr>
          <w:p>
            <w:pPr>
              <w:spacing w:before="0" w:after="0"/>
            </w:pPr>
            <w:r>
              <w:rPr>
                <w:sz w:val="18"/>
                <w:szCs w:val="18"/>
              </w:rPr>
              <w:t xml:space="preserve">1</w:t>
            </w:r>
          </w:p>
        </w:tc>
        <w:tc>
          <w:tcPr>
            <w:tcW w:w="3484" w:type="dxa"/>
            <w:vAlign w:val="center"/>
          </w:tcPr>
          <w:p>
            <w:pPr>
              <w:spacing w:before="0" w:after="0"/>
            </w:pPr>
            <w:r>
              <w:rPr>
                <w:sz w:val="18"/>
                <w:szCs w:val="18"/>
              </w:rPr>
              <w:t xml:space="preserve">Medium</w:t>
            </w:r>
          </w:p>
        </w:tc>
      </w:tr>
    </w:tbl>
    <w:p>
      <w:pPr>
        <w:spacing w:before="0" w:after="120"/>
      </w:pPr>
      <w:r>
        <w:t/>
      </w:r>
    </w:p>
    <w:p>
      <w:pPr>
        <w:spacing w:before="0" w:after="140"/>
      </w:pPr>
      <w:r>
        <w:rPr>
          <w:i/>
        </w:rPr>
        <w:t xml:space="preserve">SAM.gov carries a legacy numeric version of each of these (Y111, Z121) alongside the current letter version (Y1AA, Z1BA). The prefix match admits both, which is why the code counts are roughly double the facility list.</w:t>
      </w:r>
    </w:p>
    <w:p>
      <w:pPr>
        <w:spacing w:before="0" w:after="140"/>
      </w:pPr>
      <w:r>
        <w:t xml:space="preserve">Families K, M and N are 22 facility types across three prefixes — roughly 66 codes — with no plausible content for us. These are the dam repairs and sewer line replacements that reach the AI review and get rejected. They cost review time, not lost leads.</w:t>
      </w:r>
    </w:p>
    <w:p>
      <w:pPr>
        <w:pBdr>
          <w:bottom w:val="single" w:sz="6" w:space="6" w:color="BFBFBF"/>
        </w:pBdr>
        <w:spacing w:before="0" w:after="160"/>
      </w:pPr>
      <w:r>
        <w:t/>
      </w:r>
    </w:p>
    <w:p>
      <w:pPr>
        <w:spacing w:before="320" w:after="160"/>
      </w:pPr>
      <w:r>
        <w:rPr>
          <w:b/>
          <w:color w:val="1F3864"/>
          <w:sz w:val="52"/>
          <w:szCs w:val="52"/>
        </w:rPr>
        <w:t xml:space="preserve">Section 2 — NAICS whitelist (15 codes, fallback only)</w:t>
      </w:r>
    </w:p>
    <w:p>
      <w:pPr>
        <w:spacing w:before="0" w:after="140"/>
      </w:pPr>
      <w:r>
        <w:rPr>
          <w:b/>
        </w:rPr>
        <w:t xml:space="preserve">These fifteen codes are effectively inactive.</w:t>
      </w:r>
      <w:r>
        <w:t xml:space="preserve"> NAICS is consulted only when PSC is blank, and PSC was populated on all 14,137 notices sampled. The list is kept so that a notice with no PSC still has a code signal.</w:t>
      </w:r>
    </w:p>
    <w:tbl>
      <w:tblPr>
        <w:tblW w:w="5000" w:type="pct"/>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60" w:type="dxa"/>
          <w:bottom w:w="60" w:type="dxa"/>
          <w:left w:w="108" w:type="dxa"/>
          <w:right w:w="108" w:type="dxa"/>
        </w:tblCellMar>
      </w:tblPr>
      <w:tblGrid>
        <w:gridCol w:w="936"/>
        <w:gridCol w:w="936"/>
        <w:gridCol w:w="7488"/>
      </w:tblGrid>
      <w:tr>
        <w:trPr>
          <w:tblHeader/>
          <w:cantSplit/>
        </w:trPr>
        <w:tc>
          <w:tcPr>
            <w:tcW w:w="936" w:type="dxa"/>
            <w:shd w:val="clear" w:color="auto" w:fill="E7E9EF"/>
            <w:vAlign w:val="center"/>
          </w:tcPr>
          <w:p>
            <w:pPr>
              <w:spacing w:before="0" w:after="0"/>
            </w:pPr>
            <w:r>
              <w:rPr>
                <w:b/>
                <w:color w:val="1F3864"/>
                <w:sz w:val="18"/>
                <w:szCs w:val="18"/>
              </w:rPr>
              <w:t xml:space="preserve">#</w:t>
            </w:r>
          </w:p>
        </w:tc>
        <w:tc>
          <w:tcPr>
            <w:tcW w:w="936" w:type="dxa"/>
            <w:shd w:val="clear" w:color="auto" w:fill="E7E9EF"/>
            <w:vAlign w:val="center"/>
          </w:tcPr>
          <w:p>
            <w:pPr>
              <w:spacing w:before="0" w:after="0"/>
            </w:pPr>
            <w:r>
              <w:rPr>
                <w:b/>
                <w:color w:val="1F3864"/>
                <w:sz w:val="18"/>
                <w:szCs w:val="18"/>
              </w:rPr>
              <w:t xml:space="preserve">Code</w:t>
            </w:r>
          </w:p>
        </w:tc>
        <w:tc>
          <w:tcPr>
            <w:tcW w:w="7488" w:type="dxa"/>
            <w:shd w:val="clear" w:color="auto" w:fill="E7E9EF"/>
            <w:vAlign w:val="center"/>
          </w:tcPr>
          <w:p>
            <w:pPr>
              <w:spacing w:before="0" w:after="0"/>
            </w:pPr>
            <w:r>
              <w:rPr>
                <w:b/>
                <w:color w:val="1F3864"/>
                <w:sz w:val="18"/>
                <w:szCs w:val="18"/>
              </w:rPr>
              <w:t xml:space="preserve">Official NAICS label</w:t>
            </w:r>
          </w:p>
        </w:tc>
      </w:tr>
      <w:tr>
        <w:tc>
          <w:tcPr>
            <w:tcW w:w="936" w:type="dxa"/>
            <w:vAlign w:val="center"/>
          </w:tcPr>
          <w:p>
            <w:pPr>
              <w:spacing w:before="0" w:after="0"/>
            </w:pPr>
            <w:r>
              <w:rPr>
                <w:sz w:val="18"/>
                <w:szCs w:val="18"/>
              </w:rPr>
              <w:t xml:space="preserve">1</w:t>
            </w:r>
          </w:p>
        </w:tc>
        <w:tc>
          <w:tcPr>
            <w:tcW w:w="936" w:type="dxa"/>
            <w:vAlign w:val="center"/>
          </w:tcPr>
          <w:p>
            <w:pPr>
              <w:spacing w:before="0" w:after="0"/>
            </w:pPr>
            <w:r>
              <w:rPr>
                <w:sz w:val="18"/>
                <w:szCs w:val="18"/>
              </w:rPr>
              <w:t xml:space="preserve">236220</w:t>
            </w:r>
          </w:p>
        </w:tc>
        <w:tc>
          <w:tcPr>
            <w:tcW w:w="7488" w:type="dxa"/>
            <w:vAlign w:val="center"/>
          </w:tcPr>
          <w:p>
            <w:pPr>
              <w:spacing w:before="0" w:after="0"/>
            </w:pPr>
            <w:r>
              <w:rPr>
                <w:sz w:val="18"/>
                <w:szCs w:val="18"/>
              </w:rPr>
              <w:t xml:space="preserve">Commercial and Institutional Building Construction</w:t>
            </w:r>
          </w:p>
        </w:tc>
      </w:tr>
      <w:tr>
        <w:tc>
          <w:tcPr>
            <w:tcW w:w="936" w:type="dxa"/>
            <w:vAlign w:val="center"/>
          </w:tcPr>
          <w:p>
            <w:pPr>
              <w:spacing w:before="0" w:after="0"/>
            </w:pPr>
            <w:r>
              <w:rPr>
                <w:sz w:val="18"/>
                <w:szCs w:val="18"/>
              </w:rPr>
              <w:t xml:space="preserve">2</w:t>
            </w:r>
          </w:p>
        </w:tc>
        <w:tc>
          <w:tcPr>
            <w:tcW w:w="936" w:type="dxa"/>
            <w:vAlign w:val="center"/>
          </w:tcPr>
          <w:p>
            <w:pPr>
              <w:spacing w:before="0" w:after="0"/>
            </w:pPr>
            <w:r>
              <w:rPr>
                <w:sz w:val="18"/>
                <w:szCs w:val="18"/>
              </w:rPr>
              <w:t xml:space="preserve">237990</w:t>
            </w:r>
          </w:p>
        </w:tc>
        <w:tc>
          <w:tcPr>
            <w:tcW w:w="7488" w:type="dxa"/>
            <w:vAlign w:val="center"/>
          </w:tcPr>
          <w:p>
            <w:pPr>
              <w:spacing w:before="0" w:after="0"/>
            </w:pPr>
            <w:r>
              <w:rPr>
                <w:sz w:val="18"/>
                <w:szCs w:val="18"/>
              </w:rPr>
              <w:t xml:space="preserve">Other Heavy and Civil Engineering Construction</w:t>
            </w:r>
          </w:p>
        </w:tc>
      </w:tr>
      <w:tr>
        <w:tc>
          <w:tcPr>
            <w:tcW w:w="936" w:type="dxa"/>
            <w:vAlign w:val="center"/>
          </w:tcPr>
          <w:p>
            <w:pPr>
              <w:spacing w:before="0" w:after="0"/>
            </w:pPr>
            <w:r>
              <w:rPr>
                <w:sz w:val="18"/>
                <w:szCs w:val="18"/>
              </w:rPr>
              <w:t xml:space="preserve">3</w:t>
            </w:r>
          </w:p>
        </w:tc>
        <w:tc>
          <w:tcPr>
            <w:tcW w:w="936" w:type="dxa"/>
            <w:vAlign w:val="center"/>
          </w:tcPr>
          <w:p>
            <w:pPr>
              <w:spacing w:before="0" w:after="0"/>
            </w:pPr>
            <w:r>
              <w:rPr>
                <w:sz w:val="18"/>
                <w:szCs w:val="18"/>
              </w:rPr>
              <w:t xml:space="preserve">238190</w:t>
            </w:r>
          </w:p>
        </w:tc>
        <w:tc>
          <w:tcPr>
            <w:tcW w:w="7488" w:type="dxa"/>
            <w:vAlign w:val="center"/>
          </w:tcPr>
          <w:p>
            <w:pPr>
              <w:spacing w:before="0" w:after="0"/>
            </w:pPr>
            <w:r>
              <w:rPr>
                <w:sz w:val="18"/>
                <w:szCs w:val="18"/>
              </w:rPr>
              <w:t xml:space="preserve">Other Foundation, Structure, and Building Exterior Contractors</w:t>
            </w:r>
          </w:p>
        </w:tc>
      </w:tr>
      <w:tr>
        <w:tc>
          <w:tcPr>
            <w:tcW w:w="936" w:type="dxa"/>
            <w:vAlign w:val="center"/>
          </w:tcPr>
          <w:p>
            <w:pPr>
              <w:spacing w:before="0" w:after="0"/>
            </w:pPr>
            <w:r>
              <w:rPr>
                <w:sz w:val="18"/>
                <w:szCs w:val="18"/>
              </w:rPr>
              <w:t xml:space="preserve">4</w:t>
            </w:r>
          </w:p>
        </w:tc>
        <w:tc>
          <w:tcPr>
            <w:tcW w:w="936" w:type="dxa"/>
            <w:vAlign w:val="center"/>
          </w:tcPr>
          <w:p>
            <w:pPr>
              <w:spacing w:before="0" w:after="0"/>
            </w:pPr>
            <w:r>
              <w:rPr>
                <w:sz w:val="18"/>
                <w:szCs w:val="18"/>
              </w:rPr>
              <w:t xml:space="preserve">238210</w:t>
            </w:r>
          </w:p>
        </w:tc>
        <w:tc>
          <w:tcPr>
            <w:tcW w:w="7488" w:type="dxa"/>
            <w:vAlign w:val="center"/>
          </w:tcPr>
          <w:p>
            <w:pPr>
              <w:spacing w:before="0" w:after="0"/>
            </w:pPr>
            <w:r>
              <w:rPr>
                <w:sz w:val="18"/>
                <w:szCs w:val="18"/>
              </w:rPr>
              <w:t xml:space="preserve">Electrical Contractors and Other Wiring Installation Contractors</w:t>
            </w:r>
          </w:p>
        </w:tc>
      </w:tr>
      <w:tr>
        <w:tc>
          <w:tcPr>
            <w:tcW w:w="936" w:type="dxa"/>
            <w:vAlign w:val="center"/>
          </w:tcPr>
          <w:p>
            <w:pPr>
              <w:spacing w:before="0" w:after="0"/>
            </w:pPr>
            <w:r>
              <w:rPr>
                <w:sz w:val="18"/>
                <w:szCs w:val="18"/>
              </w:rPr>
              <w:t xml:space="preserve">5</w:t>
            </w:r>
          </w:p>
        </w:tc>
        <w:tc>
          <w:tcPr>
            <w:tcW w:w="936" w:type="dxa"/>
            <w:vAlign w:val="center"/>
          </w:tcPr>
          <w:p>
            <w:pPr>
              <w:spacing w:before="0" w:after="0"/>
            </w:pPr>
            <w:r>
              <w:rPr>
                <w:sz w:val="18"/>
                <w:szCs w:val="18"/>
              </w:rPr>
              <w:t xml:space="preserve">238220</w:t>
            </w:r>
          </w:p>
        </w:tc>
        <w:tc>
          <w:tcPr>
            <w:tcW w:w="7488" w:type="dxa"/>
            <w:vAlign w:val="center"/>
          </w:tcPr>
          <w:p>
            <w:pPr>
              <w:spacing w:before="0" w:after="0"/>
            </w:pPr>
            <w:r>
              <w:rPr>
                <w:sz w:val="18"/>
                <w:szCs w:val="18"/>
              </w:rPr>
              <w:t xml:space="preserve">Plumbing, Heating, and Air-Conditioning Contractors</w:t>
            </w:r>
          </w:p>
        </w:tc>
      </w:tr>
      <w:tr>
        <w:tc>
          <w:tcPr>
            <w:tcW w:w="936" w:type="dxa"/>
            <w:vAlign w:val="center"/>
          </w:tcPr>
          <w:p>
            <w:pPr>
              <w:spacing w:before="0" w:after="0"/>
            </w:pPr>
            <w:r>
              <w:rPr>
                <w:sz w:val="18"/>
                <w:szCs w:val="18"/>
              </w:rPr>
              <w:t xml:space="preserve">6</w:t>
            </w:r>
          </w:p>
        </w:tc>
        <w:tc>
          <w:tcPr>
            <w:tcW w:w="936" w:type="dxa"/>
            <w:vAlign w:val="center"/>
          </w:tcPr>
          <w:p>
            <w:pPr>
              <w:spacing w:before="0" w:after="0"/>
            </w:pPr>
            <w:r>
              <w:rPr>
                <w:sz w:val="18"/>
                <w:szCs w:val="18"/>
              </w:rPr>
              <w:t xml:space="preserve">238290</w:t>
            </w:r>
          </w:p>
        </w:tc>
        <w:tc>
          <w:tcPr>
            <w:tcW w:w="7488" w:type="dxa"/>
            <w:vAlign w:val="center"/>
          </w:tcPr>
          <w:p>
            <w:pPr>
              <w:spacing w:before="0" w:after="0"/>
            </w:pPr>
            <w:r>
              <w:rPr>
                <w:sz w:val="18"/>
                <w:szCs w:val="18"/>
              </w:rPr>
              <w:t xml:space="preserve">Other Building Equipment Contractors</w:t>
            </w:r>
          </w:p>
        </w:tc>
      </w:tr>
      <w:tr>
        <w:tc>
          <w:tcPr>
            <w:tcW w:w="936" w:type="dxa"/>
            <w:vAlign w:val="center"/>
          </w:tcPr>
          <w:p>
            <w:pPr>
              <w:spacing w:before="0" w:after="0"/>
            </w:pPr>
            <w:r>
              <w:rPr>
                <w:sz w:val="18"/>
                <w:szCs w:val="18"/>
              </w:rPr>
              <w:t xml:space="preserve">7</w:t>
            </w:r>
          </w:p>
        </w:tc>
        <w:tc>
          <w:tcPr>
            <w:tcW w:w="936" w:type="dxa"/>
            <w:vAlign w:val="center"/>
          </w:tcPr>
          <w:p>
            <w:pPr>
              <w:spacing w:before="0" w:after="0"/>
            </w:pPr>
            <w:r>
              <w:rPr>
                <w:sz w:val="18"/>
                <w:szCs w:val="18"/>
              </w:rPr>
              <w:t xml:space="preserve">238390</w:t>
            </w:r>
          </w:p>
        </w:tc>
        <w:tc>
          <w:tcPr>
            <w:tcW w:w="7488" w:type="dxa"/>
            <w:vAlign w:val="center"/>
          </w:tcPr>
          <w:p>
            <w:pPr>
              <w:spacing w:before="0" w:after="0"/>
            </w:pPr>
            <w:r>
              <w:rPr>
                <w:sz w:val="18"/>
                <w:szCs w:val="18"/>
              </w:rPr>
              <w:t xml:space="preserve">Other Building Finishing Contractors</w:t>
            </w:r>
          </w:p>
        </w:tc>
      </w:tr>
      <w:tr>
        <w:tc>
          <w:tcPr>
            <w:tcW w:w="936" w:type="dxa"/>
            <w:vAlign w:val="center"/>
          </w:tcPr>
          <w:p>
            <w:pPr>
              <w:spacing w:before="0" w:after="0"/>
            </w:pPr>
            <w:r>
              <w:rPr>
                <w:sz w:val="18"/>
                <w:szCs w:val="18"/>
              </w:rPr>
              <w:t xml:space="preserve">8</w:t>
            </w:r>
          </w:p>
        </w:tc>
        <w:tc>
          <w:tcPr>
            <w:tcW w:w="936" w:type="dxa"/>
            <w:vAlign w:val="center"/>
          </w:tcPr>
          <w:p>
            <w:pPr>
              <w:spacing w:before="0" w:after="0"/>
            </w:pPr>
            <w:r>
              <w:rPr>
                <w:sz w:val="18"/>
                <w:szCs w:val="18"/>
              </w:rPr>
              <w:t xml:space="preserve">238990</w:t>
            </w:r>
          </w:p>
        </w:tc>
        <w:tc>
          <w:tcPr>
            <w:tcW w:w="7488" w:type="dxa"/>
            <w:vAlign w:val="center"/>
          </w:tcPr>
          <w:p>
            <w:pPr>
              <w:spacing w:before="0" w:after="0"/>
            </w:pPr>
            <w:r>
              <w:rPr>
                <w:sz w:val="18"/>
                <w:szCs w:val="18"/>
              </w:rPr>
              <w:t xml:space="preserve">All Other Specialty Trade Contractors</w:t>
            </w:r>
          </w:p>
        </w:tc>
      </w:tr>
      <w:tr>
        <w:tc>
          <w:tcPr>
            <w:tcW w:w="936" w:type="dxa"/>
            <w:vAlign w:val="center"/>
          </w:tcPr>
          <w:p>
            <w:pPr>
              <w:spacing w:before="0" w:after="0"/>
            </w:pPr>
            <w:r>
              <w:rPr>
                <w:sz w:val="18"/>
                <w:szCs w:val="18"/>
              </w:rPr>
              <w:t xml:space="preserve">9</w:t>
            </w:r>
          </w:p>
        </w:tc>
        <w:tc>
          <w:tcPr>
            <w:tcW w:w="936" w:type="dxa"/>
            <w:vAlign w:val="center"/>
          </w:tcPr>
          <w:p>
            <w:pPr>
              <w:spacing w:before="0" w:after="0"/>
            </w:pPr>
            <w:r>
              <w:rPr>
                <w:sz w:val="18"/>
                <w:szCs w:val="18"/>
              </w:rPr>
              <w:t xml:space="preserve">332323</w:t>
            </w:r>
          </w:p>
        </w:tc>
        <w:tc>
          <w:tcPr>
            <w:tcW w:w="7488" w:type="dxa"/>
            <w:vAlign w:val="center"/>
          </w:tcPr>
          <w:p>
            <w:pPr>
              <w:spacing w:before="0" w:after="0"/>
            </w:pPr>
            <w:r>
              <w:rPr>
                <w:sz w:val="18"/>
                <w:szCs w:val="18"/>
              </w:rPr>
              <w:t xml:space="preserve">Ornamental and Architectural Metal Work Manufacturing</w:t>
            </w:r>
          </w:p>
        </w:tc>
      </w:tr>
      <w:tr>
        <w:tc>
          <w:tcPr>
            <w:tcW w:w="936" w:type="dxa"/>
            <w:vAlign w:val="center"/>
          </w:tcPr>
          <w:p>
            <w:pPr>
              <w:spacing w:before="0" w:after="0"/>
            </w:pPr>
            <w:r>
              <w:rPr>
                <w:sz w:val="18"/>
                <w:szCs w:val="18"/>
              </w:rPr>
              <w:t xml:space="preserve">10</w:t>
            </w:r>
          </w:p>
        </w:tc>
        <w:tc>
          <w:tcPr>
            <w:tcW w:w="936" w:type="dxa"/>
            <w:vAlign w:val="center"/>
          </w:tcPr>
          <w:p>
            <w:pPr>
              <w:spacing w:before="0" w:after="0"/>
            </w:pPr>
            <w:r>
              <w:rPr>
                <w:sz w:val="18"/>
                <w:szCs w:val="18"/>
              </w:rPr>
              <w:t xml:space="preserve">337127</w:t>
            </w:r>
          </w:p>
        </w:tc>
        <w:tc>
          <w:tcPr>
            <w:tcW w:w="7488" w:type="dxa"/>
            <w:vAlign w:val="center"/>
          </w:tcPr>
          <w:p>
            <w:pPr>
              <w:spacing w:before="0" w:after="0"/>
            </w:pPr>
            <w:r>
              <w:rPr>
                <w:sz w:val="18"/>
                <w:szCs w:val="18"/>
              </w:rPr>
              <w:t xml:space="preserve">Institutional Furniture Manufacturing</w:t>
            </w:r>
          </w:p>
        </w:tc>
      </w:tr>
      <w:tr>
        <w:tc>
          <w:tcPr>
            <w:tcW w:w="936" w:type="dxa"/>
            <w:vAlign w:val="center"/>
          </w:tcPr>
          <w:p>
            <w:pPr>
              <w:spacing w:before="0" w:after="0"/>
            </w:pPr>
            <w:r>
              <w:rPr>
                <w:sz w:val="18"/>
                <w:szCs w:val="18"/>
              </w:rPr>
              <w:t xml:space="preserve">11</w:t>
            </w:r>
          </w:p>
        </w:tc>
        <w:tc>
          <w:tcPr>
            <w:tcW w:w="936" w:type="dxa"/>
            <w:vAlign w:val="center"/>
          </w:tcPr>
          <w:p>
            <w:pPr>
              <w:spacing w:before="0" w:after="0"/>
            </w:pPr>
            <w:r>
              <w:rPr>
                <w:sz w:val="18"/>
                <w:szCs w:val="18"/>
              </w:rPr>
              <w:t xml:space="preserve">337215</w:t>
            </w:r>
          </w:p>
        </w:tc>
        <w:tc>
          <w:tcPr>
            <w:tcW w:w="7488" w:type="dxa"/>
            <w:vAlign w:val="center"/>
          </w:tcPr>
          <w:p>
            <w:pPr>
              <w:spacing w:before="0" w:after="0"/>
            </w:pPr>
            <w:r>
              <w:rPr>
                <w:sz w:val="18"/>
                <w:szCs w:val="18"/>
              </w:rPr>
              <w:t xml:space="preserve">Showcase, Partition, Shelving, and Locker Manufacturing</w:t>
            </w:r>
          </w:p>
        </w:tc>
      </w:tr>
      <w:tr>
        <w:tc>
          <w:tcPr>
            <w:tcW w:w="936" w:type="dxa"/>
            <w:vAlign w:val="center"/>
          </w:tcPr>
          <w:p>
            <w:pPr>
              <w:spacing w:before="0" w:after="0"/>
            </w:pPr>
            <w:r>
              <w:rPr>
                <w:sz w:val="18"/>
                <w:szCs w:val="18"/>
              </w:rPr>
              <w:t xml:space="preserve">12</w:t>
            </w:r>
          </w:p>
        </w:tc>
        <w:tc>
          <w:tcPr>
            <w:tcW w:w="936" w:type="dxa"/>
            <w:vAlign w:val="center"/>
          </w:tcPr>
          <w:p>
            <w:pPr>
              <w:spacing w:before="0" w:after="0"/>
            </w:pPr>
            <w:r>
              <w:rPr>
                <w:sz w:val="18"/>
                <w:szCs w:val="18"/>
              </w:rPr>
              <w:t xml:space="preserve">339950</w:t>
            </w:r>
          </w:p>
        </w:tc>
        <w:tc>
          <w:tcPr>
            <w:tcW w:w="7488" w:type="dxa"/>
            <w:vAlign w:val="center"/>
          </w:tcPr>
          <w:p>
            <w:pPr>
              <w:spacing w:before="0" w:after="0"/>
            </w:pPr>
            <w:r>
              <w:rPr>
                <w:sz w:val="18"/>
                <w:szCs w:val="18"/>
              </w:rPr>
              <w:t xml:space="preserve">Sign Manufacturing</w:t>
            </w:r>
          </w:p>
        </w:tc>
      </w:tr>
      <w:tr>
        <w:tc>
          <w:tcPr>
            <w:tcW w:w="936" w:type="dxa"/>
            <w:vAlign w:val="center"/>
          </w:tcPr>
          <w:p>
            <w:pPr>
              <w:spacing w:before="0" w:after="0"/>
            </w:pPr>
            <w:r>
              <w:rPr>
                <w:sz w:val="18"/>
                <w:szCs w:val="18"/>
              </w:rPr>
              <w:t xml:space="preserve">13</w:t>
            </w:r>
          </w:p>
        </w:tc>
        <w:tc>
          <w:tcPr>
            <w:tcW w:w="936" w:type="dxa"/>
            <w:vAlign w:val="center"/>
          </w:tcPr>
          <w:p>
            <w:pPr>
              <w:spacing w:before="0" w:after="0"/>
            </w:pPr>
            <w:r>
              <w:rPr>
                <w:sz w:val="18"/>
                <w:szCs w:val="18"/>
              </w:rPr>
              <w:t xml:space="preserve">423210</w:t>
            </w:r>
          </w:p>
        </w:tc>
        <w:tc>
          <w:tcPr>
            <w:tcW w:w="7488" w:type="dxa"/>
            <w:vAlign w:val="center"/>
          </w:tcPr>
          <w:p>
            <w:pPr>
              <w:spacing w:before="0" w:after="0"/>
            </w:pPr>
            <w:r>
              <w:rPr>
                <w:sz w:val="18"/>
                <w:szCs w:val="18"/>
              </w:rPr>
              <w:t xml:space="preserve">Furniture Merchant Wholesalers</w:t>
            </w:r>
          </w:p>
        </w:tc>
      </w:tr>
      <w:tr>
        <w:tc>
          <w:tcPr>
            <w:tcW w:w="936" w:type="dxa"/>
            <w:vAlign w:val="center"/>
          </w:tcPr>
          <w:p>
            <w:pPr>
              <w:spacing w:before="0" w:after="0"/>
            </w:pPr>
            <w:r>
              <w:rPr>
                <w:sz w:val="18"/>
                <w:szCs w:val="18"/>
              </w:rPr>
              <w:t xml:space="preserve">14</w:t>
            </w:r>
          </w:p>
        </w:tc>
        <w:tc>
          <w:tcPr>
            <w:tcW w:w="936" w:type="dxa"/>
            <w:vAlign w:val="center"/>
          </w:tcPr>
          <w:p>
            <w:pPr>
              <w:spacing w:before="0" w:after="0"/>
            </w:pPr>
            <w:r>
              <w:rPr>
                <w:sz w:val="18"/>
                <w:szCs w:val="18"/>
              </w:rPr>
              <w:t xml:space="preserve">488119</w:t>
            </w:r>
          </w:p>
        </w:tc>
        <w:tc>
          <w:tcPr>
            <w:tcW w:w="7488" w:type="dxa"/>
            <w:vAlign w:val="center"/>
          </w:tcPr>
          <w:p>
            <w:pPr>
              <w:spacing w:before="0" w:after="0"/>
            </w:pPr>
            <w:r>
              <w:rPr>
                <w:sz w:val="18"/>
                <w:szCs w:val="18"/>
              </w:rPr>
              <w:t xml:space="preserve">Other Airport Operations</w:t>
            </w:r>
          </w:p>
        </w:tc>
      </w:tr>
      <w:tr>
        <w:tc>
          <w:tcPr>
            <w:tcW w:w="936" w:type="dxa"/>
            <w:vAlign w:val="center"/>
          </w:tcPr>
          <w:p>
            <w:pPr>
              <w:spacing w:before="0" w:after="0"/>
            </w:pPr>
            <w:r>
              <w:rPr>
                <w:sz w:val="18"/>
                <w:szCs w:val="18"/>
              </w:rPr>
              <w:t xml:space="preserve">15</w:t>
            </w:r>
          </w:p>
        </w:tc>
        <w:tc>
          <w:tcPr>
            <w:tcW w:w="936" w:type="dxa"/>
            <w:vAlign w:val="center"/>
          </w:tcPr>
          <w:p>
            <w:pPr>
              <w:spacing w:before="0" w:after="0"/>
            </w:pPr>
            <w:r>
              <w:rPr>
                <w:sz w:val="18"/>
                <w:szCs w:val="18"/>
              </w:rPr>
              <w:t xml:space="preserve">561621</w:t>
            </w:r>
          </w:p>
        </w:tc>
        <w:tc>
          <w:tcPr>
            <w:tcW w:w="7488" w:type="dxa"/>
            <w:vAlign w:val="center"/>
          </w:tcPr>
          <w:p>
            <w:pPr>
              <w:spacing w:before="0" w:after="0"/>
            </w:pPr>
            <w:r>
              <w:rPr>
                <w:sz w:val="18"/>
                <w:szCs w:val="18"/>
              </w:rPr>
              <w:t xml:space="preserve">Security Systems Services (except Locksmiths)</w:t>
            </w:r>
          </w:p>
        </w:tc>
      </w:tr>
    </w:tbl>
    <w:p>
      <w:pPr>
        <w:spacing w:before="0" w:after="120"/>
      </w:pPr>
      <w:r>
        <w:t/>
      </w:r>
    </w:p>
    <w:p>
      <w:pPr>
        <w:spacing w:before="280" w:after="120"/>
      </w:pPr>
      <w:r>
        <w:rPr>
          <w:b/>
          <w:color w:val="1F3864"/>
          <w:sz w:val="42"/>
          <w:szCs w:val="42"/>
        </w:rPr>
        <w:t xml:space="preserve">Why NAICS was demoted</w:t>
      </w:r>
    </w:p>
    <w:p>
      <w:pPr>
        <w:spacing w:before="0" w:after="140"/>
      </w:pPr>
      <w:r>
        <w:t xml:space="preserve">It used to accept notices on its own, in parallel with PSC. That admitted </w:t>
      </w:r>
      <w:r>
        <w:rPr>
          <w:b/>
        </w:rPr>
        <w:t xml:space="preserve">552 notices</w:t>
      </w:r>
      <w:r>
        <w:t xml:space="preserve"> whose PSC was not whitelisted. Of those 552, </w:t>
      </w:r>
      <w:r>
        <w:rPr>
          <w:b/>
        </w:rPr>
        <w:t xml:space="preserve">four</w:t>
      </w:r>
      <w:r>
        <w:t xml:space="preserve"> contained any Lavi product language, and all four are recovered by the product-language rescue anyway.</w:t>
      </w:r>
    </w:p>
    <w:p>
      <w:pPr>
        <w:spacing w:before="0" w:after="140"/>
      </w:pPr>
      <w:r>
        <w:t xml:space="preserve">What the other 548 were:</w:t>
      </w:r>
    </w:p>
    <w:tbl>
      <w:tblPr>
        <w:tblW w:w="5000" w:type="pct"/>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60" w:type="dxa"/>
          <w:bottom w:w="60" w:type="dxa"/>
          <w:left w:w="108" w:type="dxa"/>
          <w:right w:w="108" w:type="dxa"/>
        </w:tblCellMar>
      </w:tblPr>
      <w:tblGrid>
        <w:gridCol w:w="1872"/>
        <w:gridCol w:w="7488"/>
      </w:tblGrid>
      <w:tr>
        <w:trPr>
          <w:tblHeader/>
          <w:cantSplit/>
        </w:trPr>
        <w:tc>
          <w:tcPr>
            <w:tcW w:w="1872" w:type="dxa"/>
            <w:shd w:val="clear" w:color="auto" w:fill="E7E9EF"/>
            <w:vAlign w:val="center"/>
          </w:tcPr>
          <w:p>
            <w:pPr>
              <w:spacing w:before="0" w:after="0"/>
            </w:pPr>
            <w:r>
              <w:t/>
            </w:r>
          </w:p>
        </w:tc>
        <w:tc>
          <w:tcPr>
            <w:tcW w:w="7488" w:type="dxa"/>
            <w:shd w:val="clear" w:color="auto" w:fill="E7E9EF"/>
            <w:vAlign w:val="center"/>
          </w:tcPr>
          <w:p>
            <w:pPr>
              <w:spacing w:before="0" w:after="0"/>
            </w:pPr>
            <w:r>
              <w:t/>
            </w:r>
          </w:p>
        </w:tc>
      </w:tr>
      <w:tr>
        <w:tc>
          <w:tcPr>
            <w:tcW w:w="1872" w:type="dxa"/>
            <w:vAlign w:val="center"/>
          </w:tcPr>
          <w:p>
            <w:pPr>
              <w:spacing w:before="0" w:after="0"/>
            </w:pPr>
            <w:r>
              <w:rPr>
                <w:sz w:val="18"/>
                <w:szCs w:val="18"/>
              </w:rPr>
              <w:t xml:space="preserve">205</w:t>
            </w:r>
          </w:p>
        </w:tc>
        <w:tc>
          <w:tcPr>
            <w:tcW w:w="7488" w:type="dxa"/>
            <w:vAlign w:val="center"/>
          </w:tcPr>
          <w:p>
            <w:pPr>
              <w:spacing w:before="0" w:after="0"/>
            </w:pPr>
            <w:r>
              <w:rPr>
                <w:sz w:val="18"/>
                <w:szCs w:val="18"/>
              </w:rPr>
              <w:t xml:space="preserve">NAICS 238220 — plumbing and HVAC</w:t>
            </w:r>
          </w:p>
        </w:tc>
      </w:tr>
      <w:tr>
        <w:tc>
          <w:tcPr>
            <w:tcW w:w="1872" w:type="dxa"/>
            <w:vAlign w:val="center"/>
          </w:tcPr>
          <w:p>
            <w:pPr>
              <w:spacing w:before="0" w:after="0"/>
            </w:pPr>
            <w:r>
              <w:rPr>
                <w:sz w:val="18"/>
                <w:szCs w:val="18"/>
              </w:rPr>
              <w:t xml:space="preserve">115</w:t>
            </w:r>
          </w:p>
        </w:tc>
        <w:tc>
          <w:tcPr>
            <w:tcW w:w="7488" w:type="dxa"/>
            <w:vAlign w:val="center"/>
          </w:tcPr>
          <w:p>
            <w:pPr>
              <w:spacing w:before="0" w:after="0"/>
            </w:pPr>
            <w:r>
              <w:rPr>
                <w:sz w:val="18"/>
                <w:szCs w:val="18"/>
              </w:rPr>
              <w:t xml:space="preserve">NAICS 561621 — security systems</w:t>
            </w:r>
          </w:p>
        </w:tc>
      </w:tr>
      <w:tr>
        <w:tc>
          <w:tcPr>
            <w:tcW w:w="1872" w:type="dxa"/>
            <w:vAlign w:val="center"/>
          </w:tcPr>
          <w:p>
            <w:pPr>
              <w:spacing w:before="0" w:after="0"/>
            </w:pPr>
            <w:r>
              <w:rPr>
                <w:sz w:val="18"/>
                <w:szCs w:val="18"/>
              </w:rPr>
              <w:t xml:space="preserve">101</w:t>
            </w:r>
          </w:p>
        </w:tc>
        <w:tc>
          <w:tcPr>
            <w:tcW w:w="7488" w:type="dxa"/>
            <w:vAlign w:val="center"/>
          </w:tcPr>
          <w:p>
            <w:pPr>
              <w:spacing w:before="0" w:after="0"/>
            </w:pPr>
            <w:r>
              <w:rPr>
                <w:sz w:val="18"/>
                <w:szCs w:val="18"/>
              </w:rPr>
              <w:t xml:space="preserve">NAICS 238210 — electrical</w:t>
            </w:r>
          </w:p>
        </w:tc>
      </w:tr>
      <w:tr>
        <w:tc>
          <w:tcPr>
            <w:tcW w:w="1872" w:type="dxa"/>
            <w:vAlign w:val="center"/>
          </w:tcPr>
          <w:p>
            <w:pPr>
              <w:spacing w:before="0" w:after="0"/>
            </w:pPr>
            <w:r>
              <w:rPr>
                <w:sz w:val="18"/>
                <w:szCs w:val="18"/>
              </w:rPr>
              <w:t xml:space="preserve">131</w:t>
            </w:r>
          </w:p>
        </w:tc>
        <w:tc>
          <w:tcPr>
            <w:tcW w:w="7488" w:type="dxa"/>
            <w:vAlign w:val="center"/>
          </w:tcPr>
          <w:p>
            <w:pPr>
              <w:spacing w:before="0" w:after="0"/>
            </w:pPr>
            <w:r>
              <w:rPr>
                <w:sz w:val="18"/>
                <w:szCs w:val="18"/>
              </w:rPr>
              <w:t xml:space="preserve">the remaining twelve codes</w:t>
            </w:r>
          </w:p>
        </w:tc>
      </w:tr>
    </w:tbl>
    <w:p>
      <w:pPr>
        <w:spacing w:before="0" w:after="120"/>
      </w:pPr>
      <w:r>
        <w:t/>
      </w:r>
    </w:p>
    <w:p>
      <w:pPr>
        <w:spacing w:before="0" w:after="140"/>
      </w:pPr>
      <w:r>
        <w:t xml:space="preserve">By PSC — what the agency said it was actually buying — 399 of the 552 were equipment repair (</w:t>
      </w:r>
      <w:r>
        <w:rPr>
          <w:rFonts w:ascii="Consolas" w:hAnsi="Consolas"/>
          <w:sz w:val="18"/>
          <w:szCs w:val="18"/>
        </w:rPr>
        <w:t xml:space="preserve">J0</w:t>
      </w:r>
      <w:r>
        <w:t xml:space="preserve">) or equipment installation (</w:t>
      </w:r>
      <w:r>
        <w:rPr>
          <w:rFonts w:ascii="Consolas" w:hAnsi="Consolas"/>
          <w:sz w:val="18"/>
          <w:szCs w:val="18"/>
        </w:rPr>
        <w:t xml:space="preserve">N0</w:t>
      </w:r>
      <w:r>
        <w:t xml:space="preserve">). Chiller coils, water softeners, reverse osmosis systems, HVAC units.</w:t>
      </w:r>
    </w:p>
    <w:p>
      <w:pPr>
        <w:spacing w:before="0" w:after="140"/>
      </w:pPr>
      <w:r>
        <w:t xml:space="preserve">Removing that path cut AI review volume from 246 to 199 notices per business day, a 19% reduction, with no measurable loss.</w:t>
      </w:r>
    </w:p>
    <w:p>
      <w:pPr>
        <w:pBdr>
          <w:bottom w:val="single" w:sz="6" w:space="6" w:color="BFBFBF"/>
        </w:pBdr>
        <w:spacing w:before="0" w:after="160"/>
      </w:pPr>
      <w:r>
        <w:t/>
      </w:r>
    </w:p>
    <w:p>
      <w:pPr>
        <w:spacing w:before="320" w:after="160"/>
      </w:pPr>
      <w:r>
        <w:rPr>
          <w:b/>
          <w:color w:val="1F3864"/>
          <w:sz w:val="52"/>
          <w:szCs w:val="52"/>
        </w:rPr>
        <w:t xml:space="preserve">Section 3 — What the codes do not cover</w:t>
      </w:r>
    </w:p>
    <w:p>
      <w:pPr>
        <w:spacing w:before="0" w:after="140"/>
      </w:pPr>
      <w:r>
        <w:t xml:space="preserve">Two product lines are invisible to code matching and are caught by product language instead.</w:t>
      </w:r>
    </w:p>
    <w:p>
      <w:pPr>
        <w:spacing w:before="280" w:after="120"/>
      </w:pPr>
      <w:r>
        <w:rPr>
          <w:b/>
          <w:color w:val="1F3864"/>
          <w:sz w:val="42"/>
          <w:szCs w:val="42"/>
        </w:rPr>
        <w:t xml:space="preserve">Electronic and virtual queuing</w:t>
      </w:r>
    </w:p>
    <w:p>
      <w:pPr>
        <w:spacing w:before="0" w:after="140"/>
      </w:pPr>
      <w:r>
        <w:t xml:space="preserve">Agencies file this under information-technology codes. An audit of 29 real queuing solicitations found the code whitelist alone dropped </w:t>
      </w:r>
      <w:r>
        <w:rPr>
          <w:b/>
        </w:rPr>
        <w:t xml:space="preserve">24 of them</w:t>
      </w:r>
      <w:r>
        <w:t xml:space="preserve">, including a sole-source notice for our own Qtrac.</w:t>
      </w:r>
    </w:p>
    <w:p>
      <w:pPr>
        <w:spacing w:before="0" w:after="140"/>
      </w:pPr>
      <w:r>
        <w:t xml:space="preserve">Whitelisting the IT codes would pull in the entire federal IT pipeline, so they are deliberately excluded:</w:t>
      </w:r>
    </w:p>
    <w:tbl>
      <w:tblPr>
        <w:tblW w:w="5000" w:type="pct"/>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60" w:type="dxa"/>
          <w:bottom w:w="60" w:type="dxa"/>
          <w:left w:w="108" w:type="dxa"/>
          <w:right w:w="108" w:type="dxa"/>
        </w:tblCellMar>
      </w:tblPr>
      <w:tblGrid>
        <w:gridCol w:w="1369"/>
        <w:gridCol w:w="7990"/>
      </w:tblGrid>
      <w:tr>
        <w:trPr>
          <w:tblHeader/>
          <w:cantSplit/>
        </w:trPr>
        <w:tc>
          <w:tcPr>
            <w:tcW w:w="1369" w:type="dxa"/>
            <w:shd w:val="clear" w:color="auto" w:fill="E7E9EF"/>
            <w:vAlign w:val="center"/>
          </w:tcPr>
          <w:p>
            <w:pPr>
              <w:spacing w:before="0" w:after="0"/>
            </w:pPr>
            <w:r>
              <w:rPr>
                <w:b/>
                <w:color w:val="1F3864"/>
                <w:sz w:val="18"/>
                <w:szCs w:val="18"/>
              </w:rPr>
              <w:t xml:space="preserve">Code</w:t>
            </w:r>
          </w:p>
        </w:tc>
        <w:tc>
          <w:tcPr>
            <w:tcW w:w="7990" w:type="dxa"/>
            <w:shd w:val="clear" w:color="auto" w:fill="E7E9EF"/>
            <w:vAlign w:val="center"/>
          </w:tcPr>
          <w:p>
            <w:pPr>
              <w:spacing w:before="0" w:after="0"/>
            </w:pPr>
            <w:r>
              <w:rPr>
                <w:b/>
                <w:color w:val="1F3864"/>
                <w:sz w:val="18"/>
                <w:szCs w:val="18"/>
              </w:rPr>
              <w:t xml:space="preserve">Label</w:t>
            </w:r>
          </w:p>
        </w:tc>
      </w:tr>
      <w:tr>
        <w:tc>
          <w:tcPr>
            <w:tcW w:w="1369" w:type="dxa"/>
            <w:vAlign w:val="center"/>
          </w:tcPr>
          <w:p>
            <w:pPr>
              <w:spacing w:before="0" w:after="0"/>
            </w:pPr>
            <w:r>
              <w:rPr>
                <w:sz w:val="18"/>
                <w:szCs w:val="18"/>
              </w:rPr>
              <w:t xml:space="preserve">NAICS 541511</w:t>
            </w:r>
          </w:p>
        </w:tc>
        <w:tc>
          <w:tcPr>
            <w:tcW w:w="7990" w:type="dxa"/>
            <w:vAlign w:val="center"/>
          </w:tcPr>
          <w:p>
            <w:pPr>
              <w:spacing w:before="0" w:after="0"/>
            </w:pPr>
            <w:r>
              <w:rPr>
                <w:sz w:val="18"/>
                <w:szCs w:val="18"/>
              </w:rPr>
              <w:t xml:space="preserve">Custom Computer Programming Services</w:t>
            </w:r>
          </w:p>
        </w:tc>
      </w:tr>
      <w:tr>
        <w:tc>
          <w:tcPr>
            <w:tcW w:w="1369" w:type="dxa"/>
            <w:vAlign w:val="center"/>
          </w:tcPr>
          <w:p>
            <w:pPr>
              <w:spacing w:before="0" w:after="0"/>
            </w:pPr>
            <w:r>
              <w:rPr>
                <w:sz w:val="18"/>
                <w:szCs w:val="18"/>
              </w:rPr>
              <w:t xml:space="preserve">NAICS 541519</w:t>
            </w:r>
          </w:p>
        </w:tc>
        <w:tc>
          <w:tcPr>
            <w:tcW w:w="7990" w:type="dxa"/>
            <w:vAlign w:val="center"/>
          </w:tcPr>
          <w:p>
            <w:pPr>
              <w:spacing w:before="0" w:after="0"/>
            </w:pPr>
            <w:r>
              <w:rPr>
                <w:sz w:val="18"/>
                <w:szCs w:val="18"/>
              </w:rPr>
              <w:t xml:space="preserve">Other Computer Related Services</w:t>
            </w:r>
          </w:p>
        </w:tc>
      </w:tr>
      <w:tr>
        <w:tc>
          <w:tcPr>
            <w:tcW w:w="1369" w:type="dxa"/>
            <w:vAlign w:val="center"/>
          </w:tcPr>
          <w:p>
            <w:pPr>
              <w:spacing w:before="0" w:after="0"/>
            </w:pPr>
            <w:r>
              <w:rPr>
                <w:sz w:val="18"/>
                <w:szCs w:val="18"/>
              </w:rPr>
              <w:t xml:space="preserve">NAICS 334118</w:t>
            </w:r>
          </w:p>
        </w:tc>
        <w:tc>
          <w:tcPr>
            <w:tcW w:w="7990" w:type="dxa"/>
            <w:vAlign w:val="center"/>
          </w:tcPr>
          <w:p>
            <w:pPr>
              <w:spacing w:before="0" w:after="0"/>
            </w:pPr>
            <w:r>
              <w:rPr>
                <w:sz w:val="18"/>
                <w:szCs w:val="18"/>
              </w:rPr>
              <w:t xml:space="preserve">Computer Terminal and Other Computer Peripheral Equipment Manufacturing</w:t>
            </w:r>
          </w:p>
        </w:tc>
      </w:tr>
      <w:tr>
        <w:tc>
          <w:tcPr>
            <w:tcW w:w="1369" w:type="dxa"/>
            <w:vAlign w:val="center"/>
          </w:tcPr>
          <w:p>
            <w:pPr>
              <w:spacing w:before="0" w:after="0"/>
            </w:pPr>
            <w:r>
              <w:rPr>
                <w:sz w:val="18"/>
                <w:szCs w:val="18"/>
              </w:rPr>
              <w:t xml:space="preserve">NAICS 513210</w:t>
            </w:r>
          </w:p>
        </w:tc>
        <w:tc>
          <w:tcPr>
            <w:tcW w:w="7990" w:type="dxa"/>
            <w:vAlign w:val="center"/>
          </w:tcPr>
          <w:p>
            <w:pPr>
              <w:spacing w:before="0" w:after="0"/>
            </w:pPr>
            <w:r>
              <w:rPr>
                <w:sz w:val="18"/>
                <w:szCs w:val="18"/>
              </w:rPr>
              <w:t xml:space="preserve">Software Publishers</w:t>
            </w:r>
          </w:p>
        </w:tc>
      </w:tr>
      <w:tr>
        <w:tc>
          <w:tcPr>
            <w:tcW w:w="1369" w:type="dxa"/>
            <w:vAlign w:val="center"/>
          </w:tcPr>
          <w:p>
            <w:pPr>
              <w:spacing w:before="0" w:after="0"/>
            </w:pPr>
            <w:r>
              <w:rPr>
                <w:sz w:val="18"/>
                <w:szCs w:val="18"/>
              </w:rPr>
              <w:t xml:space="preserve">NAICS 518210</w:t>
            </w:r>
          </w:p>
        </w:tc>
        <w:tc>
          <w:tcPr>
            <w:tcW w:w="7990" w:type="dxa"/>
            <w:vAlign w:val="center"/>
          </w:tcPr>
          <w:p>
            <w:pPr>
              <w:spacing w:before="0" w:after="0"/>
            </w:pPr>
            <w:r>
              <w:rPr>
                <w:sz w:val="18"/>
                <w:szCs w:val="18"/>
              </w:rPr>
              <w:t xml:space="preserve">Computing Infrastructure Providers, Data Processing, Web Hosting</w:t>
            </w:r>
          </w:p>
        </w:tc>
      </w:tr>
      <w:tr>
        <w:tc>
          <w:tcPr>
            <w:tcW w:w="1369" w:type="dxa"/>
            <w:vAlign w:val="center"/>
          </w:tcPr>
          <w:p>
            <w:pPr>
              <w:spacing w:before="0" w:after="0"/>
            </w:pPr>
            <w:r>
              <w:rPr>
                <w:sz w:val="18"/>
                <w:szCs w:val="18"/>
              </w:rPr>
              <w:t xml:space="preserve">PSC 70</w:t>
            </w:r>
          </w:p>
        </w:tc>
        <w:tc>
          <w:tcPr>
            <w:tcW w:w="7990" w:type="dxa"/>
            <w:vAlign w:val="center"/>
          </w:tcPr>
          <w:p>
            <w:pPr>
              <w:spacing w:before="0" w:after="0"/>
            </w:pPr>
            <w:r>
              <w:rPr>
                <w:sz w:val="18"/>
                <w:szCs w:val="18"/>
              </w:rPr>
              <w:t xml:space="preserve">Information Technology Equipment, Software, Supplies and Support Equipment</w:t>
            </w:r>
          </w:p>
        </w:tc>
      </w:tr>
      <w:tr>
        <w:tc>
          <w:tcPr>
            <w:tcW w:w="1369" w:type="dxa"/>
            <w:vAlign w:val="center"/>
          </w:tcPr>
          <w:p>
            <w:pPr>
              <w:spacing w:before="0" w:after="0"/>
            </w:pPr>
            <w:r>
              <w:rPr>
                <w:sz w:val="18"/>
                <w:szCs w:val="18"/>
              </w:rPr>
              <w:t xml:space="preserve">PSC 7A20</w:t>
            </w:r>
          </w:p>
        </w:tc>
        <w:tc>
          <w:tcPr>
            <w:tcW w:w="7990" w:type="dxa"/>
            <w:vAlign w:val="center"/>
          </w:tcPr>
          <w:p>
            <w:pPr>
              <w:spacing w:before="0" w:after="0"/>
            </w:pPr>
            <w:r>
              <w:rPr>
                <w:sz w:val="18"/>
                <w:szCs w:val="18"/>
              </w:rPr>
              <w:t xml:space="preserve">Application development software, perpetual license</w:t>
            </w:r>
          </w:p>
        </w:tc>
      </w:tr>
      <w:tr>
        <w:tc>
          <w:tcPr>
            <w:tcW w:w="1369" w:type="dxa"/>
            <w:vAlign w:val="center"/>
          </w:tcPr>
          <w:p>
            <w:pPr>
              <w:spacing w:before="0" w:after="0"/>
            </w:pPr>
            <w:r>
              <w:rPr>
                <w:sz w:val="18"/>
                <w:szCs w:val="18"/>
              </w:rPr>
              <w:t xml:space="preserve">PSC 7E20</w:t>
            </w:r>
          </w:p>
        </w:tc>
        <w:tc>
          <w:tcPr>
            <w:tcW w:w="7990" w:type="dxa"/>
            <w:vAlign w:val="center"/>
          </w:tcPr>
          <w:p>
            <w:pPr>
              <w:spacing w:before="0" w:after="0"/>
            </w:pPr>
            <w:r>
              <w:rPr>
                <w:sz w:val="18"/>
                <w:szCs w:val="18"/>
              </w:rPr>
              <w:t xml:space="preserve">End user client computing hardware, software and equipment</w:t>
            </w:r>
          </w:p>
        </w:tc>
      </w:tr>
      <w:tr>
        <w:tc>
          <w:tcPr>
            <w:tcW w:w="1369" w:type="dxa"/>
            <w:vAlign w:val="center"/>
          </w:tcPr>
          <w:p>
            <w:pPr>
              <w:spacing w:before="0" w:after="0"/>
            </w:pPr>
            <w:r>
              <w:rPr>
                <w:sz w:val="18"/>
                <w:szCs w:val="18"/>
              </w:rPr>
              <w:t xml:space="preserve">PSC DA01</w:t>
            </w:r>
          </w:p>
        </w:tc>
        <w:tc>
          <w:tcPr>
            <w:tcW w:w="7990" w:type="dxa"/>
            <w:vAlign w:val="center"/>
          </w:tcPr>
          <w:p>
            <w:pPr>
              <w:spacing w:before="0" w:after="0"/>
            </w:pPr>
            <w:r>
              <w:rPr>
                <w:sz w:val="18"/>
                <w:szCs w:val="18"/>
              </w:rPr>
              <w:t xml:space="preserve">Support services for application development</w:t>
            </w:r>
          </w:p>
        </w:tc>
      </w:tr>
    </w:tbl>
    <w:p>
      <w:pPr>
        <w:spacing w:before="0" w:after="120"/>
      </w:pPr>
      <w:r>
        <w:t/>
      </w:r>
    </w:p>
    <w:p>
      <w:pPr>
        <w:spacing w:before="0" w:after="140"/>
      </w:pPr>
      <w:r>
        <w:t xml:space="preserve">These are caught instead by narrow terms: </w:t>
      </w:r>
      <w:r>
        <w:rPr>
          <w:i/>
        </w:rPr>
        <w:t xml:space="preserve">queue management system</w:t>
      </w:r>
      <w:r>
        <w:t xml:space="preserve">, </w:t>
      </w:r>
      <w:r>
        <w:rPr>
          <w:i/>
        </w:rPr>
        <w:t xml:space="preserve">virtual queuing</w:t>
      </w:r>
      <w:r>
        <w:t xml:space="preserve">, </w:t>
      </w:r>
      <w:r>
        <w:rPr>
          <w:i/>
        </w:rPr>
        <w:t xml:space="preserve">patient queuing</w:t>
      </w:r>
      <w:r>
        <w:t xml:space="preserve">, </w:t>
      </w:r>
      <w:r>
        <w:rPr>
          <w:i/>
        </w:rPr>
        <w:t xml:space="preserve">Qtrac</w:t>
      </w:r>
      <w:r>
        <w:t xml:space="preserve">, </w:t>
      </w:r>
      <w:r>
        <w:rPr>
          <w:i/>
        </w:rPr>
        <w:t xml:space="preserve">Q-Flow</w:t>
      </w:r>
      <w:r>
        <w:t xml:space="preserve">, </w:t>
      </w:r>
      <w:r>
        <w:rPr>
          <w:i/>
        </w:rPr>
        <w:t xml:space="preserve">Qmatic</w:t>
      </w:r>
      <w:r>
        <w:t xml:space="preserve">, </w:t>
      </w:r>
      <w:r>
        <w:rPr>
          <w:i/>
        </w:rPr>
        <w:t xml:space="preserve">take-a-number</w:t>
      </w:r>
      <w:r>
        <w:t xml:space="preserve">, </w:t>
      </w:r>
      <w:r>
        <w:rPr>
          <w:i/>
        </w:rPr>
        <w:t xml:space="preserve">check-in kiosk</w:t>
      </w:r>
      <w:r>
        <w:t xml:space="preserve">, </w:t>
      </w:r>
      <w:r>
        <w:rPr>
          <w:i/>
        </w:rPr>
        <w:t xml:space="preserve">now serving display</w:t>
      </w:r>
      <w:r>
        <w:t xml:space="preserve">, </w:t>
      </w:r>
      <w:r>
        <w:rPr>
          <w:i/>
        </w:rPr>
        <w:t xml:space="preserve">patient flow</w:t>
      </w:r>
      <w:r>
        <w:t xml:space="preserve">, </w:t>
      </w:r>
      <w:r>
        <w:rPr>
          <w:i/>
        </w:rPr>
        <w:t xml:space="preserve">visitor management system</w:t>
      </w:r>
      <w:r>
        <w:t xml:space="preserve">.</w:t>
      </w:r>
    </w:p>
    <w:p>
      <w:pPr>
        <w:spacing w:before="280" w:after="120"/>
      </w:pPr>
      <w:r>
        <w:rPr>
          <w:b/>
          <w:color w:val="1F3864"/>
          <w:sz w:val="42"/>
          <w:szCs w:val="42"/>
        </w:rPr>
        <w:t xml:space="preserve">Physical product scattered across unrelated codes</w:t>
      </w:r>
    </w:p>
    <w:p>
      <w:pPr>
        <w:spacing w:before="0" w:after="140"/>
      </w:pPr>
      <w:r>
        <w:t xml:space="preserve">The same problem. Fourteen turnstile-adjacent notices carried </w:t>
      </w:r>
      <w:r>
        <w:rPr>
          <w:b/>
        </w:rPr>
        <w:t xml:space="preserve">eleven different NAICS values and eleven different PSC values</w:t>
      </w:r>
      <w:r>
        <w:t xml:space="preserve">, several blank. No whitelist can enumerate that. These are caught by terms such as </w:t>
      </w:r>
      <w:r>
        <w:rPr>
          <w:i/>
        </w:rPr>
        <w:t xml:space="preserve">wayfinding</w:t>
      </w:r>
      <w:r>
        <w:t xml:space="preserve">, </w:t>
      </w:r>
      <w:r>
        <w:rPr>
          <w:i/>
        </w:rPr>
        <w:t xml:space="preserve">signage</w:t>
      </w:r>
      <w:r>
        <w:t xml:space="preserve">, </w:t>
      </w:r>
      <w:r>
        <w:rPr>
          <w:i/>
        </w:rPr>
        <w:t xml:space="preserve">stanchion</w:t>
      </w:r>
      <w:r>
        <w:t xml:space="preserve">, </w:t>
      </w:r>
      <w:r>
        <w:rPr>
          <w:i/>
        </w:rPr>
        <w:t xml:space="preserve">handrail</w:t>
      </w:r>
      <w:r>
        <w:t xml:space="preserve">, </w:t>
      </w:r>
      <w:r>
        <w:rPr>
          <w:i/>
        </w:rPr>
        <w:t xml:space="preserve">crowd control</w:t>
      </w:r>
      <w:r>
        <w:t xml:space="preserve">, </w:t>
      </w:r>
      <w:r>
        <w:rPr>
          <w:i/>
        </w:rPr>
        <w:t xml:space="preserve">retractable belt</w:t>
      </w:r>
      <w:r>
        <w:t xml:space="preserve">, </w:t>
      </w:r>
      <w:r>
        <w:rPr>
          <w:i/>
        </w:rPr>
        <w:t xml:space="preserve">barrier gate</w:t>
      </w:r>
      <w:r>
        <w:t xml:space="preserve">, </w:t>
      </w:r>
      <w:r>
        <w:rPr>
          <w:i/>
        </w:rPr>
        <w:t xml:space="preserve">slatwall</w:t>
      </w:r>
      <w:r>
        <w:t xml:space="preserve">, </w:t>
      </w:r>
      <w:r>
        <w:rPr>
          <w:i/>
        </w:rPr>
        <w:t xml:space="preserve">gondola</w:t>
      </w:r>
      <w:r>
        <w:t xml:space="preserve">.</w:t>
      </w:r>
    </w:p>
    <w:p>
      <w:pPr>
        <w:spacing w:before="280" w:after="120"/>
      </w:pPr>
      <w:r>
        <w:rPr>
          <w:b/>
          <w:color w:val="1F3864"/>
          <w:sz w:val="42"/>
          <w:szCs w:val="42"/>
        </w:rPr>
        <w:t xml:space="preserve">A note on vocabulary</w:t>
      </w:r>
    </w:p>
    <w:p>
      <w:pPr>
        <w:spacing w:before="0" w:after="140"/>
      </w:pPr>
      <w:r>
        <w:t xml:space="preserve">Federal procurement overloads our product words. "Stanchion" usually means a ship's deck railing post. "Handrail" is often a grab rail on an armored vehicle. "Sneeze guard" is usually cafeteria equipment.</w:t>
      </w:r>
    </w:p>
    <w:p>
      <w:pPr>
        <w:spacing w:before="0" w:after="140"/>
      </w:pPr>
      <w:r>
        <w:t xml:space="preserve">We used to filter these out by domain. That was removed on 2026-08-28: across 18 days it rejected 11 notices, all of them obvious junk, and the AI review rejects them just as reliably. It is not a gap — it is one less thing to maintain.</w:t>
      </w:r>
    </w:p>
    <w:p>
      <w:pPr>
        <w:pBdr>
          <w:bottom w:val="single" w:sz="6" w:space="6" w:color="BFBFBF"/>
        </w:pBdr>
        <w:spacing w:before="0" w:after="160"/>
      </w:pPr>
      <w:r>
        <w:t/>
      </w:r>
    </w:p>
    <w:p>
      <w:pPr>
        <w:spacing w:before="320" w:after="160"/>
      </w:pPr>
      <w:r>
        <w:rPr>
          <w:b/>
          <w:color w:val="1F3864"/>
          <w:sz w:val="52"/>
          <w:szCs w:val="52"/>
        </w:rPr>
        <w:t xml:space="preserve">Section 4 — Open questions</w:t>
      </w:r>
    </w:p>
    <w:p>
      <w:pPr>
        <w:spacing w:before="280" w:after="120"/>
      </w:pPr>
      <w:r>
        <w:rPr>
          <w:b/>
          <w:color w:val="1F3864"/>
          <w:sz w:val="42"/>
          <w:szCs w:val="42"/>
        </w:rPr>
        <w:t xml:space="preserve">Question 1: Do we keep PSC prefix 63?</w:t>
      </w:r>
    </w:p>
    <w:p>
      <w:pPr>
        <w:spacing w:before="0" w:after="140"/>
      </w:pPr>
      <w:r>
        <w:t xml:space="preserve">It was added on the belief that we sell turnstiles and powered entry control. </w:t>
      </w:r>
      <w:r>
        <w:rPr>
          <w:b/>
        </w:rPr>
        <w:t xml:space="preserve">That belief was wrong.</w:t>
      </w:r>
      <w:r>
        <w:t xml:space="preserve"> Our crowd-control line is passive barriers only — no turnstiles, optical turnstiles, speed gates or motorized entry gates. Our barrier gates are hinged manual openings in post-and-panel runs.</w:t>
      </w:r>
    </w:p>
    <w:p>
      <w:pPr>
        <w:spacing w:before="0" w:after="140"/>
      </w:pPr>
      <w:r>
        <w:t xml:space="preserve">Turnstile notices still arrive through this prefix and are rejected downstream.</w:t>
      </w:r>
    </w:p>
    <w:p>
      <w:pPr>
        <w:numPr>
          <w:ilvl w:val="0"/>
          <w:numId w:val="2"/>
        </w:numPr>
        <w:spacing w:before="0" w:after="60"/>
      </w:pPr>
      <w:r>
        <w:rPr>
          <w:b/>
        </w:rPr>
        <w:t xml:space="preserve">Keep</w:t>
      </w:r>
      <w:r>
        <w:t xml:space="preserve"> if we want visibility into security-systems work where a barrier gate may be part of a wider lobby scope.</w:t>
      </w:r>
    </w:p>
    <w:p>
      <w:pPr>
        <w:numPr>
          <w:ilvl w:val="0"/>
          <w:numId w:val="2"/>
        </w:numPr>
        <w:spacing w:before="0" w:after="60"/>
      </w:pPr>
      <w:r>
        <w:rPr>
          <w:b/>
        </w:rPr>
        <w:t xml:space="preserve">Drop</w:t>
      </w:r>
      <w:r>
        <w:t xml:space="preserve"> if that visibility is not worth the review volume.</w:t>
      </w:r>
    </w:p>
    <w:p>
      <w:pPr>
        <w:spacing w:before="0" w:after="140"/>
      </w:pPr>
      <w:r>
        <w:t xml:space="preserve">NAICS 561621 was added on the same wrong assumption. It no longer matters either way, since NAICS is now a fallback that never fires, but it should come off the list if the answer here is "drop."</w:t>
      </w:r>
    </w:p>
    <w:p>
      <w:pPr>
        <w:spacing w:before="0" w:after="140"/>
      </w:pPr>
      <w:r>
        <w:rPr>
          <w:b/>
        </w:rPr>
        <w:t xml:space="preserve">This is a business decision, not a technical one.</w:t>
      </w:r>
    </w:p>
    <w:p>
      <w:pPr>
        <w:spacing w:before="280" w:after="120"/>
      </w:pPr>
      <w:r>
        <w:rPr>
          <w:b/>
          <w:color w:val="1F3864"/>
          <w:sz w:val="42"/>
          <w:szCs w:val="42"/>
        </w:rPr>
        <w:t xml:space="preserve">Question 2: Should the broad prefixes be narrowed?</w:t>
      </w:r>
    </w:p>
    <w:p>
      <w:pPr>
        <w:spacing w:before="0" w:after="140"/>
      </w:pPr>
      <w:r>
        <w:t xml:space="preserve">Three candidates, in order of how safe they are:</w:t>
      </w:r>
    </w:p>
    <w:tbl>
      <w:tblPr>
        <w:tblW w:w="5000" w:type="pct"/>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60" w:type="dxa"/>
          <w:bottom w:w="60" w:type="dxa"/>
          <w:left w:w="108" w:type="dxa"/>
          <w:right w:w="108" w:type="dxa"/>
        </w:tblCellMar>
      </w:tblPr>
      <w:tblGrid>
        <w:gridCol w:w="3293"/>
        <w:gridCol w:w="6066"/>
      </w:tblGrid>
      <w:tr>
        <w:trPr>
          <w:tblHeader/>
          <w:cantSplit/>
        </w:trPr>
        <w:tc>
          <w:tcPr>
            <w:tcW w:w="3293" w:type="dxa"/>
            <w:shd w:val="clear" w:color="auto" w:fill="E7E9EF"/>
            <w:vAlign w:val="center"/>
          </w:tcPr>
          <w:p>
            <w:pPr>
              <w:spacing w:before="0" w:after="0"/>
            </w:pPr>
            <w:r>
              <w:rPr>
                <w:b/>
                <w:color w:val="1F3864"/>
                <w:sz w:val="18"/>
                <w:szCs w:val="18"/>
              </w:rPr>
              <w:t xml:space="preserve">Change</w:t>
            </w:r>
          </w:p>
        </w:tc>
        <w:tc>
          <w:tcPr>
            <w:tcW w:w="6066" w:type="dxa"/>
            <w:shd w:val="clear" w:color="auto" w:fill="E7E9EF"/>
            <w:vAlign w:val="center"/>
          </w:tcPr>
          <w:p>
            <w:pPr>
              <w:spacing w:before="0" w:after="0"/>
            </w:pPr>
            <w:r>
              <w:rPr>
                <w:b/>
                <w:color w:val="1F3864"/>
                <w:sz w:val="18"/>
                <w:szCs w:val="18"/>
              </w:rPr>
              <w:t xml:space="preserve">Effect</w:t>
            </w:r>
          </w:p>
        </w:tc>
      </w:tr>
      <w:tr>
        <w:tc>
          <w:tcPr>
            <w:tcW w:w="3293" w:type="dxa"/>
            <w:vAlign w:val="center"/>
          </w:tcPr>
          <w:p>
            <w:pPr>
              <w:spacing w:before="0" w:after="0"/>
            </w:pPr>
            <w:r>
              <w:rPr>
                <w:rFonts w:ascii="Consolas" w:hAnsi="Consolas"/>
                <w:sz w:val="18"/>
                <w:szCs w:val="18"/>
              </w:rPr>
              <w:t xml:space="preserve">99</w:t>
            </w:r>
            <w:r>
              <w:rPr>
                <w:sz w:val="18"/>
                <w:szCs w:val="18"/>
              </w:rPr>
              <w:t xml:space="preserve"> → </w:t>
            </w:r>
            <w:r>
              <w:rPr>
                <w:rFonts w:ascii="Consolas" w:hAnsi="Consolas"/>
                <w:sz w:val="18"/>
                <w:szCs w:val="18"/>
              </w:rPr>
              <w:t xml:space="preserve">9905</w:t>
            </w:r>
            <w:r>
              <w:rPr>
                <w:sz w:val="18"/>
                <w:szCs w:val="18"/>
              </w:rPr>
              <w:t xml:space="preserve"> only</w:t>
            </w:r>
          </w:p>
        </w:tc>
        <w:tc>
          <w:tcPr>
            <w:tcW w:w="6066" w:type="dxa"/>
            <w:vAlign w:val="center"/>
          </w:tcPr>
          <w:p>
            <w:pPr>
              <w:spacing w:before="0" w:after="0"/>
            </w:pPr>
            <w:r>
              <w:rPr>
                <w:sz w:val="18"/>
                <w:szCs w:val="18"/>
              </w:rPr>
              <w:t xml:space="preserve">Drops jewelry, memorials, smokers articles, ecclesiastical supplies. No loss</w:t>
            </w:r>
          </w:p>
        </w:tc>
      </w:tr>
      <w:tr>
        <w:tc>
          <w:tcPr>
            <w:tcW w:w="3293" w:type="dxa"/>
            <w:vAlign w:val="center"/>
          </w:tcPr>
          <w:p>
            <w:pPr>
              <w:spacing w:before="0" w:after="0"/>
            </w:pPr>
            <w:r>
              <w:rPr>
                <w:rFonts w:ascii="Consolas" w:hAnsi="Consolas"/>
                <w:sz w:val="18"/>
                <w:szCs w:val="18"/>
              </w:rPr>
              <w:t xml:space="preserve">63</w:t>
            </w:r>
            <w:r>
              <w:rPr>
                <w:sz w:val="18"/>
                <w:szCs w:val="18"/>
              </w:rPr>
              <w:t xml:space="preserve"> → </w:t>
            </w:r>
            <w:r>
              <w:rPr>
                <w:rFonts w:ascii="Consolas" w:hAnsi="Consolas"/>
                <w:sz w:val="18"/>
                <w:szCs w:val="18"/>
              </w:rPr>
              <w:t xml:space="preserve">6350</w:t>
            </w:r>
            <w:r>
              <w:rPr>
                <w:sz w:val="18"/>
                <w:szCs w:val="18"/>
              </w:rPr>
              <w:t xml:space="preserve"> only</w:t>
            </w:r>
          </w:p>
        </w:tc>
        <w:tc>
          <w:tcPr>
            <w:tcW w:w="6066" w:type="dxa"/>
            <w:vAlign w:val="center"/>
          </w:tcPr>
          <w:p>
            <w:pPr>
              <w:spacing w:before="0" w:after="0"/>
            </w:pPr>
            <w:r>
              <w:rPr>
                <w:sz w:val="18"/>
                <w:szCs w:val="18"/>
              </w:rPr>
              <w:t xml:space="preserve">Drops shipboard, railroad and aircraft alarm systems. No loss</w:t>
            </w:r>
          </w:p>
        </w:tc>
      </w:tr>
      <w:tr>
        <w:tc>
          <w:tcPr>
            <w:tcW w:w="3293" w:type="dxa"/>
            <w:vAlign w:val="center"/>
          </w:tcPr>
          <w:p>
            <w:pPr>
              <w:spacing w:before="0" w:after="0"/>
            </w:pPr>
            <w:r>
              <w:rPr>
                <w:rFonts w:ascii="Consolas" w:hAnsi="Consolas"/>
                <w:sz w:val="18"/>
                <w:szCs w:val="18"/>
              </w:rPr>
              <w:t xml:space="preserve">56</w:t>
            </w:r>
            <w:r>
              <w:rPr>
                <w:sz w:val="18"/>
                <w:szCs w:val="18"/>
              </w:rPr>
              <w:t xml:space="preserve"> → </w:t>
            </w:r>
            <w:r>
              <w:rPr>
                <w:rFonts w:ascii="Consolas" w:hAnsi="Consolas"/>
                <w:sz w:val="18"/>
                <w:szCs w:val="18"/>
              </w:rPr>
              <w:t xml:space="preserve">5660</w:t>
            </w:r>
            <w:r>
              <w:rPr>
                <w:sz w:val="18"/>
                <w:szCs w:val="18"/>
              </w:rPr>
              <w:t xml:space="preserve"> (optionally plus </w:t>
            </w:r>
            <w:r>
              <w:rPr>
                <w:rFonts w:ascii="Consolas" w:hAnsi="Consolas"/>
                <w:sz w:val="18"/>
                <w:szCs w:val="18"/>
              </w:rPr>
              <w:t xml:space="preserve">5670</w:t>
            </w:r>
            <w:r>
              <w:rPr>
                <w:sz w:val="18"/>
                <w:szCs w:val="18"/>
              </w:rPr>
              <w:t xml:space="preserve">)</w:t>
            </w:r>
          </w:p>
        </w:tc>
        <w:tc>
          <w:tcPr>
            <w:tcW w:w="6066" w:type="dxa"/>
            <w:vAlign w:val="center"/>
          </w:tcPr>
          <w:p>
            <w:pPr>
              <w:spacing w:before="0" w:after="0"/>
            </w:pPr>
            <w:r>
              <w:rPr>
                <w:sz w:val="18"/>
                <w:szCs w:val="18"/>
              </w:rPr>
              <w:t xml:space="preserve">Drops roofing, pipe, tile, lumber. No loss</w:t>
            </w:r>
          </w:p>
        </w:tc>
      </w:tr>
    </w:tbl>
    <w:p>
      <w:pPr>
        <w:spacing w:before="0" w:after="120"/>
      </w:pPr>
      <w:r>
        <w:t/>
      </w:r>
    </w:p>
    <w:p>
      <w:pPr>
        <w:spacing w:before="0" w:after="140"/>
      </w:pPr>
      <w:r>
        <w:t xml:space="preserve">Excluding the K, M and N families from Y1 / Z1 / Z2 — dams, power generation, utilities — is a larger change and worth discussing before acting.</w:t>
      </w:r>
    </w:p>
    <w:p>
      <w:pPr>
        <w:spacing w:before="280" w:after="120"/>
      </w:pPr>
      <w:r>
        <w:rPr>
          <w:b/>
          <w:color w:val="1F3864"/>
          <w:sz w:val="42"/>
          <w:szCs w:val="42"/>
        </w:rPr>
        <w:t xml:space="preserve">Question 3: Are there codes missing?</w:t>
      </w:r>
    </w:p>
    <w:p>
      <w:pPr>
        <w:spacing w:before="0" w:after="140"/>
      </w:pPr>
      <w:r>
        <w:t xml:space="preserve">Measured, not guessed. Over 18 days, </w:t>
      </w:r>
      <w:r>
        <w:rPr>
          <w:b/>
        </w:rPr>
        <w:t xml:space="preserve">27 distinct PSC codes that are not whitelisted carried Lavi product or queuing language</w:t>
      </w:r>
      <w:r>
        <w:t xml:space="preserve">, across 46 notices. They are extremely scattered — 1.7 notices per code — which is why the product-language rescue exists rather than a longer whitelist.</w:t>
      </w:r>
    </w:p>
    <w:p>
      <w:pPr>
        <w:spacing w:before="0" w:after="140"/>
      </w:pPr>
      <w:r>
        <w:t xml:space="preserve">The ones worth discussing:</w:t>
      </w:r>
    </w:p>
    <w:tbl>
      <w:tblPr>
        <w:tblW w:w="5000" w:type="pct"/>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60" w:type="dxa"/>
          <w:bottom w:w="60" w:type="dxa"/>
          <w:left w:w="108" w:type="dxa"/>
          <w:right w:w="108" w:type="dxa"/>
        </w:tblCellMar>
      </w:tblPr>
      <w:tblGrid>
        <w:gridCol w:w="730"/>
        <w:gridCol w:w="3981"/>
        <w:gridCol w:w="600"/>
        <w:gridCol w:w="4049"/>
      </w:tblGrid>
      <w:tr>
        <w:trPr>
          <w:tblHeader/>
          <w:cantSplit/>
        </w:trPr>
        <w:tc>
          <w:tcPr>
            <w:tcW w:w="730" w:type="dxa"/>
            <w:shd w:val="clear" w:color="auto" w:fill="E7E9EF"/>
            <w:vAlign w:val="center"/>
          </w:tcPr>
          <w:p>
            <w:pPr>
              <w:spacing w:before="0" w:after="0"/>
            </w:pPr>
            <w:r>
              <w:rPr>
                <w:b/>
                <w:color w:val="1F3864"/>
                <w:sz w:val="18"/>
                <w:szCs w:val="18"/>
              </w:rPr>
              <w:t xml:space="preserve">PSC</w:t>
            </w:r>
          </w:p>
        </w:tc>
        <w:tc>
          <w:tcPr>
            <w:tcW w:w="3981" w:type="dxa"/>
            <w:shd w:val="clear" w:color="auto" w:fill="E7E9EF"/>
            <w:vAlign w:val="center"/>
          </w:tcPr>
          <w:p>
            <w:pPr>
              <w:spacing w:before="0" w:after="0"/>
            </w:pPr>
            <w:r>
              <w:rPr>
                <w:b/>
                <w:color w:val="1F3864"/>
                <w:sz w:val="18"/>
                <w:szCs w:val="18"/>
              </w:rPr>
              <w:t xml:space="preserve">Label</w:t>
            </w:r>
          </w:p>
        </w:tc>
        <w:tc>
          <w:tcPr>
            <w:tcW w:w="600" w:type="dxa"/>
            <w:shd w:val="clear" w:color="auto" w:fill="E7E9EF"/>
            <w:vAlign w:val="center"/>
          </w:tcPr>
          <w:p>
            <w:pPr>
              <w:spacing w:before="0" w:after="0"/>
            </w:pPr>
            <w:r>
              <w:rPr>
                <w:b/>
                <w:color w:val="1F3864"/>
                <w:sz w:val="18"/>
                <w:szCs w:val="18"/>
              </w:rPr>
              <w:t xml:space="preserve">Seen</w:t>
            </w:r>
          </w:p>
        </w:tc>
        <w:tc>
          <w:tcPr>
            <w:tcW w:w="4049" w:type="dxa"/>
            <w:shd w:val="clear" w:color="auto" w:fill="E7E9EF"/>
            <w:vAlign w:val="center"/>
          </w:tcPr>
          <w:p>
            <w:pPr>
              <w:spacing w:before="0" w:after="0"/>
            </w:pPr>
            <w:r>
              <w:rPr>
                <w:b/>
                <w:color w:val="1F3864"/>
                <w:sz w:val="18"/>
                <w:szCs w:val="18"/>
              </w:rPr>
              <w:t xml:space="preserve">Example</w:t>
            </w:r>
          </w:p>
        </w:tc>
      </w:tr>
      <w:tr>
        <w:tc>
          <w:tcPr>
            <w:tcW w:w="730" w:type="dxa"/>
            <w:vAlign w:val="center"/>
          </w:tcPr>
          <w:p>
            <w:pPr>
              <w:spacing w:before="0" w:after="0"/>
            </w:pPr>
            <w:r>
              <w:rPr>
                <w:sz w:val="18"/>
                <w:szCs w:val="18"/>
              </w:rPr>
              <w:t xml:space="preserve">T099 / T001</w:t>
            </w:r>
          </w:p>
        </w:tc>
        <w:tc>
          <w:tcPr>
            <w:tcW w:w="3981" w:type="dxa"/>
            <w:vAlign w:val="center"/>
          </w:tcPr>
          <w:p>
            <w:pPr>
              <w:spacing w:before="0" w:after="0"/>
            </w:pPr>
            <w:r>
              <w:rPr>
                <w:sz w:val="18"/>
                <w:szCs w:val="18"/>
              </w:rPr>
              <w:t xml:space="preserve">Printing and Publication Services; Arts and Graphics Services</w:t>
            </w:r>
          </w:p>
        </w:tc>
        <w:tc>
          <w:tcPr>
            <w:tcW w:w="600" w:type="dxa"/>
            <w:vAlign w:val="center"/>
          </w:tcPr>
          <w:p>
            <w:pPr>
              <w:spacing w:before="0" w:after="0"/>
            </w:pPr>
            <w:r>
              <w:rPr>
                <w:sz w:val="18"/>
                <w:szCs w:val="18"/>
              </w:rPr>
              <w:t xml:space="preserve">6</w:t>
            </w:r>
          </w:p>
        </w:tc>
        <w:tc>
          <w:tcPr>
            <w:tcW w:w="4049" w:type="dxa"/>
            <w:vAlign w:val="center"/>
          </w:tcPr>
          <w:p>
            <w:pPr>
              <w:spacing w:before="0" w:after="0"/>
            </w:pPr>
            <w:r>
              <w:rPr>
                <w:sz w:val="18"/>
                <w:szCs w:val="18"/>
              </w:rPr>
              <w:t xml:space="preserve">"Interactive Wayfinding Maps Service", "Wayfinding Solutions"</w:t>
            </w:r>
          </w:p>
        </w:tc>
      </w:tr>
      <w:tr>
        <w:tc>
          <w:tcPr>
            <w:tcW w:w="730" w:type="dxa"/>
            <w:vAlign w:val="center"/>
          </w:tcPr>
          <w:p>
            <w:pPr>
              <w:spacing w:before="0" w:after="0"/>
            </w:pPr>
            <w:r>
              <w:rPr>
                <w:sz w:val="18"/>
                <w:szCs w:val="18"/>
              </w:rPr>
              <w:t xml:space="preserve">X1AA</w:t>
            </w:r>
          </w:p>
        </w:tc>
        <w:tc>
          <w:tcPr>
            <w:tcW w:w="3981" w:type="dxa"/>
            <w:vAlign w:val="center"/>
          </w:tcPr>
          <w:p>
            <w:pPr>
              <w:spacing w:before="0" w:after="0"/>
            </w:pPr>
            <w:r>
              <w:rPr>
                <w:sz w:val="18"/>
                <w:szCs w:val="18"/>
              </w:rPr>
              <w:t xml:space="preserve">Lease/Rental of Office Buildings</w:t>
            </w:r>
          </w:p>
        </w:tc>
        <w:tc>
          <w:tcPr>
            <w:tcW w:w="600" w:type="dxa"/>
            <w:vAlign w:val="center"/>
          </w:tcPr>
          <w:p>
            <w:pPr>
              <w:spacing w:before="0" w:after="0"/>
            </w:pPr>
            <w:r>
              <w:rPr>
                <w:sz w:val="18"/>
                <w:szCs w:val="18"/>
              </w:rPr>
              <w:t xml:space="preserve">5</w:t>
            </w:r>
          </w:p>
        </w:tc>
        <w:tc>
          <w:tcPr>
            <w:tcW w:w="4049" w:type="dxa"/>
            <w:vAlign w:val="center"/>
          </w:tcPr>
          <w:p>
            <w:pPr>
              <w:spacing w:before="0" w:after="0"/>
            </w:pPr>
            <w:r>
              <w:rPr>
                <w:sz w:val="18"/>
                <w:szCs w:val="18"/>
              </w:rPr>
              <w:t xml:space="preserve">"Armed Forces Career Center"</w:t>
            </w:r>
          </w:p>
        </w:tc>
      </w:tr>
      <w:tr>
        <w:tc>
          <w:tcPr>
            <w:tcW w:w="730" w:type="dxa"/>
            <w:vAlign w:val="center"/>
          </w:tcPr>
          <w:p>
            <w:pPr>
              <w:spacing w:before="0" w:after="0"/>
            </w:pPr>
            <w:r>
              <w:rPr>
                <w:sz w:val="18"/>
                <w:szCs w:val="18"/>
              </w:rPr>
              <w:t xml:space="preserve">9330</w:t>
            </w:r>
          </w:p>
        </w:tc>
        <w:tc>
          <w:tcPr>
            <w:tcW w:w="3981" w:type="dxa"/>
            <w:vAlign w:val="center"/>
          </w:tcPr>
          <w:p>
            <w:pPr>
              <w:spacing w:before="0" w:after="0"/>
            </w:pPr>
            <w:r>
              <w:rPr>
                <w:sz w:val="18"/>
                <w:szCs w:val="18"/>
              </w:rPr>
              <w:t xml:space="preserve">Plastics Fabricated Materials</w:t>
            </w:r>
          </w:p>
        </w:tc>
        <w:tc>
          <w:tcPr>
            <w:tcW w:w="600" w:type="dxa"/>
            <w:vAlign w:val="center"/>
          </w:tcPr>
          <w:p>
            <w:pPr>
              <w:spacing w:before="0" w:after="0"/>
            </w:pPr>
            <w:r>
              <w:rPr>
                <w:sz w:val="18"/>
                <w:szCs w:val="18"/>
              </w:rPr>
              <w:t xml:space="preserve">3</w:t>
            </w:r>
          </w:p>
        </w:tc>
        <w:tc>
          <w:tcPr>
            <w:tcW w:w="4049" w:type="dxa"/>
            <w:vAlign w:val="center"/>
          </w:tcPr>
          <w:p>
            <w:pPr>
              <w:spacing w:before="0" w:after="0"/>
            </w:pPr>
            <w:r>
              <w:rPr>
                <w:sz w:val="18"/>
                <w:szCs w:val="18"/>
              </w:rPr>
              <w:t xml:space="preserve">"HDPE Board for Signs"</w:t>
            </w:r>
          </w:p>
        </w:tc>
      </w:tr>
      <w:tr>
        <w:tc>
          <w:tcPr>
            <w:tcW w:w="730" w:type="dxa"/>
            <w:vAlign w:val="center"/>
          </w:tcPr>
          <w:p>
            <w:pPr>
              <w:spacing w:before="0" w:after="0"/>
            </w:pPr>
            <w:r>
              <w:rPr>
                <w:sz w:val="18"/>
                <w:szCs w:val="18"/>
              </w:rPr>
              <w:t xml:space="preserve">4240</w:t>
            </w:r>
          </w:p>
        </w:tc>
        <w:tc>
          <w:tcPr>
            <w:tcW w:w="3981" w:type="dxa"/>
            <w:vAlign w:val="center"/>
          </w:tcPr>
          <w:p>
            <w:pPr>
              <w:spacing w:before="0" w:after="0"/>
            </w:pPr>
            <w:r>
              <w:rPr>
                <w:sz w:val="18"/>
                <w:szCs w:val="18"/>
              </w:rPr>
              <w:t xml:space="preserve">Safety and Rescue Equipment</w:t>
            </w:r>
          </w:p>
        </w:tc>
        <w:tc>
          <w:tcPr>
            <w:tcW w:w="600" w:type="dxa"/>
            <w:vAlign w:val="center"/>
          </w:tcPr>
          <w:p>
            <w:pPr>
              <w:spacing w:before="0" w:after="0"/>
            </w:pPr>
            <w:r>
              <w:rPr>
                <w:sz w:val="18"/>
                <w:szCs w:val="18"/>
              </w:rPr>
              <w:t xml:space="preserve">2</w:t>
            </w:r>
          </w:p>
        </w:tc>
        <w:tc>
          <w:tcPr>
            <w:tcW w:w="4049" w:type="dxa"/>
            <w:vAlign w:val="center"/>
          </w:tcPr>
          <w:p>
            <w:pPr>
              <w:spacing w:before="0" w:after="0"/>
            </w:pPr>
            <w:r>
              <w:rPr>
                <w:sz w:val="18"/>
                <w:szCs w:val="18"/>
              </w:rPr>
              <w:t xml:space="preserve">"Weighed System Railings"</w:t>
            </w:r>
          </w:p>
        </w:tc>
      </w:tr>
      <w:tr>
        <w:tc>
          <w:tcPr>
            <w:tcW w:w="730" w:type="dxa"/>
            <w:vAlign w:val="center"/>
          </w:tcPr>
          <w:p>
            <w:pPr>
              <w:spacing w:before="0" w:after="0"/>
            </w:pPr>
            <w:r>
              <w:rPr>
                <w:sz w:val="18"/>
                <w:szCs w:val="18"/>
              </w:rPr>
              <w:t xml:space="preserve">7D20</w:t>
            </w:r>
          </w:p>
        </w:tc>
        <w:tc>
          <w:tcPr>
            <w:tcW w:w="3981" w:type="dxa"/>
            <w:vAlign w:val="center"/>
          </w:tcPr>
          <w:p>
            <w:pPr>
              <w:spacing w:before="0" w:after="0"/>
            </w:pPr>
            <w:r>
              <w:rPr>
                <w:sz w:val="18"/>
                <w:szCs w:val="18"/>
              </w:rPr>
              <w:t xml:space="preserve">Hardware and software for delivery processes</w:t>
            </w:r>
          </w:p>
        </w:tc>
        <w:tc>
          <w:tcPr>
            <w:tcW w:w="600" w:type="dxa"/>
            <w:vAlign w:val="center"/>
          </w:tcPr>
          <w:p>
            <w:pPr>
              <w:spacing w:before="0" w:after="0"/>
            </w:pPr>
            <w:r>
              <w:rPr>
                <w:sz w:val="18"/>
                <w:szCs w:val="18"/>
              </w:rPr>
              <w:t xml:space="preserve">1</w:t>
            </w:r>
          </w:p>
        </w:tc>
        <w:tc>
          <w:tcPr>
            <w:tcW w:w="4049" w:type="dxa"/>
            <w:vAlign w:val="center"/>
          </w:tcPr>
          <w:p>
            <w:pPr>
              <w:spacing w:before="0" w:after="0"/>
            </w:pPr>
            <w:r>
              <w:rPr>
                <w:sz w:val="18"/>
                <w:szCs w:val="18"/>
              </w:rPr>
              <w:t xml:space="preserve">"New Patient Queuing Kiosk"</w:t>
            </w:r>
          </w:p>
        </w:tc>
      </w:tr>
    </w:tbl>
    <w:p>
      <w:pPr>
        <w:spacing w:before="0" w:after="120"/>
      </w:pPr>
      <w:r>
        <w:t/>
      </w:r>
    </w:p>
    <w:p>
      <w:pPr>
        <w:spacing w:before="0" w:after="140"/>
      </w:pPr>
      <w:r>
        <w:rPr>
          <w:b/>
        </w:rPr>
        <w:t xml:space="preserve">T001 and T099 are the strongest candidate.</w:t>
      </w:r>
      <w:r>
        <w:t xml:space="preserve"> Wayfinding is filed as a graphics or publishing service more often than as signage, and those are real opportunities.</w:t>
      </w:r>
    </w:p>
    <w:p>
      <w:pPr>
        <w:spacing w:before="0" w:after="140"/>
      </w:pPr>
      <w:r>
        <w:t xml:space="preserve">All of these already reach the AI review through the language rescue, so adding them would not surface new leads — it would only make the filter less dependent on a notice using our words. That is worth something, but it is not urgent.</w:t>
      </w:r>
    </w:p>
    <w:p>
      <w:pPr>
        <w:spacing w:before="280" w:after="120"/>
      </w:pPr>
      <w:r>
        <w:rPr>
          <w:b/>
          <w:color w:val="1F3864"/>
          <w:sz w:val="42"/>
          <w:szCs w:val="42"/>
        </w:rPr>
        <w:t xml:space="preserve">Question 4: Is there a market we serve that is not represented here?</w:t>
      </w:r>
    </w:p>
    <w:p>
      <w:pPr>
        <w:spacing w:before="0" w:after="140"/>
      </w:pPr>
      <w:r>
        <w:t xml:space="preserve">The list was built from our known product lines: crowd control and barriers, railings, signage and wayfinding, store fixtures, institutional furniture, electronic queuing. If a buyer type, facility type or product line is missing from that set, the whitelist will not find it, because nobody looked for it.</w:t>
      </w:r>
    </w:p>
    <w:p>
      <w:pPr>
        <w:pBdr>
          <w:bottom w:val="single" w:sz="6" w:space="6" w:color="BFBFBF"/>
        </w:pBdr>
        <w:spacing w:before="0" w:after="160"/>
      </w:pPr>
      <w:r>
        <w:t/>
      </w:r>
    </w:p>
    <w:p>
      <w:pPr>
        <w:spacing w:before="320" w:after="160"/>
      </w:pPr>
      <w:r>
        <w:rPr>
          <w:b/>
          <w:color w:val="1F3864"/>
          <w:sz w:val="52"/>
          <w:szCs w:val="52"/>
        </w:rPr>
        <w:t xml:space="preserve">Appendix — Where this lives</w:t>
      </w:r>
    </w:p>
    <w:tbl>
      <w:tblPr>
        <w:tblW w:w="5000" w:type="pct"/>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60" w:type="dxa"/>
          <w:bottom w:w="60" w:type="dxa"/>
          <w:left w:w="108" w:type="dxa"/>
          <w:right w:w="108" w:type="dxa"/>
        </w:tblCellMar>
      </w:tblPr>
      <w:tblGrid>
        <w:gridCol w:w="5986"/>
        <w:gridCol w:w="3373"/>
      </w:tblGrid>
      <w:tr>
        <w:trPr>
          <w:tblHeader/>
          <w:cantSplit/>
        </w:trPr>
        <w:tc>
          <w:tcPr>
            <w:tcW w:w="5986" w:type="dxa"/>
            <w:shd w:val="clear" w:color="auto" w:fill="E7E9EF"/>
            <w:vAlign w:val="center"/>
          </w:tcPr>
          <w:p>
            <w:pPr>
              <w:spacing w:before="0" w:after="0"/>
            </w:pPr>
            <w:r>
              <w:rPr>
                <w:b/>
                <w:color w:val="1F3864"/>
                <w:sz w:val="18"/>
                <w:szCs w:val="18"/>
              </w:rPr>
              <w:t xml:space="preserve">Item</w:t>
            </w:r>
          </w:p>
        </w:tc>
        <w:tc>
          <w:tcPr>
            <w:tcW w:w="3373" w:type="dxa"/>
            <w:shd w:val="clear" w:color="auto" w:fill="E7E9EF"/>
            <w:vAlign w:val="center"/>
          </w:tcPr>
          <w:p>
            <w:pPr>
              <w:spacing w:before="0" w:after="0"/>
            </w:pPr>
            <w:r>
              <w:rPr>
                <w:b/>
                <w:color w:val="1F3864"/>
                <w:sz w:val="18"/>
                <w:szCs w:val="18"/>
              </w:rPr>
              <w:t xml:space="preserve">Location</w:t>
            </w:r>
          </w:p>
        </w:tc>
      </w:tr>
      <w:tr>
        <w:tc>
          <w:tcPr>
            <w:tcW w:w="5986" w:type="dxa"/>
            <w:vAlign w:val="center"/>
          </w:tcPr>
          <w:p>
            <w:pPr>
              <w:spacing w:before="0" w:after="0"/>
            </w:pPr>
            <w:r>
              <w:rPr>
                <w:sz w:val="18"/>
                <w:szCs w:val="18"/>
              </w:rPr>
              <w:t xml:space="preserve">Live whitelist definitions</w:t>
            </w:r>
          </w:p>
        </w:tc>
        <w:tc>
          <w:tcPr>
            <w:tcW w:w="3373" w:type="dxa"/>
            <w:vAlign w:val="center"/>
          </w:tcPr>
          <w:p>
            <w:pPr>
              <w:spacing w:before="0" w:after="0"/>
            </w:pPr>
            <w:r>
              <w:rPr>
                <w:rFonts w:ascii="Consolas" w:hAnsi="Consolas"/>
                <w:sz w:val="18"/>
                <w:szCs w:val="18"/>
              </w:rPr>
              <w:t xml:space="preserve">scrapers/samgov.py</w:t>
            </w:r>
          </w:p>
        </w:tc>
      </w:tr>
      <w:tr>
        <w:tc>
          <w:tcPr>
            <w:tcW w:w="5986" w:type="dxa"/>
            <w:vAlign w:val="center"/>
          </w:tcPr>
          <w:p>
            <w:pPr>
              <w:spacing w:before="0" w:after="0"/>
            </w:pPr>
            <w:r>
              <w:rPr>
                <w:sz w:val="18"/>
                <w:szCs w:val="18"/>
              </w:rPr>
              <w:t xml:space="preserve">NAICS code-to-label map (2,122 entries)</w:t>
            </w:r>
          </w:p>
        </w:tc>
        <w:tc>
          <w:tcPr>
            <w:tcW w:w="3373" w:type="dxa"/>
            <w:vAlign w:val="center"/>
          </w:tcPr>
          <w:p>
            <w:pPr>
              <w:spacing w:before="0" w:after="0"/>
            </w:pPr>
            <w:r>
              <w:rPr>
                <w:rFonts w:ascii="Consolas" w:hAnsi="Consolas"/>
                <w:sz w:val="18"/>
                <w:szCs w:val="18"/>
              </w:rPr>
              <w:t xml:space="preserve">data/naics_codes.json</w:t>
            </w:r>
          </w:p>
        </w:tc>
      </w:tr>
      <w:tr>
        <w:tc>
          <w:tcPr>
            <w:tcW w:w="5986" w:type="dxa"/>
            <w:vAlign w:val="center"/>
          </w:tcPr>
          <w:p>
            <w:pPr>
              <w:spacing w:before="0" w:after="0"/>
            </w:pPr>
            <w:r>
              <w:rPr>
                <w:sz w:val="18"/>
                <w:szCs w:val="18"/>
              </w:rPr>
              <w:t xml:space="preserve">PSC code-to-label map (3,837 entries)</w:t>
            </w:r>
          </w:p>
        </w:tc>
        <w:tc>
          <w:tcPr>
            <w:tcW w:w="3373" w:type="dxa"/>
            <w:vAlign w:val="center"/>
          </w:tcPr>
          <w:p>
            <w:pPr>
              <w:spacing w:before="0" w:after="0"/>
            </w:pPr>
            <w:r>
              <w:rPr>
                <w:rFonts w:ascii="Consolas" w:hAnsi="Consolas"/>
                <w:sz w:val="18"/>
                <w:szCs w:val="18"/>
              </w:rPr>
              <w:t xml:space="preserve">data/psc_codes.json</w:t>
            </w:r>
          </w:p>
        </w:tc>
      </w:tr>
      <w:tr>
        <w:tc>
          <w:tcPr>
            <w:tcW w:w="5986" w:type="dxa"/>
            <w:vAlign w:val="center"/>
          </w:tcPr>
          <w:p>
            <w:pPr>
              <w:spacing w:before="0" w:after="0"/>
            </w:pPr>
            <w:r>
              <w:rPr>
                <w:sz w:val="18"/>
                <w:szCs w:val="18"/>
              </w:rPr>
              <w:t xml:space="preserve">Script that regenerates both maps from official sources</w:t>
            </w:r>
          </w:p>
        </w:tc>
        <w:tc>
          <w:tcPr>
            <w:tcW w:w="3373" w:type="dxa"/>
            <w:vAlign w:val="center"/>
          </w:tcPr>
          <w:p>
            <w:pPr>
              <w:spacing w:before="0" w:after="0"/>
            </w:pPr>
            <w:r>
              <w:rPr>
                <w:rFonts w:ascii="Consolas" w:hAnsi="Consolas"/>
                <w:sz w:val="18"/>
                <w:szCs w:val="18"/>
              </w:rPr>
              <w:t xml:space="preserve">scripts/build_code_lookups.py</w:t>
            </w:r>
          </w:p>
        </w:tc>
      </w:tr>
    </w:tbl>
    <w:p>
      <w:pPr>
        <w:spacing w:before="0" w:after="120"/>
      </w:pPr>
      <w:r>
        <w:t/>
      </w:r>
    </w:p>
    <w:p>
      <w:pPr>
        <w:spacing w:before="0" w:after="140"/>
      </w:pPr>
      <w:r>
        <w:t xml:space="preserve">Any change agreed from this review is a change to </w:t>
      </w:r>
      <w:r>
        <w:rPr>
          <w:rFonts w:ascii="Consolas" w:hAnsi="Consolas"/>
          <w:sz w:val="18"/>
          <w:szCs w:val="18"/>
        </w:rPr>
        <w:t xml:space="preserve">scrapers/samgov.py</w:t>
      </w:r>
      <w:r>
        <w:t xml:space="preserve"> and takes effect on the next daily run.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lvl w:ilvl="0">
      <w:start w:val="1"/>
      <w:numFmt w:val="decimal"/>
      <w:lvlText w:val="%1."/>
      <w:lvlJc w:val="left"/>
      <w:pPr>
        <w:ind w:left="432" w:hanging="288"/>
      </w:pPr>
    </w:lvl>
  </w:abstractNum>
  <w:abstractNum w:abstractNumId="2">
    <w:lvl w:ilvl="0">
      <w:start w:val="1"/>
      <w:numFmt w:val="bullet"/>
      <w:lvlText w:val="•"/>
      <w:lvlJc w:val="left"/>
      <w:pPr>
        <w:ind w:left="432" w:hanging="288"/>
      </w:pPr>
    </w:lvl>
  </w:abstractNum>
  <w:num w:numId="1">
    <w:abstractNumId w:val="1"/>
  </w:num>
  <w:num w:numId="2">
    <w:abstractNumId w:val="2"/>
  </w:num>
</w:numbering>
</file>

<file path=word/styles.xml><?xml version="1.0" encoding="utf-8"?>
<w:styles xmlns:w="http://schemas.openxmlformats.org/wordprocessingml/2006/main">
  <w:docDefaults>
    <w:rPrDefault>
      <w:rPr>
        <w:rFonts w:ascii="Calibri" w:hAnsi="Calibri" w:cs="Calibri"/>
        <w:sz w:val="21"/>
        <w:szCs w:val="21"/>
      </w:rPr>
    </w:rPrDefault>
    <w:pPrDefault>
      <w:pPr>
        <w:spacing w:after="120" w:line="264" w:lineRule="auto"/>
      </w:pPr>
    </w:p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