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Calibri" w:hAnsi="Calibri"/>
          <w:b/>
          <w:color w:val="2E74B5"/>
          <w:sz w:val="20"/>
        </w:rPr>
        <w:t>RESEARCH WORKPLAN</w:t>
      </w:r>
    </w:p>
    <w:p>
      <w:pPr>
        <w:spacing w:after="100"/>
      </w:pPr>
      <w:r>
        <w:rPr>
          <w:rFonts w:ascii="Calibri" w:hAnsi="Calibri"/>
          <w:b/>
          <w:color w:val="17365D"/>
          <w:sz w:val="50"/>
        </w:rPr>
        <w:t>KV Cache Quantization x Privacy</w:t>
      </w:r>
    </w:p>
    <w:p>
      <w:pPr>
        <w:spacing w:after="280"/>
      </w:pPr>
      <w:r>
        <w:rPr>
          <w:rFonts w:ascii="Calibri" w:hAnsi="Calibri"/>
          <w:color w:val="667085"/>
          <w:sz w:val="27"/>
        </w:rPr>
        <w:t>Three-person execution plan for a controlled privacy-utility-bitrate study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Status: </w:t>
      </w:r>
      <w:r>
        <w:rPr>
          <w:rFonts w:ascii="Calibri" w:hAnsi="Calibri"/>
          <w:color w:val="1F2937"/>
        </w:rPr>
        <w:t>Kickoff plan - baseline-first research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Initial model: </w:t>
      </w:r>
      <w:r>
        <w:rPr>
          <w:rFonts w:ascii="Calibri" w:hAnsi="Calibri"/>
          <w:color w:val="1F2937"/>
        </w:rPr>
        <w:t>Llama-3.2-1B-Instruct; immutable revision to be pinned</w:t>
      </w:r>
    </w:p>
    <w:p>
      <w:pPr>
        <w:spacing w:after="40"/>
      </w:pPr>
      <w:r>
        <w:rPr>
          <w:rFonts w:ascii="Calibri" w:hAnsi="Calibri"/>
          <w:b/>
          <w:color w:val="17365D"/>
        </w:rPr>
        <w:t xml:space="preserve">Initial precisions: </w:t>
      </w:r>
      <w:r>
        <w:rPr>
          <w:rFonts w:ascii="Calibri" w:hAnsi="Calibri"/>
          <w:color w:val="1F2937"/>
        </w:rPr>
        <w:t>FP16, INT8, and INT4</w:t>
      </w:r>
    </w:p>
    <w:p>
      <w:pPr>
        <w:spacing w:after="240"/>
      </w:pPr>
      <w:r>
        <w:rPr>
          <w:rFonts w:ascii="Calibri" w:hAnsi="Calibri"/>
          <w:b/>
          <w:color w:val="17365D"/>
        </w:rPr>
        <w:t xml:space="preserve">Deadline: </w:t>
      </w:r>
      <w:r>
        <w:rPr>
          <w:rFonts w:ascii="Calibri" w:hAnsi="Calibri"/>
          <w:color w:val="1F2937"/>
        </w:rPr>
        <w:t>Monday, August 31,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</w:rPr>
              <w:t xml:space="preserve">Decision: </w:t>
            </w:r>
            <w:r>
              <w:rPr>
                <w:rFonts w:ascii="Calibri" w:hAnsi="Calibri"/>
                <w:color w:val="1F2937"/>
              </w:rPr>
              <w:t>The first deliverable is a trustworthy privacy-utility-bitrate curve, not a new defense. Mathematical design begins only after the baseline reveals a stable phenomenon.</w:t>
            </w:r>
          </w:p>
        </w:tc>
      </w:tr>
    </w:tbl>
    <w:p>
      <w:pPr>
        <w:pStyle w:val="Heading1"/>
        <w:keepNext/>
      </w:pPr>
      <w:r>
        <w:t>1. Research objective</w:t>
      </w:r>
    </w:p>
    <w:p>
      <w:pPr>
        <w:spacing w:after="160"/>
      </w:pPr>
      <w:r>
        <w:t>Determine how KV-cache precision changes exact, semantic, and sensitive-information leakage relative to model utility. Quantization is initially treated as a controlled independent variable, not as a privacy mechanism.</w:t>
      </w:r>
    </w:p>
    <w:p>
      <w:r>
        <w:t>The core comparison is paired: the same prompt, checkpoint, seed, generation configuration, cache extraction point, and attack budget must be used at FP16, INT8, and INT4.</w:t>
      </w:r>
    </w:p>
    <w:p>
      <w:pPr>
        <w:pStyle w:val="Heading1"/>
        <w:keepNext/>
      </w:pPr>
      <w:r>
        <w:t>2. Team allocation</w:t>
      </w:r>
    </w:p>
    <w:p>
      <w:pPr>
        <w:pStyle w:val="Heading2"/>
        <w:keepNext/>
      </w:pPr>
      <w:r>
        <w:t>Person A - Quantization and utility</w:t>
      </w:r>
    </w:p>
    <w:p>
      <w:pPr>
        <w:spacing w:after="160"/>
      </w:pPr>
      <w:r>
        <w:rPr>
          <w:rFonts w:ascii="Calibri" w:hAnsi="Calibri"/>
          <w:b/>
          <w:color w:val="17365D"/>
        </w:rPr>
        <w:t xml:space="preserve">Primary question. </w:t>
      </w:r>
      <w:r>
        <w:rPr>
          <w:rFonts w:ascii="Calibri" w:hAnsi="Calibri"/>
          <w:i/>
          <w:color w:val="1F2937"/>
        </w:rPr>
        <w:t>Can the model use a lower-precision cache without losing task performance?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Pin the model and tokenizer revisions and deterministic generation configuration.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Implement standardized K/V capture hooks and versioned cache bundles.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Implement controlled symmetric INT8 and INT4 quantization with recorded scales, zero points, grouping, clipping, and RoPE stage.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Integrate the quantized cache into autoregressive attention so utility is measured on a cache the model actually reads.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Measure logit divergence, generation agreement, QA, long-context retrieval, memory, and latency.</w:t>
      </w:r>
    </w:p>
    <w:p>
      <w:pPr>
        <w:spacing w:after="100"/>
      </w:pPr>
      <w:r>
        <w:rPr>
          <w:rFonts w:ascii="Calibri" w:hAnsi="Calibri"/>
          <w:b/>
          <w:color w:val="17365D"/>
        </w:rPr>
        <w:t xml:space="preserve">Acceptance gate: </w:t>
      </w:r>
      <w:r>
        <w:rPr>
          <w:rFonts w:ascii="Calibri" w:hAnsi="Calibri"/>
          <w:color w:val="1F2937"/>
        </w:rPr>
        <w:t>Repeated FP16 extraction is tensor-identical and metadata-complete.</w:t>
      </w:r>
    </w:p>
    <w:p>
      <w:pPr>
        <w:spacing w:after="100"/>
      </w:pPr>
      <w:r>
        <w:rPr>
          <w:rFonts w:ascii="Calibri" w:hAnsi="Calibri"/>
          <w:b/>
          <w:color w:val="17365D"/>
        </w:rPr>
        <w:t xml:space="preserve">Acceptance gate: </w:t>
      </w:r>
      <w:r>
        <w:rPr>
          <w:rFonts w:ascii="Calibri" w:hAnsi="Calibri"/>
          <w:color w:val="1F2937"/>
        </w:rPr>
        <w:t>One command reproduces the pilot online quantized-cache utility result.</w:t>
      </w:r>
    </w:p>
    <w:p>
      <w:pPr>
        <w:pStyle w:val="Heading2"/>
        <w:keepNext/>
      </w:pPr>
      <w:r>
        <w:t>Person B - Leakage and attacks</w:t>
      </w:r>
    </w:p>
    <w:p>
      <w:pPr>
        <w:spacing w:after="160"/>
      </w:pPr>
      <w:r>
        <w:rPr>
          <w:rFonts w:ascii="Calibri" w:hAnsi="Calibri"/>
          <w:b/>
          <w:color w:val="17365D"/>
        </w:rPr>
        <w:t xml:space="preserve">Primary question. </w:t>
      </w:r>
      <w:r>
        <w:rPr>
          <w:rFonts w:ascii="Calibri" w:hAnsi="Calibri"/>
          <w:i/>
          <w:color w:val="1F2937"/>
        </w:rPr>
        <w:t>How much information can an informed attacker recover at each precision?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Reproduce a reliable FP16 reconstruction attack before interpreting quantization.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Implement token, semantic, and sensitive-attribute leakage objectives.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Evaluate both naive and quantization-adaptive attackers that know the quantizer and scales.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Hold attack initialization, budget, stopping rule, and evaluation code constant across precisions.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Write per-sample outputs with convergence diagnostics and later lead K-versus-V and layer/head analyses.</w:t>
      </w:r>
    </w:p>
    <w:p>
      <w:pPr>
        <w:spacing w:after="100"/>
      </w:pPr>
      <w:r>
        <w:rPr>
          <w:rFonts w:ascii="Calibri" w:hAnsi="Calibri"/>
          <w:b/>
          <w:color w:val="17365D"/>
        </w:rPr>
        <w:t xml:space="preserve">Acceptance gate: </w:t>
      </w:r>
      <w:r>
        <w:rPr>
          <w:rFonts w:ascii="Calibri" w:hAnsi="Calibri"/>
          <w:color w:val="1F2937"/>
        </w:rPr>
        <w:t>FP16 leakage is stable and exceeds a control baseline.</w:t>
      </w:r>
    </w:p>
    <w:p>
      <w:pPr>
        <w:spacing w:after="100"/>
      </w:pPr>
      <w:r>
        <w:rPr>
          <w:rFonts w:ascii="Calibri" w:hAnsi="Calibri"/>
          <w:b/>
          <w:color w:val="17365D"/>
        </w:rPr>
        <w:t xml:space="preserve">Acceptance gate: </w:t>
      </w:r>
      <w:r>
        <w:rPr>
          <w:rFonts w:ascii="Calibri" w:hAnsi="Calibri"/>
          <w:color w:val="1F2937"/>
        </w:rPr>
        <w:t>Adaptive attacks consume quantized metadata correctly; a format mismatch cannot explain the result.</w:t>
      </w:r>
    </w:p>
    <w:p>
      <w:pPr>
        <w:pStyle w:val="Heading2"/>
        <w:keepNext/>
      </w:pPr>
      <w:r>
        <w:t>Person C - Dataset, evaluation, and reproducibility</w:t>
      </w:r>
    </w:p>
    <w:p>
      <w:pPr>
        <w:spacing w:after="160"/>
      </w:pPr>
      <w:r>
        <w:rPr>
          <w:rFonts w:ascii="Calibri" w:hAnsi="Calibri"/>
          <w:b/>
          <w:color w:val="17365D"/>
        </w:rPr>
        <w:t xml:space="preserve">Primary question. </w:t>
      </w:r>
      <w:r>
        <w:rPr>
          <w:rFonts w:ascii="Calibri" w:hAnsi="Calibri"/>
          <w:i/>
          <w:color w:val="1F2937"/>
        </w:rPr>
        <w:t>Are the observed differences valid, statistically meaningful, and reproducible?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Create controlled synthetic public, personal, financial, medical, and confidential prompt categories.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Predefine secret spans, attribute labels, immutable splits, and dataset versions.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Maintain experiment manifests and validate paired comparisons across precisions.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Aggregate per-sample leakage and utility records, confidence intervals, failure cases, and final figures.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Audit cache schemas and later lead information-concentration, RAG, and multimodal extensions after the text baseline passes.</w:t>
      </w:r>
    </w:p>
    <w:p>
      <w:pPr>
        <w:spacing w:after="100"/>
      </w:pPr>
      <w:r>
        <w:rPr>
          <w:rFonts w:ascii="Calibri" w:hAnsi="Calibri"/>
          <w:b/>
          <w:color w:val="17365D"/>
        </w:rPr>
        <w:t xml:space="preserve">Acceptance gate: </w:t>
      </w:r>
      <w:r>
        <w:rPr>
          <w:rFonts w:ascii="Calibri" w:hAnsi="Calibri"/>
          <w:color w:val="1F2937"/>
        </w:rPr>
        <w:t>The dataset manifest, threat model, metrics, and cache schema are frozen before the final paired run.</w:t>
      </w:r>
    </w:p>
    <w:p>
      <w:pPr>
        <w:spacing w:after="100"/>
      </w:pPr>
      <w:r>
        <w:rPr>
          <w:rFonts w:ascii="Calibri" w:hAnsi="Calibri"/>
          <w:b/>
          <w:color w:val="17365D"/>
        </w:rPr>
        <w:t xml:space="preserve">Acceptance gate: </w:t>
      </w:r>
      <w:r>
        <w:rPr>
          <w:rFonts w:ascii="Calibri" w:hAnsi="Calibri"/>
          <w:color w:val="1F2937"/>
        </w:rPr>
        <w:t>Every aggregate is traceable to per-sample records and a reproducible command.</w:t>
      </w:r>
    </w:p>
    <w:p>
      <w:pPr>
        <w:pStyle w:val="Heading1"/>
        <w:keepNext/>
      </w:pPr>
      <w:r>
        <w:t>3. Shared interface contract</w:t>
      </w:r>
    </w:p>
    <w:p>
      <w:r>
        <w:t>Person C publishes prompt manifests. Person A produces versioned cache bundles. Person B consumes those bundles and produces per-sample attack records. Person C joins leakage and utility outputs through prompt ID, precision, and experiment ID.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Model/tokenizer revision, code revision, prompt ID, token IDs, and seed.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Layer, KV-head, sequence, and head-dimension layout.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Capture stage and whether RoPE has already been applied to keys.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Original dtype, target precision, quantization granularity, scale, zero point, and clipping.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Whether the quantized cache was used during inference or supplied only to the attacker.</w:t>
      </w:r>
    </w:p>
    <w:p>
      <w:pPr>
        <w:pStyle w:val="Heading1"/>
        <w:keepNext/>
      </w:pPr>
      <w:r>
        <w:t>4. Threat model and attack levels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Attacker has: </w:t>
      </w:r>
      <w:r>
        <w:rPr>
          <w:rFonts w:ascii="Calibri" w:hAnsi="Calibri"/>
          <w:color w:val="1F2937"/>
        </w:rPr>
        <w:t>Leaked KV cache, model architecture and weights, tokenizer, quantization algorithm, grouping, clipping rule, scales, and zero points.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Attacker lacks: </w:t>
      </w:r>
      <w:r>
        <w:rPr>
          <w:rFonts w:ascii="Calibri" w:hAnsi="Calibri"/>
          <w:color w:val="1F2937"/>
        </w:rPr>
        <w:t>Victim prompt, victim response, and secret labels.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Naive attack - the FP16 attack is run without quantization-specific adaptation.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Adaptive attack - the attacker dequantizes or explicitly optimizes against the quantized representation.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Oracle diagnostic - optional upper-bound condition, always labeled unrealistic and never presented as an attack success.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Calibri" w:hAnsi="Calibri"/>
                <w:b/>
                <w:color w:val="17365D"/>
              </w:rPr>
              <w:t xml:space="preserve">Claim boundary. </w:t>
            </w:r>
            <w:r>
              <w:rPr>
                <w:rFonts w:ascii="Calibri" w:hAnsi="Calibri"/>
                <w:color w:val="1F2937"/>
              </w:rPr>
              <w:t>A drop in naive-attack performance is not evidence of privacy protection. Any security claim requires an adaptive attacker evaluated under the same model, prompts, precision, and budget.</w:t>
            </w:r>
          </w:p>
        </w:tc>
      </w:tr>
    </w:tbl>
    <w:p>
      <w:pPr>
        <w:pStyle w:val="Heading1"/>
        <w:keepNext/>
      </w:pPr>
      <w:r>
        <w:t>5. Parallel execution</w:t>
      </w:r>
    </w:p>
    <w:p>
      <w:r>
        <w:t>All three people begin immediately and work concurrently. Person C publishes the smoke-test manifest and experiment identifiers; Person A and Person B independently produce cache/utility and attack outputs using those identifiers; Person C continuously validates compatibility and merges completed results.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Person C publishes the shared smoke-test manifest before the final paired run.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Person A and Person B do not wait for each other after the manifest and cache schema are fixed.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 result enters the Monday report only when its reproduction command and limitations are recorded.</w:t>
      </w:r>
    </w:p>
    <w:p>
      <w:pPr>
        <w:pStyle w:val="Heading1"/>
        <w:keepNext/>
      </w:pPr>
      <w:r>
        <w:t>6. Metrics and experimental distinction</w:t>
      </w:r>
    </w:p>
    <w:p>
      <w:pPr>
        <w:pStyle w:val="Heading2"/>
        <w:keepNext/>
      </w:pPr>
      <w:r>
        <w:t>Privacy pipeline</w:t>
      </w:r>
    </w:p>
    <w:p>
      <w:r>
        <w:t>Capture an FP16 cache once, quantize the same tensors at each precision, and supply those representations to the attacker.</w:t>
      </w:r>
    </w:p>
    <w:p>
      <w:pPr>
        <w:pStyle w:val="Heading2"/>
        <w:keepNext/>
      </w:pPr>
      <w:r>
        <w:t>Utility pipeline</w:t>
      </w:r>
    </w:p>
    <w:p>
      <w:r>
        <w:t>Run autoregressive inference while attention actually reads the quantized cache. Post-hoc quantization of an unused cache cannot measure utility degradation.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80"/>
        <w:gridCol w:w="3180"/>
      </w:tblGrid>
      <w:tr>
        <w:tc>
          <w:tcPr>
            <w:tcW w:type="dxa" w:w="1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</w:rPr>
              <w:t>Dimension</w:t>
            </w:r>
          </w:p>
        </w:tc>
        <w:tc>
          <w:tcPr>
            <w:tcW w:type="dxa" w:w="438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</w:rPr>
              <w:t>Required measures</w:t>
            </w:r>
          </w:p>
        </w:tc>
        <w:tc>
          <w:tcPr>
            <w:tcW w:type="dxa" w:w="318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</w:rPr>
              <w:t>Why separate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Exact leakage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Token accuracy, sequence accuracy, edit distance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Tests literal recovery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Semantic leakage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Embedding similarity plus inspectable examples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Captures meaning after wording changes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Sensitive leakage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Attribute classification and secret-span recovery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Measures the privacy harm directly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Utility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Logit divergence, generation agreement, QA, retrieval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Separates privacy changes from model damage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Efficiency</w:t>
            </w:r>
          </w:p>
        </w:tc>
        <w:tc>
          <w:tcPr>
            <w:tcW w:type="dxa" w:w="4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Cache bytes, latency, throughput</w:t>
            </w:r>
          </w:p>
        </w:tc>
        <w:tc>
          <w:tcPr>
            <w:tcW w:type="dxa" w:w="31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color w:val="1F2937"/>
                <w:sz w:val="20"/>
              </w:rPr>
              <w:t>Confirms a real compression benefit</w:t>
            </w:r>
          </w:p>
        </w:tc>
      </w:tr>
    </w:tbl>
    <w:p>
      <w:pPr>
        <w:pStyle w:val="Heading1"/>
        <w:keepNext/>
      </w:pPr>
      <w:r>
        <w:t>7. Review gates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Protocol gate - no experiments before the model revision, threat model, cache schema, and dataset version are frozen.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FP16 gate - quantization results are not interpreted until the FP16 attack is reliable.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Adaptive-attack gate - naive degradation cannot be called a privacy benefit.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Utility gate - utility requires an actually used quantized cache.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color w:val="1F2937"/>
        </w:rPr>
        <w:t>Claim gate - confidence intervals, category results, and failure cases precede conclusions.</w:t>
      </w:r>
    </w:p>
    <w:p>
      <w:pPr>
        <w:pStyle w:val="Heading1"/>
        <w:keepNext/>
      </w:pPr>
      <w:r>
        <w:t>8. Repository workflow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Main branch: </w:t>
      </w:r>
      <w:r>
        <w:rPr>
          <w:rFonts w:ascii="Calibri" w:hAnsi="Calibri"/>
          <w:color w:val="1F2937"/>
        </w:rPr>
        <w:t>Reviewed integration only.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Person A branches: </w:t>
      </w:r>
      <w:r>
        <w:rPr>
          <w:rFonts w:ascii="Calibri" w:hAnsi="Calibri"/>
          <w:color w:val="1F2937"/>
        </w:rPr>
        <w:t>feat/quantization-*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Person B branches: </w:t>
      </w:r>
      <w:r>
        <w:rPr>
          <w:rFonts w:ascii="Calibri" w:hAnsi="Calibri"/>
          <w:color w:val="1F2937"/>
        </w:rPr>
        <w:t>feat/attacks-*</w:t>
      </w:r>
    </w:p>
    <w:p>
      <w:pPr>
        <w:spacing w:after="80"/>
      </w:pPr>
      <w:r>
        <w:rPr>
          <w:rFonts w:ascii="Calibri" w:hAnsi="Calibri"/>
          <w:b/>
          <w:color w:val="17365D"/>
        </w:rPr>
        <w:t xml:space="preserve">Person C branches: </w:t>
      </w:r>
      <w:r>
        <w:rPr>
          <w:rFonts w:ascii="Calibri" w:hAnsi="Calibri"/>
          <w:color w:val="1F2937"/>
        </w:rPr>
        <w:t>feat/evaluation-*</w:t>
      </w:r>
    </w:p>
    <w:p>
      <w:r>
        <w:t>Every experiment-changing pull request records the pinned revisions, seed, prompt-set version, cache schema, quantization parameters, inference/attack distinction, reproduction command, and verification performed.</w:t>
      </w:r>
    </w:p>
    <w:p>
      <w:pPr>
        <w:pStyle w:val="Heading1"/>
        <w:keepNext/>
      </w:pPr>
      <w:r>
        <w:t>9. Monday submission package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One end-to-end FP16 smoke test.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Controlled INT8 and INT4 conversion of the same caches.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At least one adaptive leakage attack across the available precisions.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An online quantized-cache utility smoke test, or an explicit blocker if integration is incomplete.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Per-sample machine-readable results and initial privacy/utility versus precision plots.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 concise limitations section separating completed results from planned work.</w:t>
      </w:r>
    </w:p>
    <w:p>
      <w:r>
        <w:rPr>
          <w:b/>
        </w:rPr>
        <w:t>This is a pilot submission. It does not need to prove a new defense by Monday.</w:t>
      </w:r>
    </w:p>
    <w:p>
      <w:pPr>
        <w:pStyle w:val="Heading1"/>
        <w:keepNext/>
      </w:pPr>
      <w:r>
        <w:t>10. Later mathematical direction</w:t>
      </w:r>
    </w:p>
    <w:p>
      <w:r>
        <w:t>Only after the pilot reveals a stable phenomenon should the group optimize a privacy-aware quantizer. A candidate constrained objective is: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7365D"/>
                <w:sz w:val="22"/>
              </w:rPr>
              <w:t>min_Q  L_utility(Q) + lambda_c R(Q) - lambda_p L_adaptive_attack(Q)</w:t>
            </w:r>
          </w:p>
        </w:tc>
      </w:tr>
    </w:tbl>
    <w:p>
      <w:r>
        <w:t>Here R(Q) is bitrate and the privacy term is evaluated against a strong adaptive attacker. Any proposed method must be compared with simple uniform, per-channel, and per-head quantization at matched bitrate and utility.</w:t>
      </w:r>
    </w:p>
    <w:p>
      <w:pPr>
        <w:pStyle w:val="Heading1"/>
        <w:keepNext/>
      </w:pPr>
      <w:r>
        <w:t>11. Immediate kickoff checklist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Assign names to Persons A, B, and C.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Pin the model and tokenizer revisions.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Approve the synthetic-data policy and pilot size.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Finalize the cache bundle schema.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Select the first FP16 reconstruction attack.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Create one end-to-end smoke test using five prompts.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color w:val="1F2937"/>
        </w:rPr>
        <w:t>Hold the first integration review after the smoke test passes.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Research workplan  | 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KV CACHE PRIVACY RESEARCH  |  INTERNAL WORKPLAN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 Cache Quantization x Privacy - Three-Person Research Workplan</dc:title>
  <dc:subject>Three-person KV-cache privacy and utility research plan due August 31, 2026</dc:subject>
  <dc:creator>KV Cache Research Group</dc:creator>
  <cp:keywords>KV cache, quantization, privacy, leakage, utility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