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0078D4" w:sz="1"/>
              <w:left w:val="single" w:color="0078D4" w:sz="1"/>
              <w:bottom w:val="single" w:color="0078D4" w:sz="1"/>
              <w:right w:val="single" w:color="0078D4" w:sz="1"/>
            </w:tcBorders>
            <w:shd w:fill="0078D4" w:val="clear"/>
            <w:tcMar>
              <w:top w:type="dxa" w:w="40"/>
              <w:left w:type="dxa" w:w="120"/>
              <w:bottom w:type="dxa" w:w="40"/>
              <w:right w:type="dxa" w:w="120"/>
            </w:tcMar>
          </w:tcPr>
          <w:p>
            <w:pPr>
              <w:jc w:val="center"/>
            </w:pPr>
            <w:r>
              <w:rPr>
                <w:rFonts w:ascii="Arial" w:cs="Arial" w:eastAsia="Arial" w:hAnsi="Arial"/>
                <w:b/>
                <w:bCs/>
                <w:color w:val="FFFFFF"/>
                <w:sz w:val="16"/>
                <w:szCs w:val="16"/>
              </w:rPr>
              <w:t xml:space="preserve">DOCUMENT DE CONCEPTION</w:t>
            </w:r>
          </w:p>
        </w:tc>
      </w:tr>
    </w:tbl>
    <w:p>
      <w:pPr>
        <w:spacing w:after="400"/>
      </w:pPr>
    </w:p>
    <w:p>
      <w:r>
        <w:rPr>
          <w:rFonts w:ascii="Arial" w:cs="Arial" w:eastAsia="Arial" w:hAnsi="Arial"/>
          <w:b/>
          <w:bCs/>
          <w:color w:val="0F1B2D"/>
          <w:sz w:val="52"/>
          <w:szCs w:val="52"/>
        </w:rPr>
        <w:t xml:space="preserve">Phishing Detection Agent</w:t>
      </w:r>
    </w:p>
    <w:p>
      <w:pPr>
        <w:spacing w:after="80"/>
      </w:pPr>
    </w:p>
    <w:p>
      <w:r>
        <w:rPr>
          <w:rFonts w:ascii="Arial" w:cs="Arial" w:eastAsia="Arial" w:hAnsi="Arial"/>
          <w:color w:val="6B7280"/>
          <w:sz w:val="24"/>
          <w:szCs w:val="24"/>
        </w:rPr>
        <w:t xml:space="preserve">Analyse automatisee des emails via Microsoft Graph API</w:t>
      </w:r>
    </w:p>
    <w:p>
      <w:pPr>
        <w:spacing w:after="200"/>
      </w:pPr>
    </w:p>
    <w:p>
      <w:pPr>
        <w:pBdr>
          <w:bottom w:val="single" w:color="0078D4" w:sz="8" w:space="1"/>
        </w:pBdr>
      </w:pP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B7280"/>
                <w:sz w:val="18"/>
                <w:szCs w:val="18"/>
              </w:rPr>
              <w:t xml:space="preserve">Projet</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74151"/>
                <w:sz w:val="18"/>
                <w:szCs w:val="18"/>
              </w:rPr>
              <w:t xml:space="preserve">Securite Email - Microsoft 365</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B7280"/>
                <w:sz w:val="18"/>
                <w:szCs w:val="18"/>
              </w:rPr>
              <w:t xml:space="preserve">Version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74151"/>
                <w:sz w:val="18"/>
                <w:szCs w:val="18"/>
              </w:rPr>
              <w:t xml:space="preserve">1.0 - Phase de conception</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B7280"/>
                <w:sz w:val="18"/>
                <w:szCs w:val="18"/>
              </w:rPr>
              <w:t xml:space="preserve">Statut</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E8590C"/>
                <w:sz w:val="18"/>
                <w:szCs w:val="18"/>
              </w:rPr>
              <w:t xml:space="preserve">En cours de developpement</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6B7280"/>
                <w:sz w:val="18"/>
                <w:szCs w:val="18"/>
              </w:rPr>
              <w:t xml:space="preserve">Environnement</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74151"/>
                <w:sz w:val="18"/>
                <w:szCs w:val="18"/>
              </w:rPr>
              <w:t xml:space="preserve">Microsoft 365 / Azure Entra ID</w:t>
            </w:r>
          </w:p>
        </w:tc>
      </w:tr>
    </w:tbl>
    <w:p>
      <w:pPr>
        <w:spacing w:after="600"/>
      </w:pPr>
    </w:p>
    <w:p>
      <w:r>
        <w:rPr>
          <w:rFonts w:ascii="Arial" w:cs="Arial" w:eastAsia="Arial" w:hAnsi="Arial"/>
          <w:i/>
          <w:iCs/>
          <w:color w:val="6B7280"/>
          <w:sz w:val="16"/>
          <w:szCs w:val="16"/>
        </w:rPr>
        <w:t xml:space="preserve">Document confidentiel - Usage interne uniquement</w:t>
      </w:r>
    </w:p>
    <w:p>
      <w:pPr>
        <w:sectPr>
          <w:pgSz w:w="11906" w:h="16838" w:orient="portrait"/>
          <w:pgMar w:top="1440" w:right="1440" w:bottom="1440" w:left="1440" w:header="708" w:footer="708" w:gutter="0"/>
          <w:pgNumType/>
          <w:docGrid w:linePitch="360"/>
        </w:sectPr>
      </w:pPr>
    </w:p>
    <w:p>
      <w:pPr>
        <w:pStyle w:val="Heading1"/>
        <w:pBdr>
          <w:bottom w:val="single" w:color="0078D4" w:sz="6" w:space="4"/>
        </w:pBdr>
        <w:spacing w:before="360" w:after="200"/>
      </w:pPr>
      <w:r>
        <w:rPr>
          <w:rFonts w:ascii="Arial" w:cs="Arial" w:eastAsia="Arial" w:hAnsi="Arial"/>
          <w:b/>
          <w:bCs/>
          <w:color w:val="0078D4"/>
          <w:sz w:val="28"/>
          <w:szCs w:val="28"/>
        </w:rPr>
        <w:t xml:space="preserve">1. Contexte et objectifs</w:t>
      </w:r>
    </w:p>
    <w:p>
      <w:pPr>
        <w:pStyle w:val="Heading2"/>
        <w:spacing w:before="240" w:after="120"/>
      </w:pPr>
      <w:r>
        <w:rPr>
          <w:rFonts w:ascii="Arial" w:cs="Arial" w:eastAsia="Arial" w:hAnsi="Arial"/>
          <w:b/>
          <w:bCs/>
          <w:color w:val="0F1B2D"/>
          <w:sz w:val="24"/>
          <w:szCs w:val="24"/>
        </w:rPr>
        <w:t xml:space="preserve">1.1 Problematique</w:t>
      </w:r>
    </w:p>
    <w:p>
      <w:pPr>
        <w:spacing w:after="120" w:line="300"/>
      </w:pPr>
      <w:r>
        <w:rPr>
          <w:rFonts w:ascii="Arial" w:cs="Arial" w:eastAsia="Arial" w:hAnsi="Arial"/>
          <w:color w:val="374151"/>
          <w:sz w:val="20"/>
          <w:szCs w:val="20"/>
        </w:rPr>
        <w:t xml:space="preserve">Le phishing constitue le vecteur d'attaque principal en cybersecurite, representant plus de 90% des incidents de securite en entreprise selon les rapports Verizon DBIR. Dans un environnement Microsoft 365, les emails transitent par Exchange Online sans qu'aucune visibilite fine ne soit offerte nativement sur le volume et la nature des tentatives de phishing recues.</w:t>
      </w:r>
    </w:p>
    <w:p>
      <w:pPr>
        <w:spacing w:after="120" w:line="300"/>
      </w:pPr>
      <w:r>
        <w:rPr>
          <w:rFonts w:ascii="Arial" w:cs="Arial" w:eastAsia="Arial" w:hAnsi="Arial"/>
          <w:color w:val="374151"/>
          <w:sz w:val="20"/>
          <w:szCs w:val="20"/>
        </w:rPr>
        <w:t xml:space="preserve">L'organisation ne dispose actuellement d'aucun outil de mesure dedie pour quantifier les tentatives de phishing recues sur l'ensemble des boites mail. Cette absence de metriques empeche toute prise de decision eclairee sur le deploiement d'une solution de protection avancee comme Microsoft Defender for Office 365 (Threat Explorer).</w:t>
      </w:r>
    </w:p>
    <w:p>
      <w:pPr>
        <w:pStyle w:val="Heading2"/>
        <w:spacing w:before="240" w:after="120"/>
      </w:pPr>
      <w:r>
        <w:rPr>
          <w:rFonts w:ascii="Arial" w:cs="Arial" w:eastAsia="Arial" w:hAnsi="Arial"/>
          <w:b/>
          <w:bCs/>
          <w:color w:val="0F1B2D"/>
          <w:sz w:val="24"/>
          <w:szCs w:val="24"/>
        </w:rPr>
        <w:t xml:space="preserve">1.2 Objectif du projet</w:t>
      </w:r>
    </w:p>
    <w:p>
      <w:pPr>
        <w:spacing w:after="120" w:line="300"/>
      </w:pPr>
      <w:r>
        <w:rPr>
          <w:rFonts w:ascii="Arial" w:cs="Arial" w:eastAsia="Arial" w:hAnsi="Arial"/>
          <w:color w:val="374151"/>
          <w:sz w:val="20"/>
          <w:szCs w:val="20"/>
        </w:rPr>
        <w:t xml:space="preserve">Developper un agent Python automatise capable de scanner l'ensemble des boites mail du tenant Microsoft 365 via l'API Graph, de detecter les emails suspects a l'aide d'un moteur heuristique, et de produire un rapport chiffre justifiant le besoin d'une solution Threat Explorer.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78D4" w:sz="1"/>
              <w:left w:val="single" w:color="0078D4" w:sz="6"/>
              <w:bottom w:val="single" w:color="0078D4" w:sz="1"/>
              <w:right w:val="single" w:color="0078D4" w:sz="1"/>
            </w:tcBorders>
            <w:shd w:fill="E8F4FD" w:val="clear"/>
            <w:tcMar>
              <w:top w:type="dxa" w:w="100"/>
              <w:left w:type="dxa" w:w="160"/>
              <w:bottom w:type="dxa" w:w="100"/>
              <w:right w:type="dxa" w:w="160"/>
            </w:tcMar>
          </w:tcPr>
          <w:p>
            <w:r>
              <w:rPr>
                <w:rFonts w:ascii="Arial" w:cs="Arial" w:eastAsia="Arial" w:hAnsi="Arial"/>
                <w:b/>
                <w:bCs/>
                <w:color w:val="0078D4"/>
                <w:sz w:val="18"/>
                <w:szCs w:val="18"/>
              </w:rPr>
              <w:t xml:space="preserve">Objectif strategique : </w:t>
            </w:r>
            <w:r>
              <w:rPr>
                <w:rFonts w:ascii="Arial" w:cs="Arial" w:eastAsia="Arial" w:hAnsi="Arial"/>
                <w:color w:val="374151"/>
                <w:sz w:val="18"/>
                <w:szCs w:val="18"/>
              </w:rPr>
              <w:t xml:space="preserve">Fournir des donnees factuelles a la DSI pour justifier l'investissement dans une solution de protection email avancee.</w:t>
            </w:r>
          </w:p>
        </w:tc>
      </w:tr>
    </w:tbl>
    <w:p>
      <w:pPr>
        <w:pStyle w:val="Heading2"/>
        <w:spacing w:before="240" w:after="120"/>
      </w:pPr>
      <w:r>
        <w:rPr>
          <w:rFonts w:ascii="Arial" w:cs="Arial" w:eastAsia="Arial" w:hAnsi="Arial"/>
          <w:b/>
          <w:bCs/>
          <w:color w:val="0F1B2D"/>
          <w:sz w:val="24"/>
          <w:szCs w:val="24"/>
        </w:rPr>
        <w:t xml:space="preserve">1.3 Perimetre</w:t>
      </w:r>
    </w:p>
    <w:p>
      <w:pPr>
        <w:pStyle w:val="ListParagraph"/>
        <w:numPr>
          <w:ilvl w:val="0"/>
          <w:numId w:val="2"/>
        </w:numPr>
        <w:spacing w:after="60" w:line="280"/>
      </w:pPr>
      <w:r>
        <w:rPr>
          <w:rFonts w:ascii="Arial" w:cs="Arial" w:eastAsia="Arial" w:hAnsi="Arial"/>
          <w:color w:val="374151"/>
          <w:sz w:val="20"/>
          <w:szCs w:val="20"/>
        </w:rPr>
        <w:t xml:space="preserve">Toutes les boites mail du tenant Microsoft 365</w:t>
      </w:r>
    </w:p>
    <w:p>
      <w:pPr>
        <w:pStyle w:val="ListParagraph"/>
        <w:numPr>
          <w:ilvl w:val="0"/>
          <w:numId w:val="2"/>
        </w:numPr>
        <w:spacing w:after="60" w:line="280"/>
      </w:pPr>
      <w:r>
        <w:rPr>
          <w:rFonts w:ascii="Arial" w:cs="Arial" w:eastAsia="Arial" w:hAnsi="Arial"/>
          <w:color w:val="374151"/>
          <w:sz w:val="20"/>
          <w:szCs w:val="20"/>
        </w:rPr>
        <w:t xml:space="preserve">Analyse des headers techniques (SPF, DKIM, DMARC, Reply-To)</w:t>
      </w:r>
    </w:p>
    <w:p>
      <w:pPr>
        <w:pStyle w:val="ListParagraph"/>
        <w:numPr>
          <w:ilvl w:val="0"/>
          <w:numId w:val="2"/>
        </w:numPr>
        <w:spacing w:after="60" w:line="280"/>
      </w:pPr>
      <w:r>
        <w:rPr>
          <w:rFonts w:ascii="Arial" w:cs="Arial" w:eastAsia="Arial" w:hAnsi="Arial"/>
          <w:color w:val="374151"/>
          <w:sz w:val="20"/>
          <w:szCs w:val="20"/>
        </w:rPr>
        <w:t xml:space="preserve">Detection par mots-cles et heuristiques</w:t>
      </w:r>
    </w:p>
    <w:p>
      <w:pPr>
        <w:pStyle w:val="ListParagraph"/>
        <w:numPr>
          <w:ilvl w:val="0"/>
          <w:numId w:val="2"/>
        </w:numPr>
        <w:spacing w:after="60" w:line="280"/>
      </w:pPr>
      <w:r>
        <w:rPr>
          <w:rFonts w:ascii="Arial" w:cs="Arial" w:eastAsia="Arial" w:hAnsi="Arial"/>
          <w:color w:val="374151"/>
          <w:sz w:val="20"/>
          <w:szCs w:val="20"/>
        </w:rPr>
        <w:t xml:space="preserve">Aucune lecture du contenu sensible des emails (corps, pieces jointes)</w:t>
      </w:r>
    </w:p>
    <w:p>
      <w:pPr>
        <w:pStyle w:val="ListParagraph"/>
        <w:numPr>
          <w:ilvl w:val="0"/>
          <w:numId w:val="2"/>
        </w:numPr>
        <w:spacing w:after="60" w:line="280"/>
      </w:pPr>
      <w:r>
        <w:rPr>
          <w:rFonts w:ascii="Arial" w:cs="Arial" w:eastAsia="Arial" w:hAnsi="Arial"/>
          <w:color w:val="374151"/>
          <w:sz w:val="20"/>
          <w:szCs w:val="20"/>
        </w:rPr>
        <w:t xml:space="preserve">Rapport statistique agrege sans donnees personnelles</w:t>
      </w:r>
    </w:p>
    <w:p>
      <w:r>
        <w:br w:type="page"/>
      </w:r>
    </w:p>
    <w:p>
      <w:pPr>
        <w:pStyle w:val="Heading1"/>
        <w:pBdr>
          <w:bottom w:val="single" w:color="0078D4" w:sz="6" w:space="4"/>
        </w:pBdr>
        <w:spacing w:before="360" w:after="200"/>
      </w:pPr>
      <w:r>
        <w:rPr>
          <w:rFonts w:ascii="Arial" w:cs="Arial" w:eastAsia="Arial" w:hAnsi="Arial"/>
          <w:b/>
          <w:bCs/>
          <w:color w:val="0078D4"/>
          <w:sz w:val="28"/>
          <w:szCs w:val="28"/>
        </w:rPr>
        <w:t xml:space="preserve">2. Base de code existante</w:t>
      </w:r>
    </w:p>
    <w:p>
      <w:pPr>
        <w:spacing w:after="120" w:line="300"/>
      </w:pPr>
      <w:r>
        <w:rPr>
          <w:rFonts w:ascii="Arial" w:cs="Arial" w:eastAsia="Arial" w:hAnsi="Arial"/>
          <w:color w:val="374151"/>
          <w:sz w:val="20"/>
          <w:szCs w:val="20"/>
        </w:rPr>
        <w:t xml:space="preserve">Le projet s'appuie sur une base de code Python deja fonctionnelle, concue initialement pour l'analyse de fichiers .eml en local. Cette base constitue le socle a partir duquel l'agent Graph API sera construit. Chaque module existant sera adapte et enrichi pour fonctionner avec les donnees issues de l'API Microsoft Graph.</w:t>
      </w:r>
    </w:p>
    <w:p>
      <w:pPr>
        <w:pStyle w:val="Heading2"/>
        <w:spacing w:before="240" w:after="120"/>
      </w:pPr>
      <w:r>
        <w:rPr>
          <w:rFonts w:ascii="Arial" w:cs="Arial" w:eastAsia="Arial" w:hAnsi="Arial"/>
          <w:b/>
          <w:bCs/>
          <w:color w:val="0F1B2D"/>
          <w:sz w:val="24"/>
          <w:szCs w:val="24"/>
        </w:rPr>
        <w:t xml:space="preserve">2.1 Architecture modulaire actuelle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c>
          <w:tcPr>
            <w:tcW w:type="dxa" w:w="22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26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Fichier source</w:t>
            </w:r>
          </w:p>
        </w:tc>
        <w:tc>
          <w:tcPr>
            <w:tcW w:type="dxa" w:w="4226"/>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Responsabilite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18"/>
                <w:szCs w:val="18"/>
              </w:rPr>
              <w:t xml:space="preserve">Point d'entree</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0078D4"/>
                <w:sz w:val="18"/>
                <w:szCs w:val="18"/>
              </w:rPr>
              <w:t xml:space="preserve">__main__.py</w:t>
            </w:r>
          </w:p>
        </w:tc>
        <w:tc>
          <w:tcPr>
            <w:tcW w:type="dxa" w:w="42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Orchestration du pipeline : parsing, detection, scoring, export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1A1A2E"/>
                <w:sz w:val="18"/>
                <w:szCs w:val="18"/>
              </w:rPr>
              <w:t xml:space="preserve">Parser email</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0078D4"/>
                <w:sz w:val="18"/>
                <w:szCs w:val="18"/>
              </w:rPr>
              <w:t xml:space="preserve">email_parser.py</w:t>
            </w:r>
          </w:p>
        </w:tc>
        <w:tc>
          <w:tcPr>
            <w:tcW w:type="dxa" w:w="42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Extraction des headers, body, URLs, IPs et pieces jointes depuis un fichier .eml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18"/>
                <w:szCs w:val="18"/>
              </w:rPr>
              <w:t xml:space="preserve">Moteur de detection</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0078D4"/>
                <w:sz w:val="18"/>
                <w:szCs w:val="18"/>
              </w:rPr>
              <w:t xml:space="preserve">detection_rules.py</w:t>
            </w:r>
          </w:p>
        </w:tc>
        <w:tc>
          <w:tcPr>
            <w:tcW w:type="dxa" w:w="42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Classe MoteurDetection : analyse expediteur, URLs suspectes, mots-cles phishing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1A1A2E"/>
                <w:sz w:val="18"/>
                <w:szCs w:val="18"/>
              </w:rPr>
              <w:t xml:space="preserve">Scoring</w:t>
            </w:r>
          </w:p>
        </w:tc>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0078D4"/>
                <w:sz w:val="18"/>
                <w:szCs w:val="18"/>
              </w:rPr>
              <w:t xml:space="preserve">risk_scorer.py</w:t>
            </w:r>
          </w:p>
        </w:tc>
        <w:tc>
          <w:tcPr>
            <w:tcW w:type="dxa" w:w="42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Calcul du score brut, normalisation 0-100, determination du niveau de risque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18"/>
                <w:szCs w:val="18"/>
              </w:rPr>
              <w:t xml:space="preserve">Export</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0078D4"/>
                <w:sz w:val="18"/>
                <w:szCs w:val="18"/>
              </w:rPr>
              <w:t xml:space="preserve">exporters.py</w:t>
            </w:r>
          </w:p>
        </w:tc>
        <w:tc>
          <w:tcPr>
            <w:tcW w:type="dxa" w:w="42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Generation du rapport texte avec details de l'analyse</w:t>
            </w:r>
          </w:p>
        </w:tc>
      </w:tr>
    </w:tbl>
    <w:p>
      <w:pPr>
        <w:pStyle w:val="Heading2"/>
        <w:spacing w:before="240" w:after="120"/>
      </w:pPr>
      <w:r>
        <w:rPr>
          <w:rFonts w:ascii="Arial" w:cs="Arial" w:eastAsia="Arial" w:hAnsi="Arial"/>
          <w:b/>
          <w:bCs/>
          <w:color w:val="0F1B2D"/>
          <w:sz w:val="24"/>
          <w:szCs w:val="24"/>
        </w:rPr>
        <w:t xml:space="preserve">2.2 Pipeline d'analyse actuel</w:t>
      </w:r>
    </w:p>
    <w:p>
      <w:pPr>
        <w:spacing w:after="120" w:line="300"/>
      </w:pPr>
      <w:r>
        <w:rPr>
          <w:rFonts w:ascii="Arial" w:cs="Arial" w:eastAsia="Arial" w:hAnsi="Arial"/>
          <w:color w:val="374151"/>
          <w:sz w:val="20"/>
          <w:szCs w:val="20"/>
        </w:rPr>
        <w:t xml:space="preserve">Le traitement d'un email suit un pipeline sequentiel en 4 etapes :</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0"/>
        <w:gridCol w:w="2000"/>
        <w:gridCol w:w="500"/>
        <w:gridCol w:w="2000"/>
        <w:gridCol w:w="500"/>
        <w:gridCol w:w="1026"/>
      </w:tblGrid>
      <w:tr>
        <w:tc>
          <w:tcPr>
            <w:tcW w:type="dxa" w:w="2000"/>
            <w:tcBorders>
              <w:top w:val="single" w:color="0078D4" w:sz="2"/>
              <w:left w:val="single" w:color="0078D4" w:sz="2"/>
              <w:bottom w:val="single" w:color="0078D4" w:sz="2"/>
              <w:right w:val="single" w:color="0078D4" w:sz="2"/>
            </w:tcBorders>
            <w:shd w:fill="E8F4FD" w:val="clear"/>
            <w:tcMar>
              <w:top w:type="dxa" w:w="80"/>
              <w:left w:type="dxa" w:w="120"/>
              <w:bottom w:type="dxa" w:w="80"/>
              <w:right w:type="dxa" w:w="120"/>
            </w:tcMar>
          </w:tcPr>
          <w:p>
            <w:pPr>
              <w:jc w:val="center"/>
            </w:pPr>
            <w:r>
              <w:rPr>
                <w:rFonts w:ascii="Arial" w:cs="Arial" w:eastAsia="Arial" w:hAnsi="Arial"/>
                <w:b/>
                <w:bCs/>
                <w:color w:val="0078D4"/>
                <w:sz w:val="18"/>
                <w:szCs w:val="18"/>
              </w:rPr>
              <w:t xml:space="preserve">1. Parsing</w:t>
            </w:r>
          </w:p>
          <w:p>
            <w:pPr>
              <w:jc w:val="center"/>
            </w:pPr>
            <w:r>
              <w:rPr>
                <w:rFonts w:ascii="Arial" w:cs="Arial" w:eastAsia="Arial" w:hAnsi="Arial"/>
                <w:color w:val="6B7280"/>
                <w:sz w:val="16"/>
                <w:szCs w:val="16"/>
              </w:rPr>
              <w:t xml:space="preserve">EmailParser</w:t>
            </w:r>
          </w:p>
        </w:tc>
        <w:tc>
          <w:tcPr>
            <w:tcW w:type="dxa" w:w="500"/>
            <w:tcBorders>
              <w:top w:val="none" w:sz="0"/>
              <w:left w:val="none" w:sz="0"/>
              <w:bottom w:val="none" w:sz="0"/>
              <w:right w:val="none" w:sz="0"/>
            </w:tcBorders>
          </w:tcPr>
          <w:p>
            <w:pPr>
              <w:jc w:val="center"/>
            </w:pPr>
            <w:r>
              <w:rPr>
                <w:rFonts w:ascii="Arial" w:cs="Arial" w:eastAsia="Arial" w:hAnsi="Arial"/>
                <w:color w:val="0078D4"/>
                <w:sz w:val="24"/>
                <w:szCs w:val="24"/>
              </w:rPr>
              <w:t xml:space="preserve">→</w:t>
            </w:r>
          </w:p>
        </w:tc>
        <w:tc>
          <w:tcPr>
            <w:tcW w:type="dxa" w:w="2000"/>
            <w:tcBorders>
              <w:top w:val="single" w:color="E8590C" w:sz="2"/>
              <w:left w:val="single" w:color="E8590C" w:sz="2"/>
              <w:bottom w:val="single" w:color="E8590C" w:sz="2"/>
              <w:right w:val="single" w:color="E8590C" w:sz="2"/>
            </w:tcBorders>
            <w:shd w:fill="FFF3E0" w:val="clear"/>
            <w:tcMar>
              <w:top w:type="dxa" w:w="80"/>
              <w:left w:type="dxa" w:w="120"/>
              <w:bottom w:type="dxa" w:w="80"/>
              <w:right w:type="dxa" w:w="120"/>
            </w:tcMar>
          </w:tcPr>
          <w:p>
            <w:pPr>
              <w:jc w:val="center"/>
            </w:pPr>
            <w:r>
              <w:rPr>
                <w:rFonts w:ascii="Arial" w:cs="Arial" w:eastAsia="Arial" w:hAnsi="Arial"/>
                <w:b/>
                <w:bCs/>
                <w:color w:val="E8590C"/>
                <w:sz w:val="18"/>
                <w:szCs w:val="18"/>
              </w:rPr>
              <w:t xml:space="preserve">2. Detection</w:t>
            </w:r>
          </w:p>
          <w:p>
            <w:pPr>
              <w:jc w:val="center"/>
            </w:pPr>
            <w:r>
              <w:rPr>
                <w:rFonts w:ascii="Arial" w:cs="Arial" w:eastAsia="Arial" w:hAnsi="Arial"/>
                <w:color w:val="6B7280"/>
                <w:sz w:val="16"/>
                <w:szCs w:val="16"/>
              </w:rPr>
              <w:t xml:space="preserve">MoteurDetection</w:t>
            </w:r>
          </w:p>
        </w:tc>
        <w:tc>
          <w:tcPr>
            <w:tcW w:type="dxa" w:w="500"/>
            <w:tcBorders>
              <w:top w:val="none" w:sz="0"/>
              <w:left w:val="none" w:sz="0"/>
              <w:bottom w:val="none" w:sz="0"/>
              <w:right w:val="none" w:sz="0"/>
            </w:tcBorders>
          </w:tcPr>
          <w:p>
            <w:pPr>
              <w:jc w:val="center"/>
            </w:pPr>
            <w:r>
              <w:rPr>
                <w:rFonts w:ascii="Arial" w:cs="Arial" w:eastAsia="Arial" w:hAnsi="Arial"/>
                <w:color w:val="E8590C"/>
                <w:sz w:val="24"/>
                <w:szCs w:val="24"/>
              </w:rPr>
              <w:t xml:space="preserve">→</w:t>
            </w:r>
          </w:p>
        </w:tc>
        <w:tc>
          <w:tcPr>
            <w:tcW w:type="dxa" w:w="2000"/>
            <w:tcBorders>
              <w:top w:val="single" w:color="E8590C" w:sz="2"/>
              <w:left w:val="single" w:color="E8590C" w:sz="2"/>
              <w:bottom w:val="single" w:color="E8590C" w:sz="2"/>
              <w:right w:val="single" w:color="E8590C" w:sz="2"/>
            </w:tcBorders>
            <w:shd w:fill="FFF3E0" w:val="clear"/>
            <w:tcMar>
              <w:top w:type="dxa" w:w="80"/>
              <w:left w:type="dxa" w:w="120"/>
              <w:bottom w:type="dxa" w:w="80"/>
              <w:right w:type="dxa" w:w="120"/>
            </w:tcMar>
          </w:tcPr>
          <w:p>
            <w:pPr>
              <w:jc w:val="center"/>
            </w:pPr>
            <w:r>
              <w:rPr>
                <w:rFonts w:ascii="Arial" w:cs="Arial" w:eastAsia="Arial" w:hAnsi="Arial"/>
                <w:b/>
                <w:bCs/>
                <w:color w:val="E8590C"/>
                <w:sz w:val="18"/>
                <w:szCs w:val="18"/>
              </w:rPr>
              <w:t xml:space="preserve">3. Scoring</w:t>
            </w:r>
          </w:p>
          <w:p>
            <w:pPr>
              <w:jc w:val="center"/>
            </w:pPr>
            <w:r>
              <w:rPr>
                <w:rFonts w:ascii="Arial" w:cs="Arial" w:eastAsia="Arial" w:hAnsi="Arial"/>
                <w:color w:val="6B7280"/>
                <w:sz w:val="16"/>
                <w:szCs w:val="16"/>
              </w:rPr>
              <w:t xml:space="preserve">RiskScorer</w:t>
            </w:r>
          </w:p>
        </w:tc>
        <w:tc>
          <w:tcPr>
            <w:tcW w:type="dxa" w:w="500"/>
            <w:tcBorders>
              <w:top w:val="none" w:sz="0"/>
              <w:left w:val="none" w:sz="0"/>
              <w:bottom w:val="none" w:sz="0"/>
              <w:right w:val="none" w:sz="0"/>
            </w:tcBorders>
          </w:tcPr>
          <w:p>
            <w:pPr>
              <w:jc w:val="center"/>
            </w:pPr>
            <w:r>
              <w:rPr>
                <w:rFonts w:ascii="Arial" w:cs="Arial" w:eastAsia="Arial" w:hAnsi="Arial"/>
                <w:color w:val="2F9E44"/>
                <w:sz w:val="24"/>
                <w:szCs w:val="24"/>
              </w:rPr>
              <w:t xml:space="preserve">→</w:t>
            </w:r>
          </w:p>
        </w:tc>
        <w:tc>
          <w:tcPr>
            <w:tcW w:type="dxa" w:w="1026"/>
            <w:tcBorders>
              <w:top w:val="single" w:color="2F9E44" w:sz="2"/>
              <w:left w:val="single" w:color="2F9E44" w:sz="2"/>
              <w:bottom w:val="single" w:color="2F9E44" w:sz="2"/>
              <w:right w:val="single" w:color="2F9E44" w:sz="2"/>
            </w:tcBorders>
            <w:shd w:fill="E8F5E9" w:val="clear"/>
            <w:tcMar>
              <w:top w:type="dxa" w:w="80"/>
              <w:left w:type="dxa" w:w="120"/>
              <w:bottom w:type="dxa" w:w="80"/>
              <w:right w:type="dxa" w:w="120"/>
            </w:tcMar>
          </w:tcPr>
          <w:p>
            <w:pPr>
              <w:jc w:val="center"/>
            </w:pPr>
            <w:r>
              <w:rPr>
                <w:rFonts w:ascii="Arial" w:cs="Arial" w:eastAsia="Arial" w:hAnsi="Arial"/>
                <w:b/>
                <w:bCs/>
                <w:color w:val="2F9E44"/>
                <w:sz w:val="18"/>
                <w:szCs w:val="18"/>
              </w:rPr>
              <w:t xml:space="preserve">4. Export</w:t>
            </w:r>
          </w:p>
          <w:p>
            <w:pPr>
              <w:jc w:val="center"/>
            </w:pPr>
            <w:r>
              <w:rPr>
                <w:rFonts w:ascii="Arial" w:cs="Arial" w:eastAsia="Arial" w:hAnsi="Arial"/>
                <w:color w:val="6B7280"/>
                <w:sz w:val="16"/>
                <w:szCs w:val="16"/>
              </w:rPr>
              <w:t xml:space="preserve">Rapport</w:t>
            </w:r>
          </w:p>
        </w:tc>
      </w:tr>
    </w:tbl>
    <w:p>
      <w:pPr>
        <w:spacing w:after="200"/>
      </w:pPr>
    </w:p>
    <w:p>
      <w:pPr>
        <w:pStyle w:val="Heading2"/>
        <w:spacing w:before="240" w:after="120"/>
      </w:pPr>
      <w:r>
        <w:rPr>
          <w:rFonts w:ascii="Arial" w:cs="Arial" w:eastAsia="Arial" w:hAnsi="Arial"/>
          <w:b/>
          <w:bCs/>
          <w:color w:val="0F1B2D"/>
          <w:sz w:val="24"/>
          <w:szCs w:val="24"/>
        </w:rPr>
        <w:t xml:space="preserve">2.3 Moteur de detection : regles implementees</w:t>
      </w:r>
    </w:p>
    <w:p>
      <w:pPr>
        <w:spacing w:after="120" w:line="300"/>
      </w:pPr>
      <w:r>
        <w:rPr>
          <w:rFonts w:ascii="Arial" w:cs="Arial" w:eastAsia="Arial" w:hAnsi="Arial"/>
          <w:color w:val="374151"/>
          <w:sz w:val="20"/>
          <w:szCs w:val="20"/>
        </w:rPr>
        <w:t xml:space="preserve">Le moteur de detection (MoteurDetection) applique trois categories de verification sur chaque email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626"/>
      </w:tblGrid>
      <w:tr>
        <w:tc>
          <w:tcPr>
            <w:tcW w:type="dxa" w:w="22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Categorie</w:t>
            </w:r>
          </w:p>
        </w:tc>
        <w:tc>
          <w:tcPr>
            <w:tcW w:type="dxa" w:w="24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Verification</w:t>
            </w:r>
          </w:p>
        </w:tc>
        <w:tc>
          <w:tcPr>
            <w:tcW w:type="dxa" w:w="18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Severite</w:t>
            </w:r>
          </w:p>
        </w:tc>
        <w:tc>
          <w:tcPr>
            <w:tcW w:type="dxa" w:w="2626"/>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Logique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18"/>
                <w:szCs w:val="18"/>
              </w:rPr>
              <w:t xml:space="preserve">Expediteur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Domaine suspect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E8590C"/>
                <w:sz w:val="18"/>
                <w:szCs w:val="18"/>
              </w:rPr>
              <w:t xml:space="preserve">Moyenne (+20 pts)</w:t>
            </w:r>
          </w:p>
        </w:tc>
        <w:tc>
          <w:tcPr>
            <w:tcW w:type="dxa" w:w="26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Domaine avec &gt;2 tirets ou &gt;3 chiffres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1A1A2E"/>
                <w:sz w:val="18"/>
                <w:szCs w:val="18"/>
              </w:rPr>
              <w:t xml:space="preserve">Expediteur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Reply-To different du From</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C62828"/>
                <w:sz w:val="18"/>
                <w:szCs w:val="18"/>
              </w:rPr>
              <w:t xml:space="preserve">Haute (+40 pts)</w:t>
            </w:r>
          </w:p>
        </w:tc>
        <w:tc>
          <w:tcPr>
            <w:tcW w:type="dxa" w:w="26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Indicateur fort d'usurpation d'identite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18"/>
                <w:szCs w:val="18"/>
              </w:rPr>
              <w:t xml:space="preserve">URLs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URL raccourcie detectee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E8590C"/>
                <w:sz w:val="18"/>
                <w:szCs w:val="18"/>
              </w:rPr>
              <w:t xml:space="preserve">Moyenne (+20 pts)</w:t>
            </w:r>
          </w:p>
        </w:tc>
        <w:tc>
          <w:tcPr>
            <w:tcW w:type="dxa" w:w="26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bit.ly, tinyurl, t.co, goo.gl</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1A1A2E"/>
                <w:sz w:val="18"/>
                <w:szCs w:val="18"/>
              </w:rPr>
              <w:t xml:space="preserve">URLs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URL avec adresse IP</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C62828"/>
                <w:sz w:val="18"/>
                <w:szCs w:val="18"/>
              </w:rPr>
              <w:t xml:space="preserve">Haute (+40 pts)</w:t>
            </w:r>
          </w:p>
        </w:tc>
        <w:tc>
          <w:tcPr>
            <w:tcW w:type="dxa" w:w="26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Presence d'une IP dans l'URL (ex: 192.168.x.x)</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18"/>
                <w:szCs w:val="18"/>
              </w:rPr>
              <w:t xml:space="preserve">Mots-cles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Vocabulaire de phishing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C62828"/>
                <w:sz w:val="18"/>
                <w:szCs w:val="18"/>
              </w:rPr>
              <w:t xml:space="preserve">Haute (+40 pts)</w:t>
            </w:r>
          </w:p>
        </w:tc>
        <w:tc>
          <w:tcPr>
            <w:tcW w:type="dxa" w:w="26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Declenchement si 2+ mots-cles trouves parmi ~100 termes</w:t>
            </w:r>
          </w:p>
        </w:tc>
      </w:tr>
    </w:tbl>
    <w:p>
      <w:pPr>
        <w:pStyle w:val="Heading2"/>
        <w:spacing w:before="240" w:after="120"/>
      </w:pPr>
      <w:r>
        <w:rPr>
          <w:rFonts w:ascii="Arial" w:cs="Arial" w:eastAsia="Arial" w:hAnsi="Arial"/>
          <w:b/>
          <w:bCs/>
          <w:color w:val="0F1B2D"/>
          <w:sz w:val="24"/>
          <w:szCs w:val="24"/>
        </w:rPr>
        <w:t xml:space="preserve">2.4 Systeme de scoring</w:t>
      </w:r>
    </w:p>
    <w:p>
      <w:pPr>
        <w:spacing w:after="120" w:line="300"/>
      </w:pPr>
      <w:r>
        <w:rPr>
          <w:rFonts w:ascii="Arial" w:cs="Arial" w:eastAsia="Arial" w:hAnsi="Arial"/>
          <w:color w:val="374151"/>
          <w:sz w:val="20"/>
          <w:szCs w:val="20"/>
        </w:rPr>
        <w:t xml:space="preserve">Le module risk_scorer.py calcule un score de risque normalise entre 0 et 100 points. Chaque anomalie detectee ajoute des points selon sa severite. Le score final determine le niveau de risque :</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Plage de score</w:t>
            </w:r>
          </w:p>
        </w:tc>
        <w:tc>
          <w:tcPr>
            <w:tcW w:type="dxa" w:w="25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Niveau</w:t>
            </w:r>
          </w:p>
        </w:tc>
        <w:tc>
          <w:tcPr>
            <w:tcW w:type="dxa" w:w="4026"/>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Interpretation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18"/>
                <w:szCs w:val="18"/>
              </w:rPr>
              <w:t xml:space="preserve">0 - 30</w:t>
            </w:r>
          </w:p>
        </w:tc>
        <w:tc>
          <w:tcPr>
            <w:tcW w:type="dxa" w:w="2500"/>
            <w:tcBorders>
              <w:top w:val="single" w:color="D1D5DB" w:sz="1"/>
              <w:left w:val="single" w:color="D1D5DB" w:sz="1"/>
              <w:bottom w:val="single" w:color="D1D5DB" w:sz="1"/>
              <w:right w:val="single" w:color="D1D5DB" w:sz="1"/>
            </w:tcBorders>
            <w:shd w:fill="E8F5E9" w:val="clear"/>
            <w:tcMar>
              <w:top w:type="dxa" w:w="80"/>
              <w:left w:type="dxa" w:w="120"/>
              <w:bottom w:type="dxa" w:w="80"/>
              <w:right w:type="dxa" w:w="120"/>
            </w:tcMar>
          </w:tcPr>
          <w:p>
            <w:r>
              <w:rPr>
                <w:rFonts w:ascii="Arial" w:cs="Arial" w:eastAsia="Arial" w:hAnsi="Arial"/>
                <w:b/>
                <w:bCs/>
                <w:color w:val="2F9E44"/>
                <w:sz w:val="18"/>
                <w:szCs w:val="18"/>
              </w:rPr>
              <w:t xml:space="preserve">LOW</w:t>
            </w:r>
          </w:p>
        </w:tc>
        <w:tc>
          <w:tcPr>
            <w:tcW w:type="dxa" w:w="40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Email probablement legitime, aucun indicateur majeur</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1A1A2E"/>
                <w:sz w:val="18"/>
                <w:szCs w:val="18"/>
              </w:rPr>
              <w:t xml:space="preserve">31 - 60</w:t>
            </w:r>
          </w:p>
        </w:tc>
        <w:tc>
          <w:tcPr>
            <w:tcW w:type="dxa" w:w="2500"/>
            <w:tcBorders>
              <w:top w:val="single" w:color="D1D5DB" w:sz="1"/>
              <w:left w:val="single" w:color="D1D5DB" w:sz="1"/>
              <w:bottom w:val="single" w:color="D1D5DB" w:sz="1"/>
              <w:right w:val="single" w:color="D1D5DB" w:sz="1"/>
            </w:tcBorders>
            <w:shd w:fill="FFF3E0" w:val="clear"/>
            <w:tcMar>
              <w:top w:type="dxa" w:w="80"/>
              <w:left w:type="dxa" w:w="120"/>
              <w:bottom w:type="dxa" w:w="80"/>
              <w:right w:type="dxa" w:w="120"/>
            </w:tcMar>
          </w:tcPr>
          <w:p>
            <w:r>
              <w:rPr>
                <w:rFonts w:ascii="Arial" w:cs="Arial" w:eastAsia="Arial" w:hAnsi="Arial"/>
                <w:b/>
                <w:bCs/>
                <w:color w:val="E8590C"/>
                <w:sz w:val="18"/>
                <w:szCs w:val="18"/>
              </w:rPr>
              <w:t xml:space="preserve">MEDIUM</w:t>
            </w:r>
          </w:p>
        </w:tc>
        <w:tc>
          <w:tcPr>
            <w:tcW w:type="dxa" w:w="40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Suspect - necessite une verification humaine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18"/>
                <w:szCs w:val="18"/>
              </w:rPr>
              <w:t xml:space="preserve">61 - 100</w:t>
            </w:r>
          </w:p>
        </w:tc>
        <w:tc>
          <w:tcPr>
            <w:tcW w:type="dxa" w:w="2500"/>
            <w:tcBorders>
              <w:top w:val="single" w:color="D1D5DB" w:sz="1"/>
              <w:left w:val="single" w:color="D1D5DB" w:sz="1"/>
              <w:bottom w:val="single" w:color="D1D5DB" w:sz="1"/>
              <w:right w:val="single" w:color="D1D5DB" w:sz="1"/>
            </w:tcBorders>
            <w:shd w:fill="FFEBEE" w:val="clear"/>
            <w:tcMar>
              <w:top w:type="dxa" w:w="80"/>
              <w:left w:type="dxa" w:w="120"/>
              <w:bottom w:type="dxa" w:w="80"/>
              <w:right w:type="dxa" w:w="120"/>
            </w:tcMar>
          </w:tcPr>
          <w:p>
            <w:r>
              <w:rPr>
                <w:rFonts w:ascii="Arial" w:cs="Arial" w:eastAsia="Arial" w:hAnsi="Arial"/>
                <w:b/>
                <w:bCs/>
                <w:color w:val="C62828"/>
                <w:sz w:val="18"/>
                <w:szCs w:val="18"/>
              </w:rPr>
              <w:t xml:space="preserve">HIGH</w:t>
            </w:r>
          </w:p>
        </w:tc>
        <w:tc>
          <w:tcPr>
            <w:tcW w:type="dxa" w:w="40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Phishing probable - multiples indicateurs concordants</w:t>
            </w:r>
          </w:p>
        </w:tc>
      </w:tr>
    </w:tbl>
    <w:p>
      <w:pPr>
        <w:pStyle w:val="Heading2"/>
        <w:spacing w:before="240" w:after="120"/>
      </w:pPr>
      <w:r>
        <w:rPr>
          <w:rFonts w:ascii="Arial" w:cs="Arial" w:eastAsia="Arial" w:hAnsi="Arial"/>
          <w:b/>
          <w:bCs/>
          <w:color w:val="0F1B2D"/>
          <w:sz w:val="24"/>
          <w:szCs w:val="24"/>
        </w:rPr>
        <w:t xml:space="preserve">2.5 Jeux de test existants</w:t>
      </w:r>
    </w:p>
    <w:p>
      <w:pPr>
        <w:spacing w:after="120" w:line="300"/>
      </w:pPr>
      <w:r>
        <w:rPr>
          <w:rFonts w:ascii="Arial" w:cs="Arial" w:eastAsia="Arial" w:hAnsi="Arial"/>
          <w:color w:val="374151"/>
          <w:sz w:val="20"/>
          <w:szCs w:val="20"/>
        </w:rPr>
        <w:t xml:space="preserve">Deux fichiers .eml de reference sont fournis pour valider le fonctionnement du moteur :</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Fichier</w:t>
            </w:r>
          </w:p>
        </w:tc>
        <w:tc>
          <w:tcPr>
            <w:tcW w:type="dxa" w:w="35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3526"/>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Resultat attendu</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2F9E44"/>
                <w:sz w:val="18"/>
                <w:szCs w:val="18"/>
              </w:rPr>
              <w:t xml:space="preserve">legitime.eml</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Newsletter Spotify authentique, From et Reply-To coherents, URL legitime spotify.com</w:t>
            </w:r>
          </w:p>
        </w:tc>
        <w:tc>
          <w:tcPr>
            <w:tcW w:type="dxa" w:w="35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Score LOW - Aucune anomalie detectee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C62828"/>
                <w:sz w:val="18"/>
                <w:szCs w:val="18"/>
              </w:rPr>
              <w:t xml:space="preserve">phishing.eml</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Faux email bancaire, Reply-To hacker@gmail.com, URL avec IP, URL raccourcie bit.ly, multiples mots-cles de phishing</w:t>
            </w:r>
          </w:p>
        </w:tc>
        <w:tc>
          <w:tcPr>
            <w:tcW w:type="dxa" w:w="35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Score HIGH - Reply-To mismatch + URL IP + mots-cles</w:t>
            </w:r>
          </w:p>
        </w:tc>
      </w:tr>
    </w:tbl>
    <w:p>
      <w:r>
        <w:br w:type="page"/>
      </w:r>
    </w:p>
    <w:p>
      <w:pPr>
        <w:pStyle w:val="Heading1"/>
        <w:pBdr>
          <w:bottom w:val="single" w:color="0078D4" w:sz="6" w:space="4"/>
        </w:pBdr>
        <w:spacing w:before="360" w:after="200"/>
      </w:pPr>
      <w:r>
        <w:rPr>
          <w:rFonts w:ascii="Arial" w:cs="Arial" w:eastAsia="Arial" w:hAnsi="Arial"/>
          <w:b/>
          <w:bCs/>
          <w:color w:val="0078D4"/>
          <w:sz w:val="28"/>
          <w:szCs w:val="28"/>
        </w:rPr>
        <w:t xml:space="preserve">3. Architecture cible : Agent Graph API</w:t>
      </w:r>
    </w:p>
    <w:p>
      <w:pPr>
        <w:spacing w:after="120" w:line="300"/>
      </w:pPr>
      <w:r>
        <w:rPr>
          <w:rFonts w:ascii="Arial" w:cs="Arial" w:eastAsia="Arial" w:hAnsi="Arial"/>
          <w:color w:val="374151"/>
          <w:sz w:val="20"/>
          <w:szCs w:val="20"/>
        </w:rPr>
        <w:t xml:space="preserve">L'architecture cible reprend le moteur de detection existant et l'adapte pour fonctionner avec l'API Microsoft Graph au lieu de fichiers .eml locaux. Le pipeline reste identique (parsing, detection, scoring, export) mais la source de donnees change fondamentalement.</w:t>
      </w:r>
    </w:p>
    <w:p>
      <w:pPr>
        <w:pStyle w:val="Heading2"/>
        <w:spacing w:before="240" w:after="120"/>
      </w:pPr>
      <w:r>
        <w:rPr>
          <w:rFonts w:ascii="Arial" w:cs="Arial" w:eastAsia="Arial" w:hAnsi="Arial"/>
          <w:b/>
          <w:bCs/>
          <w:color w:val="0F1B2D"/>
          <w:sz w:val="24"/>
          <w:szCs w:val="24"/>
        </w:rPr>
        <w:t xml:space="preserve">3.1 Flux d'execution</w:t>
      </w:r>
    </w:p>
    <w:p>
      <w:pPr>
        <w:spacing w:after="120" w:line="300"/>
      </w:pPr>
      <w:r>
        <w:rPr>
          <w:rFonts w:ascii="Arial" w:cs="Arial" w:eastAsia="Arial" w:hAnsi="Arial"/>
          <w:b/>
          <w:bCs/>
          <w:color w:val="374151"/>
          <w:sz w:val="20"/>
          <w:szCs w:val="20"/>
        </w:rPr>
        <w:t xml:space="preserve">Etape 1 - Authentification : </w:t>
      </w:r>
      <w:r>
        <w:rPr>
          <w:rFonts w:ascii="Arial" w:cs="Arial" w:eastAsia="Arial" w:hAnsi="Arial"/>
          <w:color w:val="374151"/>
          <w:sz w:val="20"/>
          <w:szCs w:val="20"/>
        </w:rPr>
        <w:t xml:space="preserve">L'agent s'authentifie aupres d'Azure AD via le flux OAuth2 Client Credentials. Il envoie le tenant_id, client_id et client_secret au endpoint login.microsoftonline.com et recoit un access_token valable 1 heure.</w:t>
      </w:r>
    </w:p>
    <w:p>
      <w:pPr>
        <w:spacing w:after="120" w:line="300"/>
      </w:pPr>
      <w:r>
        <w:rPr>
          <w:rFonts w:ascii="Arial" w:cs="Arial" w:eastAsia="Arial" w:hAnsi="Arial"/>
          <w:b/>
          <w:bCs/>
          <w:color w:val="374151"/>
          <w:sz w:val="20"/>
          <w:szCs w:val="20"/>
        </w:rPr>
        <w:t xml:space="preserve">Etape 2 - Enumeration : </w:t>
      </w:r>
      <w:r>
        <w:rPr>
          <w:rFonts w:ascii="Arial" w:cs="Arial" w:eastAsia="Arial" w:hAnsi="Arial"/>
          <w:color w:val="374151"/>
          <w:sz w:val="20"/>
          <w:szCs w:val="20"/>
        </w:rPr>
        <w:t xml:space="preserve">L'agent appelle GET /users pour lister dynamiquement toutes les boites mail actives du tenant. Pas de liste manuelle a maintenir.</w:t>
      </w:r>
    </w:p>
    <w:p>
      <w:pPr>
        <w:spacing w:after="120" w:line="300"/>
      </w:pPr>
      <w:r>
        <w:rPr>
          <w:rFonts w:ascii="Arial" w:cs="Arial" w:eastAsia="Arial" w:hAnsi="Arial"/>
          <w:b/>
          <w:bCs/>
          <w:color w:val="374151"/>
          <w:sz w:val="20"/>
          <w:szCs w:val="20"/>
        </w:rPr>
        <w:t xml:space="preserve">Etape 3 - Collecte : </w:t>
      </w:r>
      <w:r>
        <w:rPr>
          <w:rFonts w:ascii="Arial" w:cs="Arial" w:eastAsia="Arial" w:hAnsi="Arial"/>
          <w:color w:val="374151"/>
          <w:sz w:val="20"/>
          <w:szCs w:val="20"/>
        </w:rPr>
        <w:t xml:space="preserve">Pour chaque boite, l'agent appelle GET /users/{id}/messages avec un filtre sur la date. Il recupere le sujet, l'expediteur, la date et les internetMessageHeaders. Le body n'est pas recupere pour des raisons de performance et de conformite RGPD.</w:t>
      </w:r>
    </w:p>
    <w:p>
      <w:pPr>
        <w:spacing w:after="120" w:line="300"/>
      </w:pPr>
      <w:r>
        <w:rPr>
          <w:rFonts w:ascii="Arial" w:cs="Arial" w:eastAsia="Arial" w:hAnsi="Arial"/>
          <w:b/>
          <w:bCs/>
          <w:color w:val="374151"/>
          <w:sz w:val="20"/>
          <w:szCs w:val="20"/>
        </w:rPr>
        <w:t xml:space="preserve">Etape 4 - Analyse : </w:t>
      </w:r>
      <w:r>
        <w:rPr>
          <w:rFonts w:ascii="Arial" w:cs="Arial" w:eastAsia="Arial" w:hAnsi="Arial"/>
          <w:color w:val="374151"/>
          <w:sz w:val="20"/>
          <w:szCs w:val="20"/>
        </w:rPr>
        <w:t xml:space="preserve">Chaque email passe dans le MoteurDetection adapte. Les headers Authentication-Results sont parses pour extraire les verdicts SPF, DKIM et DMARC. Les regles existantes (Reply-To, mots-cles, URLs) sont conservees.</w:t>
      </w:r>
    </w:p>
    <w:p>
      <w:pPr>
        <w:spacing w:after="120" w:line="300"/>
      </w:pPr>
      <w:r>
        <w:rPr>
          <w:rFonts w:ascii="Arial" w:cs="Arial" w:eastAsia="Arial" w:hAnsi="Arial"/>
          <w:b/>
          <w:bCs/>
          <w:color w:val="374151"/>
          <w:sz w:val="20"/>
          <w:szCs w:val="20"/>
        </w:rPr>
        <w:t xml:space="preserve">Etape 5 - Stockage : </w:t>
      </w:r>
      <w:r>
        <w:rPr>
          <w:rFonts w:ascii="Arial" w:cs="Arial" w:eastAsia="Arial" w:hAnsi="Arial"/>
          <w:color w:val="374151"/>
          <w:sz w:val="20"/>
          <w:szCs w:val="20"/>
        </w:rPr>
        <w:t xml:space="preserve">Les resultats sont stockes dans une base SQLite locale avec horodatage, permettant de requeter les tendances sur plusieurs semaines.</w:t>
      </w:r>
    </w:p>
    <w:p>
      <w:pPr>
        <w:spacing w:after="120" w:line="300"/>
      </w:pPr>
      <w:r>
        <w:rPr>
          <w:rFonts w:ascii="Arial" w:cs="Arial" w:eastAsia="Arial" w:hAnsi="Arial"/>
          <w:b/>
          <w:bCs/>
          <w:color w:val="374151"/>
          <w:sz w:val="20"/>
          <w:szCs w:val="20"/>
        </w:rPr>
        <w:t xml:space="preserve">Etape 6 - Rapport : </w:t>
      </w:r>
      <w:r>
        <w:rPr>
          <w:rFonts w:ascii="Arial" w:cs="Arial" w:eastAsia="Arial" w:hAnsi="Arial"/>
          <w:color w:val="374151"/>
          <w:sz w:val="20"/>
          <w:szCs w:val="20"/>
        </w:rPr>
        <w:t xml:space="preserve">Un export CSV/Excel est genere avec les metriques agregees : volume total, nombre de phishing detectes, taux de detection, tendance hebdomadaire, top domaines suspects.</w:t>
      </w:r>
    </w:p>
    <w:p>
      <w:pPr>
        <w:pStyle w:val="Heading2"/>
        <w:spacing w:before="240" w:after="120"/>
      </w:pPr>
      <w:r>
        <w:rPr>
          <w:rFonts w:ascii="Arial" w:cs="Arial" w:eastAsia="Arial" w:hAnsi="Arial"/>
          <w:b/>
          <w:bCs/>
          <w:color w:val="0F1B2D"/>
          <w:sz w:val="24"/>
          <w:szCs w:val="24"/>
        </w:rPr>
        <w:t xml:space="preserve">3.2 Enrichissements par rapport a la base existante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Composant</w:t>
            </w:r>
          </w:p>
        </w:tc>
        <w:tc>
          <w:tcPr>
            <w:tcW w:type="dxa" w:w="30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 existante</w:t>
            </w:r>
          </w:p>
        </w:tc>
        <w:tc>
          <w:tcPr>
            <w:tcW w:type="dxa" w:w="3026"/>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 cible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18"/>
                <w:szCs w:val="18"/>
              </w:rPr>
              <w:t xml:space="preserve">Source de donnees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Fichier .eml local</w:t>
            </w:r>
          </w:p>
        </w:tc>
        <w:tc>
          <w:tcPr>
            <w:tcW w:type="dxa" w:w="30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API Microsoft Graph (toutes les boites)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1A1A2E"/>
                <w:sz w:val="18"/>
                <w:szCs w:val="18"/>
              </w:rPr>
              <w:t xml:space="preserve">Detection SPF/DKIM/DMARC</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C62828"/>
                <w:sz w:val="18"/>
                <w:szCs w:val="18"/>
              </w:rPr>
              <w:t xml:space="preserve">Non implementee</w:t>
            </w:r>
          </w:p>
        </w:tc>
        <w:tc>
          <w:tcPr>
            <w:tcW w:type="dxa" w:w="30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Analyse des Authentication-Results headers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18"/>
                <w:szCs w:val="18"/>
              </w:rPr>
              <w:t xml:space="preserve">Perimetre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1 email a la fois (CLI)</w:t>
            </w:r>
          </w:p>
        </w:tc>
        <w:tc>
          <w:tcPr>
            <w:tcW w:type="dxa" w:w="30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Toutes les boites, scan automatise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1A1A2E"/>
                <w:sz w:val="18"/>
                <w:szCs w:val="18"/>
              </w:rPr>
              <w:t xml:space="preserve">Stockage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Rapport texte unique</w:t>
            </w:r>
          </w:p>
        </w:tc>
        <w:tc>
          <w:tcPr>
            <w:tcW w:type="dxa" w:w="30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SQLite avec historique et tendances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18"/>
                <w:szCs w:val="18"/>
              </w:rPr>
              <w:t xml:space="preserve">Automatisation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Execution manuelle</w:t>
            </w:r>
          </w:p>
        </w:tc>
        <w:tc>
          <w:tcPr>
            <w:tcW w:type="dxa" w:w="30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Cron job / Task Scheduler quotidien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1A1A2E"/>
                <w:sz w:val="18"/>
                <w:szCs w:val="18"/>
              </w:rPr>
              <w:t xml:space="preserve">Rapport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Fichier rapport.txt</w:t>
            </w:r>
          </w:p>
        </w:tc>
        <w:tc>
          <w:tcPr>
            <w:tcW w:type="dxa" w:w="30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CSV/Excel avec graphiques de tendance</w:t>
            </w:r>
          </w:p>
        </w:tc>
      </w:tr>
    </w:tbl>
    <w:p>
      <w:pPr>
        <w:pStyle w:val="Heading2"/>
        <w:spacing w:before="240" w:after="120"/>
      </w:pPr>
      <w:r>
        <w:rPr>
          <w:rFonts w:ascii="Arial" w:cs="Arial" w:eastAsia="Arial" w:hAnsi="Arial"/>
          <w:b/>
          <w:bCs/>
          <w:color w:val="0F1B2D"/>
          <w:sz w:val="24"/>
          <w:szCs w:val="24"/>
        </w:rPr>
        <w:t xml:space="preserve">3.3 Permissions et securite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Element</w:t>
            </w:r>
          </w:p>
        </w:tc>
        <w:tc>
          <w:tcPr>
            <w:tcW w:type="dxa" w:w="25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Valeur</w:t>
            </w:r>
          </w:p>
        </w:tc>
        <w:tc>
          <w:tcPr>
            <w:tcW w:type="dxa" w:w="4026"/>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Justification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18"/>
                <w:szCs w:val="18"/>
              </w:rPr>
              <w:t xml:space="preserve">Type de flux</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Client Credentials</w:t>
            </w:r>
          </w:p>
        </w:tc>
        <w:tc>
          <w:tcPr>
            <w:tcW w:type="dxa" w:w="40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Aucune intervention humaine requise, ideal pour un agent automatise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1A1A2E"/>
                <w:sz w:val="18"/>
                <w:szCs w:val="18"/>
              </w:rPr>
              <w:t xml:space="preserve">Permission</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Mail.Read (Application)</w:t>
            </w:r>
          </w:p>
        </w:tc>
        <w:tc>
          <w:tcPr>
            <w:tcW w:type="dxa" w:w="40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Lecture seule sur toutes les boites - aucune modification possible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18"/>
                <w:szCs w:val="18"/>
              </w:rPr>
              <w:t xml:space="preserve">Admin consent</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Requis</w:t>
            </w:r>
          </w:p>
        </w:tc>
        <w:tc>
          <w:tcPr>
            <w:tcW w:type="dxa" w:w="40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Validation explicite de l'administrateur pour l'acces global</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1A1A2E"/>
                <w:sz w:val="18"/>
                <w:szCs w:val="18"/>
              </w:rPr>
              <w:t xml:space="preserve">Donnees collectees</w:t>
            </w:r>
          </w:p>
        </w:tc>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Headers uniquement</w:t>
            </w:r>
          </w:p>
        </w:tc>
        <w:tc>
          <w:tcPr>
            <w:tcW w:type="dxa" w:w="40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Pas de lecture du body ni des PJ - conformite RGPD</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18"/>
                <w:szCs w:val="18"/>
              </w:rPr>
              <w:t xml:space="preserve">Secret</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Client secret (12 mois)</w:t>
            </w:r>
          </w:p>
        </w:tc>
        <w:tc>
          <w:tcPr>
            <w:tcW w:type="dxa" w:w="40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Stocke hors du code source, rotation annuelle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F9E44" w:sz="1"/>
              <w:left w:val="single" w:color="2F9E44" w:sz="6"/>
              <w:bottom w:val="single" w:color="2F9E44" w:sz="1"/>
              <w:right w:val="single" w:color="2F9E44" w:sz="1"/>
            </w:tcBorders>
            <w:shd w:fill="E8F5E9" w:val="clear"/>
            <w:tcMar>
              <w:top w:type="dxa" w:w="100"/>
              <w:left w:type="dxa" w:w="160"/>
              <w:bottom w:type="dxa" w:w="100"/>
              <w:right w:type="dxa" w:w="160"/>
            </w:tcMar>
          </w:tcPr>
          <w:p>
            <w:r>
              <w:rPr>
                <w:rFonts w:ascii="Arial" w:cs="Arial" w:eastAsia="Arial" w:hAnsi="Arial"/>
                <w:b/>
                <w:bCs/>
                <w:color w:val="2F9E44"/>
                <w:sz w:val="18"/>
                <w:szCs w:val="18"/>
              </w:rPr>
              <w:t xml:space="preserve">Conformite RGPD : </w:t>
            </w:r>
            <w:r>
              <w:rPr>
                <w:rFonts w:ascii="Arial" w:cs="Arial" w:eastAsia="Arial" w:hAnsi="Arial"/>
                <w:color w:val="374151"/>
                <w:sz w:val="18"/>
                <w:szCs w:val="18"/>
              </w:rPr>
              <w:t xml:space="preserve">L'agent ne collecte aucune donnee personnelle des emails (pas de corps, pas de pieces jointes). Seuls les metadonnees techniques (expediteur, sujet, headers d'authentification) sont analyses. Le rapport final contient uniquement des statistiques agregees.</w:t>
            </w:r>
          </w:p>
        </w:tc>
      </w:tr>
    </w:tbl>
    <w:p>
      <w:r>
        <w:br w:type="page"/>
      </w:r>
    </w:p>
    <w:p>
      <w:pPr>
        <w:pStyle w:val="Heading1"/>
        <w:pBdr>
          <w:bottom w:val="single" w:color="0078D4" w:sz="6" w:space="4"/>
        </w:pBdr>
        <w:spacing w:before="360" w:after="200"/>
      </w:pPr>
      <w:r>
        <w:rPr>
          <w:rFonts w:ascii="Arial" w:cs="Arial" w:eastAsia="Arial" w:hAnsi="Arial"/>
          <w:b/>
          <w:bCs/>
          <w:color w:val="0078D4"/>
          <w:sz w:val="28"/>
          <w:szCs w:val="28"/>
        </w:rPr>
        <w:t xml:space="preserve">4. Evolutions prevues</w:t>
      </w:r>
    </w:p>
    <w:p>
      <w:pPr>
        <w:spacing w:after="120" w:line="300"/>
      </w:pPr>
      <w:r>
        <w:rPr>
          <w:rFonts w:ascii="Arial" w:cs="Arial" w:eastAsia="Arial" w:hAnsi="Arial"/>
          <w:color w:val="374151"/>
          <w:sz w:val="20"/>
          <w:szCs w:val="20"/>
        </w:rPr>
        <w:t xml:space="preserve">Le projet est concu en phases successives. La version actuelle (v1.0) couvre la preuve de concept et la justification du besoin. Les evolutions suivantes sont planifiees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326"/>
      </w:tblGrid>
      <w:tr>
        <w:tc>
          <w:tcPr>
            <w:tcW w:type="dxa" w:w="12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35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Objectif</w:t>
            </w:r>
          </w:p>
        </w:tc>
        <w:tc>
          <w:tcPr>
            <w:tcW w:type="dxa" w:w="4326"/>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1200"/>
            <w:tcBorders>
              <w:top w:val="single" w:color="D1D5DB" w:sz="1"/>
              <w:left w:val="single" w:color="D1D5DB" w:sz="1"/>
              <w:bottom w:val="single" w:color="D1D5DB" w:sz="1"/>
              <w:right w:val="single" w:color="D1D5DB" w:sz="1"/>
            </w:tcBorders>
            <w:shd w:fill="0078D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v1.0</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18"/>
                <w:szCs w:val="18"/>
              </w:rPr>
              <w:t xml:space="preserve">Preuve de concept</w:t>
            </w:r>
          </w:p>
        </w:tc>
        <w:tc>
          <w:tcPr>
            <w:tcW w:type="dxa" w:w="43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Agent de scan + rapport statistique pour justifier Threat Explorer aupres de la DSI</w:t>
            </w:r>
          </w:p>
        </w:tc>
      </w:tr>
      <w:tr>
        <w:tc>
          <w:tcPr>
            <w:tcW w:type="dxa" w:w="1200"/>
            <w:tcBorders>
              <w:top w:val="single" w:color="D1D5DB" w:sz="1"/>
              <w:left w:val="single" w:color="D1D5DB" w:sz="1"/>
              <w:bottom w:val="single" w:color="D1D5DB" w:sz="1"/>
              <w:right w:val="single" w:color="D1D5DB" w:sz="1"/>
            </w:tcBorders>
            <w:shd w:fill="E8590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v2.0</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1A1A2E"/>
                <w:sz w:val="18"/>
                <w:szCs w:val="18"/>
              </w:rPr>
              <w:t xml:space="preserve">Integration Threat Explorer</w:t>
            </w:r>
          </w:p>
        </w:tc>
        <w:tc>
          <w:tcPr>
            <w:tcW w:type="dxa" w:w="43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Deploiement de Defender for O365 Plan 2, correlation avec les donnees de l'agent</w:t>
            </w:r>
          </w:p>
        </w:tc>
      </w:tr>
      <w:tr>
        <w:tc>
          <w:tcPr>
            <w:tcW w:type="dxa" w:w="1200"/>
            <w:tcBorders>
              <w:top w:val="single" w:color="D1D5DB" w:sz="1"/>
              <w:left w:val="single" w:color="D1D5DB" w:sz="1"/>
              <w:bottom w:val="single" w:color="D1D5DB" w:sz="1"/>
              <w:right w:val="single" w:color="D1D5DB" w:sz="1"/>
            </w:tcBorders>
            <w:shd w:fill="2F9E4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v3.0</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18"/>
                <w:szCs w:val="18"/>
              </w:rPr>
              <w:t xml:space="preserve">Sensibilisation et simulation</w:t>
            </w:r>
          </w:p>
        </w:tc>
        <w:tc>
          <w:tcPr>
            <w:tcW w:type="dxa" w:w="43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Campagnes de phishing simulees, reporting automatise mensuel, formation utilisateurs</w:t>
            </w:r>
          </w:p>
        </w:tc>
      </w:tr>
    </w:tbl>
    <w:p>
      <w:pPr>
        <w:spacing w:after="200"/>
      </w:pPr>
    </w:p>
    <w:p>
      <w:pPr>
        <w:pStyle w:val="Heading1"/>
        <w:pBdr>
          <w:bottom w:val="single" w:color="0078D4" w:sz="6" w:space="4"/>
        </w:pBdr>
        <w:spacing w:before="360" w:after="200"/>
      </w:pPr>
      <w:r>
        <w:rPr>
          <w:rFonts w:ascii="Arial" w:cs="Arial" w:eastAsia="Arial" w:hAnsi="Arial"/>
          <w:b/>
          <w:bCs/>
          <w:color w:val="0078D4"/>
          <w:sz w:val="28"/>
          <w:szCs w:val="28"/>
        </w:rPr>
        <w:t xml:space="preserve">5. Prerequis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Prerequis</w:t>
            </w:r>
          </w:p>
        </w:tc>
        <w:tc>
          <w:tcPr>
            <w:tcW w:type="dxa" w:w="6026"/>
            <w:tcBorders>
              <w:top w:val="single" w:color="D1D5DB" w:sz="1"/>
              <w:left w:val="single" w:color="D1D5DB" w:sz="1"/>
              <w:bottom w:val="single" w:color="D1D5DB" w:sz="1"/>
              <w:right w:val="single" w:color="D1D5DB" w:sz="1"/>
            </w:tcBorders>
            <w:shd w:fill="0F1B2D"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18"/>
                <w:szCs w:val="18"/>
              </w:rPr>
              <w:t xml:space="preserve">Droits Azure</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Administrateur Entra ID pour creer l'App Registration et accorder l'admin consent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1A1A2E"/>
                <w:sz w:val="18"/>
                <w:szCs w:val="18"/>
              </w:rPr>
              <w:t xml:space="preserve">Licence M365</w:t>
            </w:r>
          </w:p>
        </w:tc>
        <w:tc>
          <w:tcPr>
            <w:tcW w:type="dxa" w:w="60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API Graph incluse dans toutes les licences Microsoft 365 Business et Enterprise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18"/>
                <w:szCs w:val="18"/>
              </w:rPr>
              <w:t xml:space="preserve">Python 3.10+</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Runtime Python avec les bibliotheques requests et sqlite3 (inclus dans la stdlib)</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bCs/>
                <w:color w:val="1A1A2E"/>
                <w:sz w:val="18"/>
                <w:szCs w:val="18"/>
              </w:rPr>
              <w:t xml:space="preserve">Validation DPO</w:t>
            </w:r>
          </w:p>
        </w:tc>
        <w:tc>
          <w:tcPr>
            <w:tcW w:type="dxa" w:w="60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Accord ecrit du DPO ou de la hierarchie pour le scan des headers email</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b/>
                <w:bCs/>
                <w:color w:val="1A1A2E"/>
                <w:sz w:val="18"/>
                <w:szCs w:val="18"/>
              </w:rPr>
              <w:t xml:space="preserve">Serveur d'execution</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374151"/>
                <w:sz w:val="18"/>
                <w:szCs w:val="18"/>
              </w:rPr>
              <w:t xml:space="preserve">Machine avec acces internet HTTPS vers login.microsoftonline.com et graph.microsoft.com</w:t>
            </w:r>
          </w:p>
        </w:tc>
      </w:tr>
    </w:tbl>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78D4" w:sz="1"/>
              <w:left w:val="single" w:color="0078D4" w:sz="6"/>
              <w:bottom w:val="single" w:color="0078D4" w:sz="1"/>
              <w:right w:val="single" w:color="0078D4" w:sz="1"/>
            </w:tcBorders>
            <w:shd w:fill="E8F4FD" w:val="clear"/>
            <w:tcMar>
              <w:top w:type="dxa" w:w="100"/>
              <w:left w:type="dxa" w:w="160"/>
              <w:bottom w:type="dxa" w:w="100"/>
              <w:right w:type="dxa" w:w="160"/>
            </w:tcMar>
          </w:tcPr>
          <w:p>
            <w:r>
              <w:rPr>
                <w:rFonts w:ascii="Arial" w:cs="Arial" w:eastAsia="Arial" w:hAnsi="Arial"/>
                <w:b/>
                <w:bCs/>
                <w:color w:val="0078D4"/>
                <w:sz w:val="18"/>
                <w:szCs w:val="18"/>
              </w:rPr>
              <w:t xml:space="preserve">Prochaine etape : </w:t>
            </w:r>
            <w:r>
              <w:rPr>
                <w:rFonts w:ascii="Arial" w:cs="Arial" w:eastAsia="Arial" w:hAnsi="Arial"/>
                <w:color w:val="374151"/>
                <w:sz w:val="18"/>
                <w:szCs w:val="18"/>
              </w:rPr>
              <w:t xml:space="preserve">Configuration de l'App Registration Azure AD et premiers tests d'authentification OAuth2 sur une boite mail de test.</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2" w:space="4"/>
      </w:pBdr>
      <w:tabs>
        <w:tab w:val="right" w:pos="9026"/>
      </w:tabs>
    </w:pPr>
    <w:r>
      <w:rPr>
        <w:rFonts w:ascii="Arial" w:cs="Arial" w:eastAsia="Arial" w:hAnsi="Arial"/>
        <w:b/>
        <w:bCs/>
        <w:color w:val="0078D4"/>
        <w:sz w:val="16"/>
        <w:szCs w:val="16"/>
      </w:rPr>
      <w:t xml:space="preserve">Phishing Detection Agent</w:t>
    </w:r>
    <w:r>
      <w:rPr>
        <w:rFonts w:ascii="Arial" w:cs="Arial" w:eastAsia="Arial" w:hAnsi="Arial"/>
        <w:color w:val="6B7280"/>
        <w:sz w:val="14"/>
        <w:szCs w:val="14"/>
      </w:rPr>
      <w:t xml:space="preserve">	Document de Conception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78D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F1B2D"/>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0536BE83167949AC729066F2243561" ma:contentTypeVersion="17" ma:contentTypeDescription="Crée un document." ma:contentTypeScope="" ma:versionID="bb82cadbfadc938870cc4686de23fdce">
  <xsd:schema xmlns:xsd="http://www.w3.org/2001/XMLSchema" xmlns:xs="http://www.w3.org/2001/XMLSchema" xmlns:p="http://schemas.microsoft.com/office/2006/metadata/properties" xmlns:ns2="915f4ecb-f92a-4319-945c-20bbee740657" xmlns:ns3="bcf79447-3474-4677-ba5d-703f31cc211c" targetNamespace="http://schemas.microsoft.com/office/2006/metadata/properties" ma:root="true" ma:fieldsID="67402967d54eeb5101f03efa2ffbe26b" ns2:_="" ns3:_="">
    <xsd:import namespace="915f4ecb-f92a-4319-945c-20bbee740657"/>
    <xsd:import namespace="bcf79447-3474-4677-ba5d-703f31cc211c"/>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ObjectDetectorVersions" minOccurs="0"/>
                <xsd:element ref="ns2:MediaServiceLocation"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5f4ecb-f92a-4319-945c-20bbee74065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alises d’images" ma:readOnly="false" ma:fieldId="{5cf76f15-5ced-4ddc-b409-7134ff3c332f}" ma:taxonomyMulti="true" ma:sspId="a761b1c3-ff5e-48fb-92c1-fc31dc9445f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État de validation" ma:internalName="_x00c9_tat_x0020_de_x0020_validation">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f79447-3474-4677-ba5d-703f31cc211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ec77dea-be2c-4591-a4d3-88f75a3cbea0}" ma:internalName="TaxCatchAll" ma:showField="CatchAllData" ma:web="bcf79447-3474-4677-ba5d-703f31cc211c">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cf79447-3474-4677-ba5d-703f31cc211c" xsi:nil="true"/>
    <_Flow_SignoffStatus xmlns="915f4ecb-f92a-4319-945c-20bbee740657" xsi:nil="true"/>
    <lcf76f155ced4ddcb4097134ff3c332f xmlns="915f4ecb-f92a-4319-945c-20bbee7406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B8B359-2924-4917-A08D-413B98A9F1B7}"/>
</file>

<file path=customXml/itemProps2.xml><?xml version="1.0" encoding="utf-8"?>
<ds:datastoreItem xmlns:ds="http://schemas.openxmlformats.org/officeDocument/2006/customXml" ds:itemID="{62687A48-D7CE-4730-BD9F-02EA7A756B8A}"/>
</file>

<file path=customXml/itemProps3.xml><?xml version="1.0" encoding="utf-8"?>
<ds:datastoreItem xmlns:ds="http://schemas.openxmlformats.org/officeDocument/2006/customXml" ds:itemID="{C6E48FA1-32FC-4B46-95E3-0654BAF4B09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2026-03-19T12:35:44Z</dcterms:created>
  <dcterms:modified xsi:type="dcterms:W3CDTF">2026-03-19T12:35:44Z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0x010100BC0536BE83167949AC729066F2243561</vt:lpwstr>
  </property>
</Properties>
</file>