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Projet SL1PCONNECT</w:t>
      </w:r>
    </w:p>
    <w:p>
      <w:pPr>
        <w:spacing w:after="40"/>
      </w:pPr>
      <w:r>
        <w:rPr>
          <w:color w:val="1F3864"/>
          <w:sz w:val="26"/>
          <w:szCs w:val="26"/>
        </w:rPr>
        <w:t xml:space="preserve">Documentation technique — sécurisation et validation en conditions réelles</w:t>
      </w:r>
    </w:p>
    <w:p>
      <w:pPr>
        <w:spacing w:after="240"/>
      </w:pPr>
      <w:r>
        <w:rPr>
          <w:i/>
          <w:iCs/>
          <w:color w:val="666666"/>
        </w:rPr>
        <w:t xml:space="preserve">Document de référence — preuves et justifications techniques pour le dossier d'architecture — 26 juin 2026</w:t>
      </w:r>
    </w:p>
    <w:p>
      <w:pPr>
        <w:pStyle w:val="Heading1"/>
      </w:pPr>
      <w:r>
        <w:t xml:space="preserve">0. Objet du document</w:t>
      </w:r>
    </w:p>
    <w:p>
      <w:pPr>
        <w:spacing w:after="120" w:line="276"/>
      </w:pPr>
      <w:r>
        <w:t xml:space="preserve">Ce document consigne les éléments techniques constatés lors du premier déploiement réel de la maquette sur l'hôte ESXi : le diagnostic complet de deux anomalies, les correctifs appliqués, les preuves de fonctionnement, et l'état précis des risques résiduels. Il est destiné à servir de support technique aux sections sécurité, durcissement et risques résiduels du dossier d'architecture.</w:t>
      </w:r>
    </w:p>
    <w:p>
      <w:pPr>
        <w:pStyle w:val="Heading1"/>
      </w:pPr>
      <w:r>
        <w:t xml:space="preserve">1. Architecture de la stack déployée</w:t>
      </w:r>
    </w:p>
    <w:p>
      <w:pPr>
        <w:spacing w:after="120" w:line="276"/>
      </w:pPr>
      <w:r>
        <w:t xml:space="preserve">Dix conteneurs, répartis sur trois réseaux Docker distincts (edge, data, monitoring). Seul le reverse-proxy publie des ports sur l'hôte.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Service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Image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Healthcheck</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Exposition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reverse-proxy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nginx:alpine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0.0.0.0:80, 0.0.0.0:443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thread-api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local (Python/Flask)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(8080), via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tailor-panel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local (PHP/Apache)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(8080), via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fabric-watch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local (Grafana)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(3000), via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db-velvet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postgres:16-alpine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(5432) uniquement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stitch-processor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local (Node)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(8082) uniquement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prometheus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prom/prometheus:v2.54.1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 (image tierce)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(9090)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loki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grafana/loki:3.1.1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 (image tierce)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(3100)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node-exporter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prom/node-exporter:v1.8.2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 (image tierce)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interne (9100)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promtail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grafana/promtail:3.1.1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 (image tierce)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 port</w:t>
            </w:r>
          </w:p>
        </w:tc>
      </w:tr>
    </w:tbl>
    <w:p>
      <w:pPr>
        <w:pStyle w:val="Heading1"/>
      </w:pPr>
      <w:r>
        <w:t xml:space="preserve">2. Anomalie 1 — accès aux secrets pour les conteneurs non privilégiés</w:t>
      </w:r>
    </w:p>
    <w:p>
      <w:pPr>
        <w:pStyle w:val="Heading2"/>
      </w:pPr>
      <w:r>
        <w:t xml:space="preserve">2.1 Symptôme observé</w:t>
      </w:r>
    </w:p>
    <w:p>
      <w:pPr>
        <w:spacing w:after="120" w:line="276"/>
      </w:pPr>
      <w:r>
        <w:t xml:space="preserve">Au premier démarrage de la stack, trois conteneurs applicatifs (thread-api, tailor-panel, stitch-processor) entraient en boucle de redémarrage avec une erreur "permission denied" lors de la lecture de leurs fichiers de secrets sous /run/secrets/.</w:t>
      </w:r>
    </w:p>
    <w:p>
      <w:pPr>
        <w:pStyle w:val="Heading2"/>
      </w:pPr>
      <w:r>
        <w:t xml:space="preserve">2.2 Cause racine</w:t>
      </w:r>
    </w:p>
    <w:p>
      <w:pPr>
        <w:spacing w:after="120" w:line="276"/>
      </w:pPr>
      <w:r>
        <w:t xml:space="preserve">Un audit antérieur avait modifié la permission des fichiers de secrets de 644 à 600 sur l'hôte. Le moteur Docker Compose installé sur cette machine bind-monte les secrets en conservant tels quels les permissions et le propriétaire du fichier hôte (root), et n'applique pas les champs secrets.mode, uid ou gid définis dans le compose — ce comportement est documenté mais non garanti selon le moteur. Un processus s'exécutant sous un utilisateur non-root ne dispose alors d'aucun droit de lecture sur le fichier.</w:t>
      </w:r>
    </w:p>
    <w:p>
      <w:pPr>
        <w:pStyle w:val="Heading2"/>
      </w:pPr>
      <w:r>
        <w:t xml:space="preserve">2.3 Correctif appliqué</w:t>
      </w:r>
    </w:p>
    <w:p>
      <w:pPr>
        <w:spacing w:after="120" w:line="276"/>
      </w:pPr>
      <w:r>
        <w:t xml:space="preserve">Entrypoint en deux phases pour chacun des trois services : démarrage en root, copie des secrets vers un emplacement privé au conteneur avec des permissions adaptées, puis abandon définitif des privilèges avant l'exécution du processus applicatif.</w:t>
      </w:r>
    </w:p>
    <w:p>
      <w:pPr>
        <w:spacing w:after="40" w:before="100"/>
      </w:pPr>
      <w:r>
        <w:rPr>
          <w:i/>
          <w:iCs/>
          <w:color w:val="666666"/>
          <w:sz w:val="18"/>
          <w:szCs w:val="18"/>
        </w:rPr>
        <w:t xml:space="preserve">Extrait — logique de l'entrypoint (thread-api, tailor-panel ; stitch-processor utilise su-exec à la place de setpriv)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mkdir -p /tmp/secrets</w:t>
            </w:r>
          </w:p>
          <w:p>
            <w:pPr>
              <w:spacing w:after="0" w:line="240"/>
            </w:pPr>
            <w:r>
              <w:rPr>
                <w:rFonts w:ascii="Consolas" w:cs="Consolas" w:eastAsia="Consolas" w:hAnsi="Consolas"/>
                <w:color w:val="1A1A1A"/>
                <w:sz w:val="18"/>
                <w:szCs w:val="18"/>
              </w:rPr>
              <w:t xml:space="preserve">for f in /run/secrets/*; do</w:t>
            </w:r>
          </w:p>
          <w:p>
            <w:pPr>
              <w:spacing w:after="0" w:line="240"/>
            </w:pPr>
            <w:r>
              <w:rPr>
                <w:rFonts w:ascii="Consolas" w:cs="Consolas" w:eastAsia="Consolas" w:hAnsi="Consolas"/>
                <w:color w:val="1A1A1A"/>
                <w:sz w:val="18"/>
                <w:szCs w:val="18"/>
              </w:rPr>
              <w:t xml:space="preserve">  cp "$f" "/tmp/secrets/$(basename $f)"</w:t>
            </w:r>
          </w:p>
          <w:p>
            <w:pPr>
              <w:spacing w:after="0" w:line="240"/>
            </w:pPr>
            <w:r>
              <w:rPr>
                <w:rFonts w:ascii="Consolas" w:cs="Consolas" w:eastAsia="Consolas" w:hAnsi="Consolas"/>
                <w:color w:val="1A1A1A"/>
                <w:sz w:val="18"/>
                <w:szCs w:val="18"/>
              </w:rPr>
              <w:t xml:space="preserve">  chmod 400 "/tmp/secrets/$(basename $f)"</w:t>
            </w:r>
          </w:p>
          <w:p>
            <w:pPr>
              <w:spacing w:after="0" w:line="240"/>
            </w:pPr>
            <w:r>
              <w:rPr>
                <w:rFonts w:ascii="Consolas" w:cs="Consolas" w:eastAsia="Consolas" w:hAnsi="Consolas"/>
                <w:color w:val="1A1A1A"/>
                <w:sz w:val="18"/>
                <w:szCs w:val="18"/>
              </w:rPr>
              <w:t xml:space="preserve">  chown appuser:appuser "/tmp/secrets/$(basename $f)"</w:t>
            </w:r>
          </w:p>
          <w:p>
            <w:pPr>
              <w:spacing w:after="0" w:line="240"/>
            </w:pPr>
            <w:r>
              <w:rPr>
                <w:rFonts w:ascii="Consolas" w:cs="Consolas" w:eastAsia="Consolas" w:hAnsi="Consolas"/>
                <w:color w:val="1A1A1A"/>
                <w:sz w:val="18"/>
                <w:szCs w:val="18"/>
              </w:rPr>
              <w:t xml:space="preserve">done</w:t>
            </w:r>
          </w:p>
          <w:p>
            <w:pPr>
              <w:spacing w:after="0" w:line="240"/>
            </w:pPr>
            <w:r>
              <w:rPr>
                <w:rFonts w:ascii="Consolas" w:cs="Consolas" w:eastAsia="Consolas" w:hAnsi="Consolas"/>
                <w:color w:val="1A1A1A"/>
                <w:sz w:val="18"/>
                <w:szCs w:val="18"/>
              </w:rPr>
              <w:t xml:space="preserve">exec setpriv --reuid=appuser --regid=appuser --clear-groups -- "$@"</w:t>
            </w:r>
          </w:p>
        </w:tc>
      </w:tr>
    </w:tbl>
    <w:p>
      <w:pPr>
        <w:spacing w:after="120" w:line="276"/>
      </w:pPr>
      <w:r>
        <w:t xml:space="preserve">La convention de lecture des secrets côté application (variables d'environnement *_FILE) n'a pas eu besoin d'être modifiée : seule la valeur de chemin pointée par ces variables, dans docker-compose.yml, a été redirigée vers /tmp/secrets/ au lieu de /run/secrets/.</w:t>
      </w:r>
    </w:p>
    <w:p>
      <w:pPr>
        <w:spacing w:after="120" w:line="276"/>
      </w:pPr>
      <w:r>
        <w:t xml:space="preserve">Ce correctif nécessite l'ajout de cap_add: [SETUID, SETGID] sur les trois services concernés, afin que setpriv (ou su-exec) puisse effectuer l'appel système de changement d'utilisateur.</w:t>
      </w:r>
    </w:p>
    <w:p>
      <w:pPr>
        <w:pStyle w:val="Heading2"/>
      </w:pPr>
      <w:r>
        <w:t xml:space="preserve">2.4 Vérification en environnement réel</w:t>
      </w:r>
    </w:p>
    <w:p>
      <w:pPr>
        <w:spacing w:after="120" w:line="276"/>
      </w:pPr>
      <w:r>
        <w:t xml:space="preserve">Lecture directe de l'état du processus applicatif (PID 1 du conteneur) depuis /proc/1/status sur thread-api, après bascule de privilège :</w:t>
      </w:r>
    </w:p>
    <w:p>
      <w:pPr>
        <w:spacing w:after="40" w:before="100"/>
      </w:pPr>
      <w:r>
        <w:rPr>
          <w:i/>
          <w:iCs/>
          <w:color w:val="666666"/>
          <w:sz w:val="18"/>
          <w:szCs w:val="18"/>
        </w:rPr>
        <w:t xml:space="preserve">Extrait — /proc/1/status, conteneur thread-api en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CapInh: 0000000000000000</w:t>
            </w:r>
          </w:p>
          <w:p>
            <w:pPr>
              <w:spacing w:after="0" w:line="240"/>
            </w:pPr>
            <w:r>
              <w:rPr>
                <w:rFonts w:ascii="Consolas" w:cs="Consolas" w:eastAsia="Consolas" w:hAnsi="Consolas"/>
                <w:color w:val="1A1A1A"/>
                <w:sz w:val="18"/>
                <w:szCs w:val="18"/>
              </w:rPr>
              <w:t xml:space="preserve">CapPrm: 0000000000000000</w:t>
            </w:r>
          </w:p>
          <w:p>
            <w:pPr>
              <w:spacing w:after="0" w:line="240"/>
            </w:pPr>
            <w:r>
              <w:rPr>
                <w:rFonts w:ascii="Consolas" w:cs="Consolas" w:eastAsia="Consolas" w:hAnsi="Consolas"/>
                <w:color w:val="1A1A1A"/>
                <w:sz w:val="18"/>
                <w:szCs w:val="18"/>
              </w:rPr>
              <w:t xml:space="preserve">CapEff: 0000000000000000</w:t>
            </w:r>
          </w:p>
          <w:p>
            <w:pPr>
              <w:spacing w:after="0" w:line="240"/>
            </w:pPr>
            <w:r>
              <w:rPr>
                <w:rFonts w:ascii="Consolas" w:cs="Consolas" w:eastAsia="Consolas" w:hAnsi="Consolas"/>
                <w:color w:val="1A1A1A"/>
                <w:sz w:val="18"/>
                <w:szCs w:val="18"/>
              </w:rPr>
              <w:t xml:space="preserve">CapBnd: 00000000000000c1</w:t>
            </w:r>
          </w:p>
          <w:p>
            <w:pPr>
              <w:spacing w:after="0" w:line="240"/>
            </w:pPr>
            <w:r>
              <w:rPr>
                <w:rFonts w:ascii="Consolas" w:cs="Consolas" w:eastAsia="Consolas" w:hAnsi="Consolas"/>
                <w:color w:val="1A1A1A"/>
                <w:sz w:val="18"/>
                <w:szCs w:val="18"/>
              </w:rPr>
              <w:t xml:space="preserve">CapAmb: 0000000000000000</w:t>
            </w:r>
          </w:p>
        </w:tc>
      </w:tr>
    </w:tbl>
    <w:p>
      <w:pPr>
        <w:pStyle w:val="Heading2"/>
      </w:pPr>
      <w:r>
        <w:t xml:space="preserve">2.5 Justification de sécurité — capacité résiduelle</w:t>
      </w:r>
    </w:p>
    <w:p>
      <w:pPr>
        <w:spacing w:after="120" w:line="276"/>
      </w:pPr>
      <w:r>
        <w:t xml:space="preserve">L'appel setresuid() vers un UID non nul, depuis un processus initialement root, vide les ensembles permitted et effective par règle du noyau Linux (capabilities(7)). C'est ce que confirment CapPrm et CapEff à zéro ci-dessus : le processus applicatif final ne dispose, à l'exécution, d'aucune capacité active.</w:t>
      </w:r>
    </w:p>
    <w:p>
      <w:pPr>
        <w:spacing w:after="120" w:line="276"/>
      </w:pPr>
      <w:r>
        <w:t xml:space="preserve">Le seul ensemble non nul est le bounding set (CapBnd = 0x00000000000000c1, soit les bits 0, 6 et 7 : CAP_CHOWN, CAP_SETGID, CAP_SETUID). Ce set fixe un plafond théorique, pas une autorisation : il ne confère aucun privilège tant qu'aucun mécanisme ne permet de le faire remonter dans les ensembles permitted ou effective. Deux conditions empêchent ce passage ici :</w:t>
      </w:r>
    </w:p>
    <w:p>
      <w:pPr>
        <w:pStyle w:val="ListParagraph"/>
        <w:numPr>
          <w:ilvl w:val="0"/>
          <w:numId w:val="2"/>
        </w:numPr>
        <w:spacing w:after="60"/>
      </w:pPr>
      <w:r>
        <w:t xml:space="preserve">l'ensemble inheritable (CapInh) est à zéro, donc aucune capacité ne peut être transmise à un processus enfant exécuté depuis ce conteneur ;</w:t>
      </w:r>
    </w:p>
    <w:p>
      <w:pPr>
        <w:pStyle w:val="ListParagraph"/>
        <w:numPr>
          <w:ilvl w:val="0"/>
          <w:numId w:val="2"/>
        </w:numPr>
        <w:spacing w:after="60"/>
      </w:pPr>
      <w:r>
        <w:t xml:space="preserve">les binaires applicatifs exécutés (gunicorn, apache2, node) ne portent aucune capacité de fichier (file capabilities), seul mécanisme qui aurait pu réintroduire une capacité du bounding set vers l'ensemble permitted au moment d'un exec().</w:t>
      </w:r>
    </w:p>
    <w:p>
      <w:pPr>
        <w:spacing w:after="120" w:line="276"/>
      </w:pPr>
      <w:r>
        <w:t xml:space="preserve">L'option security_opt: no-new-privileges:true, déjà appliquée à l'ensemble des services, ajoute une couche défensive indépendante : elle bloque toute élévation de privilège via bit setuid de fichier ou capacité de fichier, quelle que soit l'origine du binaire exécuté.</w:t>
      </w:r>
    </w:p>
    <w:p>
      <w:pPr>
        <w:pStyle w:val="Heading1"/>
      </w:pPr>
      <w:r>
        <w:t xml:space="preserve">3. Anomalie 2 — comportement de redémarrage automatique</w:t>
      </w:r>
    </w:p>
    <w:p>
      <w:pPr>
        <w:pStyle w:val="Heading2"/>
      </w:pPr>
      <w:r>
        <w:t xml:space="preserve">3.1 Scénario testé et résultat attendu</w:t>
      </w:r>
    </w:p>
    <w:p>
      <w:pPr>
        <w:spacing w:after="120" w:line="276"/>
      </w:pPr>
      <w:r>
        <w:t xml:space="preserve">Le script de démonstration prévoyait initialement d'illustrer la résilience de la stack par un arrêt forcé d'un conteneur (docker kill), suivi d'une vérification que la politique restart: unless-stopped déclenche un redémarrage automatique. Deux variantes de cet arrêt forcé n'ont produit aucun redémarrage.</w:t>
      </w:r>
    </w:p>
    <w:p>
      <w:pPr>
        <w:pStyle w:val="Heading2"/>
      </w:pPr>
      <w:r>
        <w:t xml:space="preserve">3.2 Diagnostic — docker kill depuis l'hôte</w:t>
      </w:r>
    </w:p>
    <w:p>
      <w:pPr>
        <w:spacing w:after="120" w:line="276"/>
      </w:pPr>
      <w:r>
        <w:t xml:space="preserve">La commande docker kill &lt;container&gt; envoie un signal au conteneur en passant par l'API du démon Docker. Sur Docker Engine 29.x, cet appel marque le conteneur comme arrêté explicitement par l'utilisateur — exactement le même marquage qu'un docker stop. La politique restart: unless-stopped est, par construction, désactivée dans ce cas : elle ne s'applique qu'aux arrêts non sollicités (crash applicatif, signal système), pas aux arrêts explicites via l'API.</w:t>
      </w:r>
    </w:p>
    <w:p>
      <w:pPr>
        <w:pStyle w:val="Heading2"/>
      </w:pPr>
      <w:r>
        <w:t xml:space="preserve">3.3 Diagnostic — signal envoyé au PID 1 depuis l'intérieur du conteneur</w:t>
      </w:r>
    </w:p>
    <w:p>
      <w:pPr>
        <w:spacing w:after="120" w:line="276"/>
      </w:pPr>
      <w:r>
        <w:t xml:space="preserve">Variante testée : docker exec &lt;service&gt; kill 1, pour envoyer un signal au processus principal depuis l'intérieur de son propre espace de noms de PID. Aucun effet, y compris avec SIGKILL. Le noyau Linux applique aux processus PID 1 d'un espace de noms les mêmes protections qu'à l'init système : ils ignorent par défaut les signaux pour lesquels aucun gestionnaire explicite n'a été installé, lorsque ce signal provient du même espace de noms (signal(7)).</w:t>
      </w:r>
    </w:p>
    <w:p>
      <w:pPr>
        <w:pStyle w:val="Heading2"/>
      </w:pPr>
      <w:r>
        <w:t xml:space="preserve">3.4 Correctif opérationnel retenu</w:t>
      </w:r>
    </w:p>
    <w:p>
      <w:pPr>
        <w:spacing w:after="120" w:line="276"/>
      </w:pPr>
      <w:r>
        <w:t xml:space="preserve">Pour simuler un arrêt non sollicité, et donc déclencher la politique de redémarrage, le signal doit être envoyé depuis l'hôte, en ciblant directement le PID du processus tel que vu par le noyau hôte — en dehors de l'espace de noms du conteneur et sans passer par l'API "stop" du démon.</w:t>
      </w:r>
    </w:p>
    <w:p>
      <w:pPr>
        <w:spacing w:after="40" w:before="100"/>
      </w:pPr>
      <w:r>
        <w:rPr>
          <w:i/>
          <w:iCs/>
          <w:color w:val="666666"/>
          <w:sz w:val="18"/>
          <w:szCs w:val="18"/>
        </w:rPr>
        <w:t xml:space="preserve">Commandes exécutées sur stitch-processor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HOST_PID=$(docker inspect vi-stitch-processor-1 --format '{{.State.Pid}}')</w:t>
            </w:r>
          </w:p>
          <w:p>
            <w:pPr>
              <w:spacing w:after="0" w:line="240"/>
            </w:pPr>
            <w:r>
              <w:rPr>
                <w:rFonts w:ascii="Consolas" w:cs="Consolas" w:eastAsia="Consolas" w:hAnsi="Consolas"/>
                <w:color w:val="1A1A1A"/>
                <w:sz w:val="18"/>
                <w:szCs w:val="18"/>
              </w:rPr>
              <w:t xml:space="preserve">kill -SIGKILL "$HOST_PID"</w:t>
            </w:r>
          </w:p>
        </w:tc>
      </w:tr>
    </w:tbl>
    <w:p>
      <w:pPr>
        <w:spacing w:after="120" w:line="276"/>
      </w:pPr>
      <w:r>
        <w:t xml:space="preserve">Résultat mesuré : PID hôte 83264 signalé ; conteneur en état "Up 3 seconds (health: starting)" trois secondes après le signal, puis "Up 20 seconds (healthy)" vingt secondes après. RestartCount=1, StartedAt=2026-06-25T21:54:32Z. Le redémarrage automatique est confirmé, en deçà de trente secondes, sans intervention manuelle au-delà de l'envoi du signal initial. Ce mécanisme est documenté dans scripts/demo.sh (étape 8), avec les trois causes ci-dessus en commentaire.</w:t>
      </w:r>
    </w:p>
    <w:p>
      <w:pPr>
        <w:pStyle w:val="Heading1"/>
      </w:pPr>
      <w:r>
        <w:t xml:space="preserve">4. Preuves de fonctionnement</w:t>
      </w:r>
    </w:p>
    <w:p>
      <w:pPr>
        <w:pStyle w:val="Heading2"/>
      </w:pPr>
      <w:r>
        <w:t xml:space="preserve">4.1 Suite de tests automatisés</w:t>
      </w:r>
    </w:p>
    <w:p>
      <w:pPr>
        <w:spacing w:after="120" w:line="276"/>
      </w:pPr>
      <w:r>
        <w:t xml:space="preserve">29 tests pytest, couvrant la vérification de mot de passe (cas valide, invalide, hash malformé), les modèles de validation Pydantic (champ inattendu, type invalide, champ manquant), et l'API Flask (authentification, rejeu de l'injection SQL historiquement subie par le prof, contrôle d'accès IDOR, jeton invalide, corps de requête invalide).</w:t>
      </w:r>
    </w:p>
    <w:p>
      <w:pPr>
        <w:spacing w:after="40" w:before="100"/>
      </w:pPr>
      <w:r>
        <w:rPr>
          <w:i/>
          <w:iCs/>
          <w:color w:val="666666"/>
          <w:sz w:val="18"/>
          <w:szCs w:val="18"/>
        </w:rPr>
        <w:t xml:space="preserve">Sortie de make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29 passed in 4.08s</w:t>
            </w:r>
          </w:p>
        </w:tc>
      </w:tr>
    </w:tbl>
    <w:p>
      <w:pPr>
        <w:pStyle w:val="Heading2"/>
      </w:pPr>
      <w:r>
        <w:t xml:space="preserve">4.2 Preuve d'isolation réseau</w:t>
      </w:r>
    </w:p>
    <w:p>
      <w:pPr>
        <w:spacing w:after="40" w:before="100"/>
      </w:pPr>
      <w:r>
        <w:rPr>
          <w:i/>
          <w:iCs/>
          <w:color w:val="666666"/>
          <w:sz w:val="18"/>
          <w:szCs w:val="18"/>
        </w:rPr>
        <w:t xml:space="preserve">Sortie de make nmap (depuis localhost)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Preuve d'isolation réseau — localhost ===</w:t>
            </w:r>
          </w:p>
          <w:p>
            <w:pPr>
              <w:spacing w:after="0" w:line="240"/>
            </w:pPr>
            <w:r>
              <w:rPr>
                <w:rFonts w:ascii="Consolas" w:cs="Consolas" w:eastAsia="Consolas" w:hAnsi="Consolas"/>
                <w:color w:val="1A1A1A"/>
                <w:sz w:val="18"/>
                <w:szCs w:val="18"/>
              </w:rPr>
              <w:t xml:space="preserve">--- Vérification ports exposés (80/443) ---</w:t>
            </w:r>
          </w:p>
          <w:p>
            <w:pPr>
              <w:spacing w:after="0" w:line="240"/>
            </w:pPr>
            <w:r>
              <w:rPr>
                <w:rFonts w:ascii="Consolas" w:cs="Consolas" w:eastAsia="Consolas" w:hAnsi="Consolas"/>
                <w:color w:val="1A1A1A"/>
                <w:sz w:val="18"/>
                <w:szCs w:val="18"/>
              </w:rPr>
              <w:t xml:space="preserve">80/tcp  open  http</w:t>
            </w:r>
          </w:p>
          <w:p>
            <w:pPr>
              <w:spacing w:after="0" w:line="240"/>
            </w:pPr>
            <w:r>
              <w:rPr>
                <w:rFonts w:ascii="Consolas" w:cs="Consolas" w:eastAsia="Consolas" w:hAnsi="Consolas"/>
                <w:color w:val="1A1A1A"/>
                <w:sz w:val="18"/>
                <w:szCs w:val="18"/>
              </w:rPr>
              <w:t xml:space="preserve">443/tcp open  https</w:t>
            </w:r>
          </w:p>
          <w:p>
            <w:pPr>
              <w:spacing w:after="0" w:line="240"/>
            </w:pPr>
            <w:r>
              <w:rPr>
                <w:rFonts w:ascii="Consolas" w:cs="Consolas" w:eastAsia="Consolas" w:hAnsi="Consolas"/>
                <w:color w:val="1A1A1A"/>
                <w:sz w:val="18"/>
                <w:szCs w:val="18"/>
              </w:rPr>
              <w:t xml:space="preserve">--- Vérification ports internes (doivent être fermés) ---</w:t>
            </w:r>
          </w:p>
          <w:p>
            <w:pPr>
              <w:spacing w:after="0" w:line="240"/>
            </w:pPr>
            <w:r>
              <w:rPr>
                <w:rFonts w:ascii="Consolas" w:cs="Consolas" w:eastAsia="Consolas" w:hAnsi="Consolas"/>
                <w:color w:val="1A1A1A"/>
                <w:sz w:val="18"/>
                <w:szCs w:val="18"/>
              </w:rPr>
              <w:t xml:space="preserve">3000/tcp closed    (Grafana)</w:t>
            </w:r>
          </w:p>
          <w:p>
            <w:pPr>
              <w:spacing w:after="0" w:line="240"/>
            </w:pPr>
            <w:r>
              <w:rPr>
                <w:rFonts w:ascii="Consolas" w:cs="Consolas" w:eastAsia="Consolas" w:hAnsi="Consolas"/>
                <w:color w:val="1A1A1A"/>
                <w:sz w:val="18"/>
                <w:szCs w:val="18"/>
              </w:rPr>
              <w:t xml:space="preserve">5432/tcp closed    (PostgreSQL)</w:t>
            </w:r>
          </w:p>
          <w:p>
            <w:pPr>
              <w:spacing w:after="0" w:line="240"/>
            </w:pPr>
            <w:r>
              <w:rPr>
                <w:rFonts w:ascii="Consolas" w:cs="Consolas" w:eastAsia="Consolas" w:hAnsi="Consolas"/>
                <w:color w:val="1A1A1A"/>
                <w:sz w:val="18"/>
                <w:szCs w:val="18"/>
              </w:rPr>
              <w:t xml:space="preserve">8080/tcp closed    (thread-api / tailor-panel)</w:t>
            </w:r>
          </w:p>
          <w:p>
            <w:pPr>
              <w:spacing w:after="0" w:line="240"/>
            </w:pPr>
            <w:r>
              <w:rPr>
                <w:rFonts w:ascii="Consolas" w:cs="Consolas" w:eastAsia="Consolas" w:hAnsi="Consolas"/>
                <w:color w:val="1A1A1A"/>
                <w:sz w:val="18"/>
                <w:szCs w:val="18"/>
              </w:rPr>
              <w:t xml:space="preserve">8082/tcp closed    (stitch-processor)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RESULTAT : isolation reseau confirmee.</w:t>
            </w:r>
          </w:p>
          <w:p>
            <w:pPr>
              <w:spacing w:after="0" w:line="240"/>
            </w:pPr>
            <w:r>
              <w:rPr>
                <w:rFonts w:ascii="Consolas" w:cs="Consolas" w:eastAsia="Consolas" w:hAnsi="Consolas"/>
                <w:color w:val="1A1A1A"/>
                <w:sz w:val="18"/>
                <w:szCs w:val="18"/>
              </w:rPr>
              <w:t xml:space="preserve">Seul le reverse-proxy est visible depuis l'exterieur du conteneur.</w:t>
            </w:r>
          </w:p>
        </w:tc>
      </w:tr>
    </w:tbl>
    <w:p>
      <w:pPr>
        <w:pStyle w:val="Heading1"/>
      </w:pPr>
      <w:r>
        <w:t xml:space="preserve">5. Risques résiduels — état technique précis</w:t>
      </w:r>
    </w:p>
    <w:p>
      <w:pPr>
        <w:spacing w:after="120" w:line="276"/>
      </w:pPr>
      <w:r>
        <w:t xml:space="preserve">Liste arrêtée au 26 juin 2026, à reprendre telle quelle dans la matrice de risques du dossier.</w:t>
      </w:r>
    </w:p>
    <w:p>
      <w:pPr>
        <w:spacing w:after="80" w:before="140"/>
      </w:pPr>
      <w:r>
        <w:rPr>
          <w:b/>
          <w:bCs/>
          <w:color w:val="2E5C8A"/>
          <w:sz w:val="22"/>
          <w:szCs w:val="22"/>
        </w:rPr>
        <w:t xml:space="preserve">5.1 Sauvegarde et restauration</w:t>
      </w:r>
    </w:p>
    <w:p>
      <w:pPr>
        <w:spacing w:after="120" w:line="276"/>
      </w:pPr>
      <w:r>
        <w:t xml:space="preserve">scripts/backup.sh (pg_dump, compression gzip, chiffrement AES-256-CBC avec dérivation PBKDF2, synchronisation distante optionnelle, rotation sur les 7 dernières archives) et scripts/restore-drill.sh (déchiffrement, vérification d'intégrité de l'archive, restauration sur une base de test velvet_drill, comptage de lignes restaurées, nettoyage) existent et sont complets. Aucun des deux n'a été exécuté sur cette VM : le répertoire backups/ n'existe pas encore. Statut : scripts rédigés, exécution non prouvée.</w:t>
      </w:r>
    </w:p>
    <w:p>
      <w:pPr>
        <w:spacing w:after="80" w:before="140"/>
      </w:pPr>
      <w:r>
        <w:rPr>
          <w:b/>
          <w:bCs/>
          <w:color w:val="2E5C8A"/>
          <w:sz w:val="22"/>
          <w:szCs w:val="22"/>
        </w:rPr>
        <w:t xml:space="preserve">5.2 Compte de base de données dédié à Grafana</w:t>
      </w:r>
    </w:p>
    <w:p>
      <w:pPr>
        <w:spacing w:after="120" w:line="276"/>
      </w:pPr>
      <w:r>
        <w:t xml:space="preserve">Grafana se connecte actuellement à PostgreSQL avec l'utilisateur velvet, qui dispose des droits complets sur la base (lecture et écriture sur toutes les tables). Aucun rôle grafana_ro en lecture seule n'est défini dans db-velvet/init.sql. Le correctif est documenté (création de rôle, droits SELECT uniquement, secret dédié) mais non appliqué.</w:t>
      </w:r>
    </w:p>
    <w:p>
      <w:pPr>
        <w:spacing w:after="80" w:before="140"/>
      </w:pPr>
      <w:r>
        <w:rPr>
          <w:b/>
          <w:bCs/>
          <w:color w:val="2E5C8A"/>
          <w:sz w:val="22"/>
          <w:szCs w:val="22"/>
        </w:rPr>
        <w:t xml:space="preserve">5.3 Chiffrement des données au repos</w:t>
      </w:r>
    </w:p>
    <w:p>
      <w:pPr>
        <w:spacing w:after="120" w:line="276"/>
      </w:pPr>
      <w:r>
        <w:t xml:space="preserve">Confirmé absent. Relevé sur l'instance PostgreSQL : ssl = off (attendu, le trafic reste interne au réseau Docker) et password_encryption = scram-sha-256, qui ne concerne que le hachage des mots de passe de connexion, pas le contenu stocké. Aucune extension pgcrypto, aucun chiffrement de volume (LUKS/dm-crypt), aucun TDE. La table health_data est stockée en clair sur le volume db-data. Cible retenue pour la production : chiffrement au niveau du système de fichiers (LUKS sur le LUN hébergeant le volume).</w:t>
      </w:r>
    </w:p>
    <w:p>
      <w:pPr>
        <w:spacing w:after="80" w:before="140"/>
      </w:pPr>
      <w:r>
        <w:rPr>
          <w:b/>
          <w:bCs/>
          <w:color w:val="2E5C8A"/>
          <w:sz w:val="22"/>
          <w:szCs w:val="22"/>
        </w:rPr>
        <w:t xml:space="preserve">5.4 Stabilité de la couche observabilité</w:t>
      </w:r>
    </w:p>
    <w:p>
      <w:pPr>
        <w:spacing w:after="120" w:line="276"/>
      </w:pPr>
      <w:r>
        <w:t xml:space="preserve">Prometheus, Loki et Promtail fonctionnent sans erreur ni avertissement sur la dernière heure de journaux examinée. node-exporter affiche une durée de fonctionnement sensiblement plus courte que les autres services (environ une heure contre neuf heures) ; aucune sonde de santé n'étant configurée sur cette image tierce, un redémarrage antérieur n'a laissé aucune trace. Aucun impact fonctionnel constaté.</w:t>
      </w:r>
    </w:p>
    <w:p>
      <w:pPr>
        <w:spacing w:after="80" w:before="140"/>
      </w:pPr>
      <w:r>
        <w:rPr>
          <w:b/>
          <w:bCs/>
          <w:color w:val="2E5C8A"/>
          <w:sz w:val="22"/>
          <w:szCs w:val="22"/>
        </w:rPr>
        <w:t xml:space="preserve">5.5 Intégration continue</w:t>
      </w:r>
    </w:p>
    <w:p>
      <w:pPr>
        <w:spacing w:after="120" w:line="276"/>
      </w:pPr>
      <w:r>
        <w:t xml:space="preserve">Le pipeline GitHub Actions (hadolint, validation de configuration Compose, build, scan Trivy) n'a pas encore été vérifié sur le dernier commit poussé (d502551). À contrôler avant utilisation comme preuve de reproductibilité.</w:t>
      </w:r>
    </w:p>
    <w:p>
      <w:pPr>
        <w:pStyle w:val="Heading1"/>
      </w:pPr>
      <w:r>
        <w:t xml:space="preserve">6. Traçabilité</w:t>
      </w:r>
    </w:p>
    <w:p>
      <w:pPr>
        <w:spacing w:after="120" w:line="276"/>
      </w:pPr>
      <w:r>
        <w:t xml:space="preserve">Dernier commit poussé sur la branche main : d502551 (10 fichiers, 97 insertions, 17 suppressions). Fichiers modifiés : docker-compose.yml, thread-api/Dockerfile et entrypoint.sh, tailor-panel/Dockerfile et entrypoint.sh, stitch-processor/Dockerfile et entrypoint.sh, thread-api/requirements.txt (psycopg2-binary 2.9.9 vers 2.9.12, compatibilité Python 3.13 de l'hôte, sans impact fonctionnel puisque le conteneur exécute Python 3.12), scripts/demo.sh, ARCHITECTURE.md.</w:t>
      </w:r>
    </w:p>
    <w:p>
      <w:pPr>
        <w:spacing w:after="120" w:line="276"/>
      </w:pPr>
      <w:r>
        <w:t xml:space="preserve">Méthode de vérification appliquée avant chaque commit sur ce projet : git diff --cached --name-only filtré sur les chemins des fichiers de secrets et du répertoire TLS, qui doit retourner une liste vide avant tout commit.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2026-06-25T22:20:11.069Z</dcterms:created>
  <dcterms:modified xsi:type="dcterms:W3CDTF">2026-06-25T22:20:11.071Z</dcterms:modified>
</cp:coreProperties>
</file>

<file path=docProps/custom.xml><?xml version="1.0" encoding="utf-8"?>
<Properties xmlns="http://schemas.openxmlformats.org/officeDocument/2006/custom-properties" xmlns:vt="http://schemas.openxmlformats.org/officeDocument/2006/docPropsVTypes"/>
</file>