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Override PartName="/word/media/rId83.png" ContentType="image/png"/>
  <Override PartName="/word/media/rId8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 deployment</w:t>
      </w:r>
      <w:r>
        <w:t xml:space="preserve">,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Pola 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sejalan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yang dipaparkan secara skematis oleh Jin dkk. (2024) dan Murthy dkk. (2024).</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0" w:name="b.-studi-pustaka"/>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 †</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 †</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 †</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rPr>
          <w:b/>
        </w:rPr>
        <w:t xml:space="preserve">Catatan:</w:t>
      </w:r>
      <w:r>
        <w:t xml:space="preserve"> </w:t>
      </w:r>
      <w:r>
        <w:t xml:space="preserve">kolom</w:t>
      </w:r>
      <w:r>
        <w:t xml:space="preserve"> </w:t>
      </w:r>
      <w:r>
        <w:rPr>
          <w:b/>
        </w:rPr>
        <w:t xml:space="preserve">N</w:t>
      </w:r>
      <w:r>
        <w:t xml:space="preserve"> </w:t>
      </w:r>
      <w:r>
        <w:t xml:space="preserve">menunjukkan jumlah pengulangan pengujian (replikasi) untuk setiap varian; tiga kali untuk seluruh varian LFM 2.5 dan untuk seluruh varian Qwen 3.5. Tanda</w:t>
      </w:r>
      <w:r>
        <w:t xml:space="preserve"> </w:t>
      </w:r>
      <w:r>
        <w:rPr>
          <w:b/>
        </w:rPr>
        <w:t xml:space="preserve">†</w:t>
      </w:r>
      <w:r>
        <w:t xml:space="preserve"> </w:t>
      </w:r>
      <w:r>
        <w:t xml:space="preserve">pada tiga varian Qwen 3.5 terkuantisasi (Q5_K_M, Q4_K_M, Q3_K_M) menandakan bahwa dua ulangan pertama merupakan ulangan eksperimental penuh, sedangkan ulangan ketiga merupakan</w:t>
      </w:r>
      <w:r>
        <w:t xml:space="preserve"> </w:t>
      </w:r>
      <w:r>
        <w:rPr>
          <w:b/>
        </w:rPr>
        <w:t xml:space="preserve">replikasi rerata</w:t>
      </w:r>
      <w:r>
        <w:t xml:space="preserve"> </w:t>
      </w:r>
      <w:r>
        <w:t xml:space="preserve">(</w:t>
      </w:r>
      <w:r>
        <w:rPr>
          <w:i/>
        </w:rPr>
        <w:t xml:space="preserve">mean replicate</w:t>
      </w:r>
      <w:r>
        <w:t xml:space="preserve"> </w:t>
      </w:r>
      <w:r>
        <w:t xml:space="preserve">/ imputasi titik tengah dari dua ulangan terdahulu) yang ditambahkan agar ukuran sampel statistik seragam dengan varian lainnya. Pengambilan ulangan eksperimental ketiga secara langsung tidak dilakukan akibat keterbatasan termal perangkat (</w:t>
      </w:r>
      <w:r>
        <w:rPr>
          <w:i/>
        </w:rPr>
        <w:t xml:space="preserve">thermal throttling</w:t>
      </w:r>
      <w:r>
        <w:t xml:space="preserve"> </w:t>
      </w:r>
      <w:r>
        <w:t xml:space="preserve">pada pengujian beruntun untuk model 2B), sehingga konsekuensi metodologis dari pendekatan ini, yaitu deflasi simpangan baku sebesar faktor √(2/3) ≈ 0,816 yang membuat ulangan tampak lebih stabil dari kondisi eksperimental sesungguhnya, perlu diingat ketika menafsirkan p-</w:t>
      </w:r>
      <w:r>
        <w:rPr>
          <w:i/>
        </w:rPr>
        <w:t xml:space="preserve">value</w:t>
      </w:r>
      <w:r>
        <w:t xml:space="preserve"> </w:t>
      </w:r>
      <w:r>
        <w:t xml:space="preserve">yang dihitung pada Tabel IV.9. Nilai rerata pada setiap sel tetap setara dengan rerata dari dua ulangan eksperimental sebelumnya, sehingga</w:t>
      </w:r>
      <w:r>
        <w:t xml:space="preserve"> </w:t>
      </w:r>
      <w:r>
        <w:rPr>
          <w:b/>
        </w:rPr>
        <w:t xml:space="preserve">inferensi terhadap rerata tidak terbias oleh imputasi ini</w:t>
      </w:r>
      <w:r>
        <w:t xml:space="preserve">. Kolom CPU</w:t>
      </w:r>
      <w:r>
        <w:t xml:space="preserve"> </w:t>
      </w:r>
      <w:r>
        <w:rPr>
          <w:i/>
        </w:rPr>
        <w:t xml:space="preserve">Peak</w:t>
      </w:r>
      <w:r>
        <w:t xml:space="preserve"> </w:t>
      </w:r>
      <w:r>
        <w:t xml:space="preserve">(%)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w:t>
      </w:r>
      <w:r>
        <w:t xml:space="preserve"> </w:t>
      </w:r>
      <w:r>
        <w:rPr>
          <w:i/>
        </w:rPr>
        <w:t xml:space="preserve">baseline</w:t>
      </w:r>
      <w:r>
        <w:t xml:space="preserve"> </w:t>
      </w:r>
      <w:r>
        <w:t xml:space="preserve">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2" w:name="X36546d104bf276b302187762eebc3ad823b5b8e"/>
      <w:r>
        <w:t xml:space="preserve">4.4.5 Kuantifikasi Penurunan Kepintaran F16 vs Q3/Q4/Q5 dan Rekomendasi Varian Operasional untuk Tecno Pova 5</w:t>
      </w:r>
      <w:bookmarkEnd w:id="82"/>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Kuantifikasi disajikan untuk</w:t>
      </w:r>
      <w:r>
        <w:t xml:space="preserve"> </w:t>
      </w:r>
      <w:r>
        <w:rPr>
          <w:b/>
        </w:rPr>
        <w:t xml:space="preserve">kedua keluarga model</w:t>
      </w:r>
      <w:r>
        <w:t xml:space="preserve"> </w:t>
      </w:r>
      <w:r>
        <w:t xml:space="preserve">yang diuji, yaitu LFM 2.5 (1,2B) sebagai</w:t>
      </w:r>
      <w:r>
        <w:t xml:space="preserve"> </w:t>
      </w:r>
      <w:r>
        <w:rPr>
          <w:i/>
        </w:rPr>
        <w:t xml:space="preserve">baseline</w:t>
      </w:r>
      <w:r>
        <w:t xml:space="preserve"> </w:t>
      </w:r>
      <w:r>
        <w:t xml:space="preserve">analisis utama karena memiliki profil pengukuran kognitif yang paling stabil, dan Qwen 3.5 (2B) sebagai pembanding lintas-arsitektur (Sub-subbab</w:t>
      </w:r>
      <w:r>
        <w:t xml:space="preserve"> </w:t>
      </w:r>
      <w:r>
        <w:t xml:space="preserve">“</w:t>
      </w:r>
      <w:r>
        <w:t xml:space="preserve">Analisis Paralel pada Qwen 3.5</w:t>
      </w:r>
      <w:r>
        <w:t xml:space="preserve">”</w:t>
      </w:r>
      <w:r>
        <w:t xml:space="preserve">). Khusus untuk Qwen 3.5, skor GSM8K diberi tanda dagger dan</w:t>
      </w:r>
      <w:r>
        <w:t xml:space="preserve"> </w:t>
      </w:r>
      <w:r>
        <w:rPr>
          <w:b/>
        </w:rPr>
        <w:t xml:space="preserve">dikeluarkan dari komputasi rerata akurasi</w:t>
      </w:r>
      <w:r>
        <w:t xml:space="preserve"> </w:t>
      </w:r>
      <w:r>
        <w:t xml:space="preserve">akibat keterbatasan instrumen evaluasi pada</w:t>
      </w:r>
      <w:r>
        <w:t xml:space="preserve"> </w:t>
      </w:r>
      <w:r>
        <w:rPr>
          <w:i/>
        </w:rPr>
        <w:t xml:space="preserve">reasoning model</w:t>
      </w:r>
      <w:r>
        <w:t xml:space="preserve"> </w:t>
      </w:r>
      <w:r>
        <w:t xml:space="preserve">yang telah dijabarkan pada Sub-bab 4.3.3, sehingga rerata Qwen 3.5 dihitung dari tiga</w:t>
      </w:r>
      <w:r>
        <w:t xml:space="preserve"> </w:t>
      </w:r>
      <w:r>
        <w:rPr>
          <w:i/>
        </w:rPr>
        <w:t xml:space="preserve">benchmark</w:t>
      </w:r>
      <w:r>
        <w:t xml:space="preserve"> </w:t>
      </w:r>
      <w:r>
        <w:t xml:space="preserve">non-GSM8K (MMLU, HumanEval,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3"/>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84" w:name="analisis-paralel-pada-qwen-3.5-2b"/>
      <w:r>
        <w:t xml:space="preserve">Analisis Paralel pada Qwen 3.5 (2B)</w:t>
      </w:r>
      <w:bookmarkEnd w:id="84"/>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Berdasarkan Tabel IV.6-B, profil degradasi Qwen 3.5 menunjukkan tiga karakteristik yang patut digarisbawahi: (1) Q3_K_M memperlihatkan retensi MMLU sempurna (40%, ΔQ3 = ±0) tetapi</w:t>
      </w:r>
      <w:r>
        <w:t xml:space="preserve"> </w:t>
      </w:r>
      <w:r>
        <w:rPr>
          <w:i/>
        </w:rPr>
        <w:t xml:space="preserve">collapse</w:t>
      </w:r>
      <w:r>
        <w:t xml:space="preserve"> </w:t>
      </w:r>
      <w:r>
        <w:t xml:space="preserve">tajam pada HumanEval (52% → 25%, ΔQ3 = −27 poin), pola yang mengindikasikan bahwa kuantisasi 3-bit pada model</w:t>
      </w:r>
      <w:r>
        <w:t xml:space="preserve"> </w:t>
      </w:r>
      <w:r>
        <w:rPr>
          <w:i/>
        </w:rPr>
        <w:t xml:space="preserve">reasoning</w:t>
      </w:r>
      <w:r>
        <w:t xml:space="preserve"> </w:t>
      </w:r>
      <w:r>
        <w:t xml:space="preserve">lebih mempengaruhi</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(2) Q4_K_M tetap menjadi titik keseimbangan terbaik dengan retensi gabungan 91,2% terhadap F16, sejalan dengan rekomendasi LFM; (3)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aritmetik pada</w:t>
      </w:r>
      <w:r>
        <w:t xml:space="preserve"> </w:t>
      </w:r>
      <w:r>
        <w:rPr>
          <w:i/>
        </w:rPr>
        <w:t xml:space="preserve">Compound Score</w:t>
      </w:r>
      <w:r>
        <w:t xml:space="preserve"> </w:t>
      </w:r>
      <w:r>
        <w:t xml:space="preserve">(1,79) tetapi tetap</w:t>
      </w:r>
      <w:r>
        <w:t xml:space="preserve"> </w:t>
      </w:r>
      <w:r>
        <w:rPr>
          <w:b/>
        </w:rPr>
        <w:t xml:space="preserve">tidak direkomendasikan</w:t>
      </w:r>
      <w:r>
        <w:t xml:space="preserve"> </w:t>
      </w:r>
      <w:r>
        <w:t xml:space="preserve">karena (i)</w:t>
      </w:r>
      <w:r>
        <w:t xml:space="preserve"> </w:t>
      </w:r>
      <w:r>
        <w:rPr>
          <w:i/>
        </w:rPr>
        <w:t xml:space="preserve">collapse</w:t>
      </w:r>
      <w:r>
        <w:t xml:space="preserve"> </w:t>
      </w:r>
      <w:r>
        <w:t xml:space="preserve">HumanEval −27 poin yang mematikan</w:t>
      </w:r>
      <w:r>
        <w:t xml:space="preserve"> </w:t>
      </w:r>
      <w:r>
        <w:rPr>
          <w:i/>
        </w:rPr>
        <w:t xml:space="preserve">use case</w:t>
      </w:r>
      <w:r>
        <w:t xml:space="preserve"> </w:t>
      </w:r>
      <w:r>
        <w:t xml:space="preserve">utama asisten</w:t>
      </w:r>
      <w:r>
        <w:t xml:space="preserve"> </w:t>
      </w:r>
      <w:r>
        <w:rPr>
          <w:i/>
        </w:rPr>
        <w:t xml:space="preserve">coding</w:t>
      </w:r>
      <w:r>
        <w:t xml:space="preserve">, (ii) CPU</w:t>
      </w:r>
      <w:r>
        <w:t xml:space="preserve"> </w:t>
      </w:r>
      <w:r>
        <w:rPr>
          <w:i/>
        </w:rPr>
        <w:t xml:space="preserve">peak</w:t>
      </w:r>
      <w:r>
        <w:t xml:space="preserve"> </w:t>
      </w:r>
      <w:r>
        <w:t xml:space="preserve">525% (≈ 87,5% saturasi 6-</w:t>
      </w:r>
      <w:r>
        <w:rPr>
          <w:i/>
        </w:rPr>
        <w:t xml:space="preserve">thread</w:t>
      </w:r>
      <w:r>
        <w:t xml:space="preserve">) yang memperbesar risiko</w:t>
      </w:r>
      <w:r>
        <w:t xml:space="preserve"> </w:t>
      </w:r>
      <w:r>
        <w:rPr>
          <w:i/>
        </w:rPr>
        <w:t xml:space="preserve">thermal throttling</w:t>
      </w:r>
      <w:r>
        <w:t xml:space="preserve"> </w:t>
      </w:r>
      <w:r>
        <w:t xml:space="preserve">pada sesi panjang, dan (iii) anomali</w:t>
      </w:r>
      <w:r>
        <w:t xml:space="preserve"> </w:t>
      </w:r>
      <w:r>
        <w:rPr>
          <w:i/>
        </w:rPr>
        <w:t xml:space="preserve">Prompt Speed</w:t>
      </w:r>
      <w:r>
        <w:t xml:space="preserve"> </w:t>
      </w:r>
      <w:r>
        <w:t xml:space="preserve">14,55 t/s (vs Q4 27,00 t/s, vs Q5 22,55 t/s) sebagaimana dianalisis pada Sub-bab 4.4.2 dan dikonfirmasi secara statistik pada Tabel IV.9. Dengan demikian,</w:t>
      </w:r>
      <w:r>
        <w:t xml:space="preserve"> </w:t>
      </w:r>
      <w:r>
        <w:rPr>
          <w:b/>
        </w:rPr>
        <w:t xml:space="preserve">rekomendasi varian operasional Qwen 3.5 untuk Tecno Pova 5 jatuh pada Q4_K_M</w:t>
      </w:r>
      <w:r>
        <w:t xml:space="preserve">, konsisten dengan rekomendasi LFM 2.5, sehingga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85"/>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86" w:name="X4df5434ce2f391c4c2001fe43bf9772cf082150"/>
      <w:r>
        <w:t xml:space="preserve">4.4.6 Uji Statistik Signifikansi Perbedaan Performa Antar Varian</w:t>
      </w:r>
      <w:bookmarkEnd w:id="86"/>
    </w:p>
    <w:p>
      <w:pPr>
        <w:pStyle w:val="FirstParagrap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dilakukan untuk</w:t>
      </w:r>
      <w:r>
        <w:t xml:space="preserve"> </w:t>
      </w:r>
      <w:r>
        <w:rPr>
          <w:b/>
        </w:rPr>
        <w:t xml:space="preserve">kedua keluarga model</w:t>
      </w:r>
      <w:r>
        <w:t xml:space="preserve">, yaitu LFM 2.5 (1,2B) dan Qwen 3.5 (2B), agar pola signifikansi dapat dibandingkan lintas arsitektur. LFM 2.5 memiliki tiga ulangan eksperimental penuh untuk setiap varian, sedangkan Qwen 3.5 pada tiga varian terkuantisasi (Q5_K_M, Q4_K_M, Q3_K_M) menggunakan dua ulangan eksperimental ditambah satu replikasi rerata sebagaimana telah dijelaskan pada catatan Tabel IV.2.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 yang menghasilkan dua berkas keluaran terpisah:</w:t>
      </w:r>
      <w:r>
        <w:t xml:space="preserve"> </w:t>
      </w:r>
      <w:r>
        <w:rPr>
          <w:rStyle w:val="VerbatimChar"/>
        </w:rPr>
        <w:t xml:space="preserve">docs/data/statistical_tests_lfm.txt</w:t>
      </w:r>
      <w:r>
        <w:t xml:space="preserve"> </w:t>
      </w:r>
      <w:r>
        <w:t xml:space="preserve">dan</w:t>
      </w:r>
      <w:r>
        <w:t xml:space="preserve"> </w:t>
      </w:r>
      <w:r>
        <w:rPr>
          <w:rStyle w:val="VerbatimChar"/>
        </w:rPr>
        <w:t xml:space="preserve">docs/data/statistical_tests_qwen.txt</w:t>
      </w:r>
      <w:r>
        <w:t xml:space="preserve">.</w:t>
      </w:r>
    </w:p>
    <w:p>
      <w:pPr>
        <w:pStyle w:val="Heading4"/>
      </w:pPr>
      <w:bookmarkStart w:id="87" w:name="a.-hasil-uji-statistik-lfm-2.5-12b"/>
      <w:r>
        <w:t xml:space="preserve">A. Hasil Uji Statistik LFM 2.5 (1,2B)</w:t>
      </w:r>
      <w:bookmarkEnd w:id="87"/>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IV.8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Heading4"/>
      </w:pPr>
      <w:bookmarkStart w:id="88" w:name="b.-hasil-uji-statistik-qwen-3.5-2b"/>
      <w:r>
        <w:t xml:space="preserve">B. Hasil Uji Statistik Qwen 3.5 (2B)</w:t>
      </w:r>
      <w:bookmarkEnd w:id="88"/>
    </w:p>
    <w:p>
      <w:pPr>
        <w:pStyle w:val="TableCaption"/>
      </w:pPr>
      <w:r>
        <w:t xml:space="preserve">Tabel IV.9 Welch’s</w:t>
      </w:r>
      <w:r>
        <w:t xml:space="preserve"> </w:t>
      </w:r>
      <w:r>
        <w:rPr>
          <w:i/>
        </w:rPr>
        <w:t xml:space="preserve">t</w:t>
      </w:r>
      <w:r>
        <w:t xml:space="preserve">-test Antar Varian Qwen 3.5 untuk Tiga Metrik Performa Utama (α = 0,05) †</w:t>
      </w:r>
    </w:p>
    <w:tbl>
      <w:tblPr>
        <w:tblStyle w:val="Table"/>
        <w:tblW w:type="pct" w:w="5000.0"/>
        <w:tblLook w:firstRow="1"/>
        <w:tblCaption w:val="Tabel IV.9 Welch’s t-test Antar Varian Qwen 3.5 untuk Tiga Metrik Performa Utama (α = 0,05) †"/>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−12,51; p &lt; 0,001 **</w:t>
            </w:r>
          </w:p>
        </w:tc>
        <w:tc>
          <w:p>
            <w:pPr>
              <w:pStyle w:val="Compact"/>
              <w:jc w:val="left"/>
            </w:pPr>
            <w:r>
              <w:t xml:space="preserve">t = 0,12; p = 0,913 (n.s.)</w:t>
            </w:r>
          </w:p>
        </w:tc>
        <w:tc>
          <w:p>
            <w:pPr>
              <w:pStyle w:val="Compact"/>
              <w:jc w:val="left"/>
            </w:pPr>
            <w:r>
              <w:t xml:space="preserve">t = 156,02; p &lt; 0,001 **</w:t>
            </w:r>
          </w:p>
        </w:tc>
      </w:tr>
      <w:tr>
        <w:tc>
          <w:p>
            <w:pPr>
              <w:pStyle w:val="Compact"/>
              <w:jc w:val="left"/>
            </w:pPr>
            <w:r>
              <w:t xml:space="preserve">F16 vs Q4_K_M</w:t>
            </w:r>
          </w:p>
        </w:tc>
        <w:tc>
          <w:p>
            <w:pPr>
              <w:pStyle w:val="Compact"/>
              <w:jc w:val="left"/>
            </w:pPr>
            <w:r>
              <w:t xml:space="preserve">t = −15,69; p &lt; 0,001 **</w:t>
            </w:r>
          </w:p>
        </w:tc>
        <w:tc>
          <w:p>
            <w:pPr>
              <w:pStyle w:val="Compact"/>
              <w:jc w:val="left"/>
            </w:pPr>
            <w:r>
              <w:t xml:space="preserve">t = −2,23; p = 0,093 (n.s.)</w:t>
            </w:r>
          </w:p>
        </w:tc>
        <w:tc>
          <w:p>
            <w:pPr>
              <w:pStyle w:val="Compact"/>
              <w:jc w:val="left"/>
            </w:pPr>
            <w:r>
              <w:t xml:space="preserve">t = 207,44; p &lt; 0,001 **</w:t>
            </w:r>
          </w:p>
        </w:tc>
      </w:tr>
      <w:tr>
        <w:tc>
          <w:p>
            <w:pPr>
              <w:pStyle w:val="Compact"/>
              <w:jc w:val="left"/>
            </w:pPr>
            <w:r>
              <w:t xml:space="preserve">F16 vs Q3_K_M</w:t>
            </w:r>
          </w:p>
        </w:tc>
        <w:tc>
          <w:p>
            <w:pPr>
              <w:pStyle w:val="Compact"/>
              <w:jc w:val="left"/>
            </w:pPr>
            <w:r>
              <w:t xml:space="preserve">t = −9,85; p = 0,001 **</w:t>
            </w:r>
          </w:p>
        </w:tc>
        <w:tc>
          <w:p>
            <w:pPr>
              <w:pStyle w:val="Compact"/>
              <w:jc w:val="left"/>
            </w:pPr>
            <w:r>
              <w:t xml:space="preserve">t = 6,14; p = 0,011 **</w:t>
            </w:r>
          </w:p>
        </w:tc>
        <w:tc>
          <w:p>
            <w:pPr>
              <w:pStyle w:val="Compact"/>
              <w:jc w:val="left"/>
            </w:pPr>
            <w:r>
              <w:t xml:space="preserve">t = 324,54; p &lt; 0,001 **</w:t>
            </w:r>
          </w:p>
        </w:tc>
      </w:tr>
      <w:tr>
        <w:tc>
          <w:p>
            <w:pPr>
              <w:pStyle w:val="Compact"/>
              <w:jc w:val="left"/>
            </w:pPr>
            <w:r>
              <w:t xml:space="preserve">Q5_K_M vs Q4_K_M</w:t>
            </w:r>
          </w:p>
        </w:tc>
        <w:tc>
          <w:p>
            <w:pPr>
              <w:pStyle w:val="Compact"/>
              <w:jc w:val="left"/>
            </w:pPr>
            <w:r>
              <w:t xml:space="preserve">t = −1,55; p = 0,198 (n.s.)</w:t>
            </w:r>
          </w:p>
        </w:tc>
        <w:tc>
          <w:p>
            <w:pPr>
              <w:pStyle w:val="Compact"/>
              <w:jc w:val="left"/>
            </w:pPr>
            <w:r>
              <w:t xml:space="preserve">t = −2,95; p = 0,096 (n.s.)</w:t>
            </w:r>
          </w:p>
        </w:tc>
        <w:tc>
          <w:p>
            <w:pPr>
              <w:pStyle w:val="Compact"/>
              <w:jc w:val="left"/>
            </w:pPr>
            <w:r>
              <w:t xml:space="preserve">t = 934,57; p &lt; 0,001 **</w:t>
            </w:r>
          </w:p>
        </w:tc>
      </w:tr>
      <w:tr>
        <w:tc>
          <w:p>
            <w:pPr>
              <w:pStyle w:val="Compact"/>
              <w:jc w:val="left"/>
            </w:pPr>
            <w:r>
              <w:t xml:space="preserve">Q5_K_M vs Q3_K_M</w:t>
            </w:r>
          </w:p>
        </w:tc>
        <w:tc>
          <w:p>
            <w:pPr>
              <w:pStyle w:val="Compact"/>
              <w:jc w:val="left"/>
            </w:pPr>
            <w:r>
              <w:t xml:space="preserve">t = 1,32; p = 0,260 (n.s.)</w:t>
            </w:r>
          </w:p>
        </w:tc>
        <w:tc>
          <w:p>
            <w:pPr>
              <w:pStyle w:val="Compact"/>
              <w:jc w:val="left"/>
            </w:pPr>
            <w:r>
              <w:t xml:space="preserve">t = 14,11; p = 0,003 **</w:t>
            </w:r>
          </w:p>
        </w:tc>
        <w:tc>
          <w:p>
            <w:pPr>
              <w:pStyle w:val="Compact"/>
              <w:jc w:val="left"/>
            </w:pPr>
            <w:r>
              <w:t xml:space="preserve">t = 5.710,09; p &lt; 0,001 **</w:t>
            </w:r>
          </w:p>
        </w:tc>
      </w:tr>
      <w:tr>
        <w:tc>
          <w:p>
            <w:pPr>
              <w:pStyle w:val="Compact"/>
              <w:jc w:val="left"/>
            </w:pPr>
            <w:r>
              <w:t xml:space="preserve">Q4_K_M vs Q3_K_M</w:t>
            </w:r>
          </w:p>
        </w:tc>
        <w:tc>
          <w:p>
            <w:pPr>
              <w:pStyle w:val="Compact"/>
              <w:jc w:val="left"/>
            </w:pPr>
            <w:r>
              <w:t xml:space="preserve">t = 2,82; p = 0,054 (n.s.)</w:t>
            </w:r>
          </w:p>
        </w:tc>
        <w:tc>
          <w:p>
            <w:pPr>
              <w:pStyle w:val="Compact"/>
              <w:jc w:val="left"/>
            </w:pPr>
            <w:r>
              <w:t xml:space="preserve">t = 7,79; p = 0,008 **</w:t>
            </w:r>
          </w:p>
        </w:tc>
        <w:tc>
          <w:p>
            <w:pPr>
              <w:pStyle w:val="Compact"/>
              <w:jc w:val="left"/>
            </w:pPr>
            <w:r>
              <w:t xml:space="preserve">t = 2.501,24; p &lt; 0,001 **</w:t>
            </w:r>
          </w:p>
        </w:tc>
      </w:tr>
      <w:tr>
        <w:tc>
          <w:p>
            <w:pPr>
              <w:pStyle w:val="Compact"/>
              <w:jc w:val="left"/>
            </w:pPr>
            <w:r>
              <w:rPr>
                <w:b/>
              </w:rPr>
              <w:t xml:space="preserve">One-way ANOVA (4 varian)</w:t>
            </w:r>
          </w:p>
        </w:tc>
        <w:tc>
          <w:p>
            <w:pPr>
              <w:pStyle w:val="Compact"/>
              <w:jc w:val="left"/>
            </w:pPr>
            <w:r>
              <w:rPr>
                <w:b/>
              </w:rPr>
              <w:t xml:space="preserve">F = 71,25; p &lt; 0,001 **</w:t>
            </w:r>
          </w:p>
        </w:tc>
        <w:tc>
          <w:p>
            <w:pPr>
              <w:pStyle w:val="Compact"/>
              <w:jc w:val="left"/>
            </w:pPr>
            <w:r>
              <w:rPr>
                <w:b/>
              </w:rPr>
              <w:t xml:space="preserve">F = 26,72; p &lt; 0,001 **</w:t>
            </w:r>
          </w:p>
        </w:tc>
        <w:tc>
          <w:p>
            <w:pPr>
              <w:pStyle w:val="Compact"/>
              <w:jc w:val="left"/>
            </w:pPr>
            <w:r>
              <w:rPr>
                <w:b/>
              </w:rPr>
              <w:t xml:space="preserve">F = 72.285,01; p &lt; 0,001 **</w:t>
            </w:r>
          </w:p>
        </w:tc>
      </w:tr>
    </w:tbl>
    <w:p>
      <w:pPr>
        <w:pStyle w:val="BodyText"/>
      </w:pPr>
      <w:r>
        <w:t xml:space="preserve">** signifikan pada α = 0,05; n.s. = tidak signifikan secara statistik. † Pada varian Q5_K_M / Q4_K_M / Q3_K_M, ulangan ketiga adalah replikasi rerata (lihat catatan Tabel IV.2); konsekuensinya simpangan baku sample ter-deflasi sehingga p-</w:t>
      </w:r>
      <w:r>
        <w:rPr>
          <w:i/>
        </w:rPr>
        <w:t xml:space="preserve">value</w:t>
      </w:r>
      <w:r>
        <w:t xml:space="preserve"> </w:t>
      </w:r>
      <w:r>
        <w:t xml:space="preserve">yang dilaporkan harus dibaca sebagai</w:t>
      </w:r>
      <w:r>
        <w:t xml:space="preserve"> </w:t>
      </w:r>
      <w:r>
        <w:rPr>
          <w:b/>
        </w:rPr>
        <w:t xml:space="preserve">batas atas indikatif</w:t>
      </w:r>
      <w:r>
        <w:t xml:space="preserve">, bukan inferensi definitif terhadap perbedaan eksperimental penuh.</w:t>
      </w:r>
    </w:p>
    <w:p>
      <w:pPr>
        <w:pStyle w:val="BodyText"/>
      </w:pPr>
      <w:r>
        <w:t xml:space="preserve">Tiga temuan inferensial dari Tabel IV.9 mempertegas pola yang sudah teramati pada keluarga LFM dan memperluasnya untuk arsitektur</w:t>
      </w:r>
      <w:r>
        <w:t xml:space="preserve"> </w:t>
      </w:r>
      <w:r>
        <w:rPr>
          <w:i/>
        </w:rPr>
        <w:t xml:space="preserve">reasoning</w:t>
      </w:r>
      <w:r>
        <w:t xml:space="preserve"> </w:t>
      </w:r>
      <w:r>
        <w:t xml:space="preserve">Qwen 3.5.</w:t>
      </w:r>
    </w:p>
    <w:p>
      <w:pPr>
        <w:numPr>
          <w:ilvl w:val="0"/>
          <w:numId w:val="1016"/>
        </w:numPr>
        <w:pStyle w:val="Compact"/>
      </w:pPr>
      <w:r>
        <w:rPr>
          <w:b/>
        </w:rPr>
        <w:t xml:space="preserve">Penurunan beban memori akibat kuantisasi pada Qwen jauh lebih dramatis daripada LFM dan signifikan pada seluruh pasangan</w:t>
      </w:r>
      <w:r>
        <w:t xml:space="preserve"> </w:t>
      </w:r>
      <w:r>
        <w:t xml:space="preserve">(ANOVA F = 72.285; p &lt; 0,001). Rerata</w:t>
      </w:r>
      <w:r>
        <w:t xml:space="preserve"> </w:t>
      </w:r>
      <w:r>
        <w:rPr>
          <w:i/>
        </w:rPr>
        <w:t xml:space="preserve">peak</w:t>
      </w:r>
      <w:r>
        <w:t xml:space="preserve"> </w:t>
      </w:r>
      <w:r>
        <w:t xml:space="preserve">RAM proses Qwen FP16 yang sebesar 3.744 MB diturunkan ke 2.856 MB (Q5_K_M), 2.563 MB (Q4_K_M), dan 1.898 MB (Q3_K_M), sehingga semua varian terkuantisasi mengurangi tekanan terhadap kapasitas RAM 8 GB Tecno Pova 5 secara substansial. Statistik</w:t>
      </w:r>
      <w:r>
        <w:t xml:space="preserve"> </w:t>
      </w:r>
      <w:r>
        <w:rPr>
          <w:i/>
        </w:rPr>
        <w:t xml:space="preserve">t</w:t>
      </w:r>
      <w:r>
        <w:t xml:space="preserve"> </w:t>
      </w:r>
      <w:r>
        <w:t xml:space="preserve">yang sangat besar (ratusan hingga ribuan) memang sebagian dikontribusikan oleh deflasi variansi akibat</w:t>
      </w:r>
      <w:r>
        <w:t xml:space="preserve"> </w:t>
      </w:r>
      <w:r>
        <w:rPr>
          <w:i/>
        </w:rPr>
        <w:t xml:space="preserve">mean replicate</w:t>
      </w:r>
      <w:r>
        <w:t xml:space="preserve">, namun selisih rerata absolut (888–1.846 MB) sudah jauh melampaui rentang variansi eksperimental sebelum imputasi, sehingga signifikansi praktis tetap terjaga.</w:t>
      </w:r>
    </w:p>
    <w:p>
      <w:pPr>
        <w:numPr>
          <w:ilvl w:val="0"/>
          <w:numId w:val="1016"/>
        </w:numPr>
        <w:pStyle w:val="Compact"/>
      </w:pPr>
      <w:r>
        <w:rPr>
          <w:b/>
        </w:rPr>
        <w:t xml:space="preserve">Peningkatan</w:t>
      </w:r>
      <w:r>
        <w:rPr>
          <w:b/>
        </w:rPr>
        <w:t xml:space="preserve"> </w:t>
      </w:r>
      <w:r>
        <w:rPr>
          <w:i/>
          <w:b/>
        </w:rPr>
        <w:t xml:space="preserve">Generation Speed</w:t>
      </w:r>
      <w:r>
        <w:rPr>
          <w:b/>
        </w:rPr>
        <w:t xml:space="preserve"> </w:t>
      </w:r>
      <w:r>
        <w:rPr>
          <w:b/>
        </w:rPr>
        <w:t xml:space="preserve">dari FP16 ke varian terkuantisasi terbukti signifikan</w:t>
      </w:r>
      <w:r>
        <w:t xml:space="preserve">, dengan rasio percepatan 2,28–2,65 kali lipat dari 1,87 t/s menjadi 4,25–4,95 t/s. Namun perbedaan</w:t>
      </w:r>
      <w:r>
        <w:t xml:space="preserve"> </w:t>
      </w:r>
      <w:r>
        <w:rPr>
          <w:i/>
        </w:rPr>
        <w:t xml:space="preserve">Generation Speed</w:t>
      </w:r>
      <w:r>
        <w:t xml:space="preserve"> </w:t>
      </w:r>
      <w:r>
        <w:rPr>
          <w:b/>
        </w:rPr>
        <w:t xml:space="preserve">antar tiga varian terkuantisasi tidak signifikan</w:t>
      </w:r>
      <w:r>
        <w:t xml:space="preserve"> </w:t>
      </w:r>
      <w:r>
        <w:t xml:space="preserve">(p = 0,054 – 0,260), menandakan bahwa Qwen 3.5 sudah mengalami saturasi</w:t>
      </w:r>
      <w:r>
        <w:t xml:space="preserve"> </w:t>
      </w:r>
      <w:r>
        <w:rPr>
          <w:i/>
        </w:rPr>
        <w:t xml:space="preserve">throughput</w:t>
      </w:r>
      <w:r>
        <w:t xml:space="preserve"> </w:t>
      </w:r>
      <w:r>
        <w:t xml:space="preserve">pada CPU Helio G99 di kisaran 4–5 t/s tanpa peduli pada level kuantisasi yang dipilih. Hal ini berbeda dengan LFM 2.5 di mana Q4_K_M masih dapat melaju 13,67 t/s.</w:t>
      </w:r>
    </w:p>
    <w:p>
      <w:pPr>
        <w:numPr>
          <w:ilvl w:val="0"/>
          <w:numId w:val="1016"/>
        </w:numPr>
        <w:pStyle w:val="Compact"/>
      </w:pPr>
      <w:r>
        <w:rPr>
          <w:b/>
        </w:rPr>
        <w:t xml:space="preserve">Anomali</w:t>
      </w:r>
      <w:r>
        <w:rPr>
          <w:b/>
        </w:rPr>
        <w:t xml:space="preserve"> </w:t>
      </w:r>
      <w:r>
        <w:rPr>
          <w:i/>
          <w:b/>
        </w:rPr>
        <w:t xml:space="preserve">Prompt Speed</w:t>
      </w:r>
      <w:r>
        <w:rPr>
          <w:b/>
        </w:rPr>
        <w:t xml:space="preserve"> </w:t>
      </w:r>
      <w:r>
        <w:rPr>
          <w:b/>
        </w:rPr>
        <w:t xml:space="preserve">pada Q3_K_M juga teramati pada Qwen</w:t>
      </w:r>
      <w:r>
        <w:t xml:space="preserve">, dengan F16 vs Q3_K_M signifikan (t = 6,14; p = 0,011) dan Q4_K_M vs Q3_K_M signifikan (t = 7,79; p = 0,008). Ini menguatkan analisis Sub-bab 4.4.2 bahwa</w:t>
      </w:r>
      <w:r>
        <w:t xml:space="preserve"> </w:t>
      </w:r>
      <w:r>
        <w:rPr>
          <w:i/>
        </w:rPr>
        <w:t xml:space="preserve">bottleneck</w:t>
      </w:r>
      <w:r>
        <w:t xml:space="preserve"> </w:t>
      </w:r>
      <w:r>
        <w:rPr>
          <w:i/>
        </w:rPr>
        <w:t xml:space="preserve">unpacking</w:t>
      </w:r>
      <w:r>
        <w:t xml:space="preserve"> </w:t>
      </w:r>
      <w:r>
        <w:t xml:space="preserve">bit ganjil pada CPU Arm bersifat arsitektur-independen, terjadi pada kedua keluarga model selama format presisi 3-bit dipakai.</w:t>
      </w:r>
    </w:p>
    <w:p>
      <w:pPr>
        <w:pStyle w:val="FirstParagraph"/>
      </w:pPr>
      <w:r>
        <w:t xml:space="preserve">Dengan demikian, hasil uji statistik dari kedua tabel di atas memberikan dukungan kuantitatif yang konsisten dengan kerangka rekomendasi Tabel IV.7 (LFM) dan rekomendasi paralel Tabel IV.7-B (Qwen, Sub-bab 4.4.5): Q4_K_M unggul signifikan dibanding Q3_K_M pada metrik</w:t>
      </w:r>
      <w:r>
        <w:t xml:space="preserve"> </w:t>
      </w:r>
      <w:r>
        <w:rPr>
          <w:i/>
        </w:rPr>
        <w:t xml:space="preserve">throughput</w:t>
      </w:r>
      <w:r>
        <w:t xml:space="preserve"> </w:t>
      </w:r>
      <w:r>
        <w:t xml:space="preserve">utama untuk LFM, sementara seluruh varian terkuantisasi Qwen memiliki RAM dan</w:t>
      </w:r>
      <w:r>
        <w:t xml:space="preserve"> </w:t>
      </w:r>
      <w:r>
        <w:rPr>
          <w:i/>
        </w:rPr>
        <w:t xml:space="preserve">Generation Speed</w:t>
      </w:r>
      <w:r>
        <w:t xml:space="preserve"> </w:t>
      </w:r>
      <w:r>
        <w:t xml:space="preserve">yang signifikan lebih baik dari FP16 tanpa perbedaan</w:t>
      </w:r>
      <w:r>
        <w:t xml:space="preserve"> </w:t>
      </w:r>
      <w:r>
        <w:rPr>
          <w:i/>
        </w:rPr>
        <w:t xml:space="preserve">Generation</w:t>
      </w:r>
      <w:r>
        <w:t xml:space="preserve"> </w:t>
      </w:r>
      <w:r>
        <w:t xml:space="preserve">yang signifikan di antara mereka, gabungan yang menjadikan Q4_K_M sebagai varian dengan profil efisiensi paling kokoh untuk perangkat Tecno Pova 5 pada</w:t>
      </w:r>
      <w:r>
        <w:t xml:space="preserve"> </w:t>
      </w:r>
      <w:r>
        <w:rPr>
          <w:b/>
        </w:rPr>
        <w:t xml:space="preserve">kedua arsitektur</w:t>
      </w:r>
      <w:r>
        <w:t xml:space="preserve"> </w:t>
      </w:r>
      <w:r>
        <w:t xml:space="preserve">yang diuji.</w:t>
      </w:r>
    </w:p>
    <w:p>
      <w:pPr>
        <w:pStyle w:val="Heading1"/>
      </w:pPr>
      <w:bookmarkStart w:id="89" w:name="bab-v-penutup"/>
      <w:r>
        <w:t xml:space="preserve">BAB V PENUTUP</w:t>
      </w:r>
      <w:bookmarkEnd w:id="89"/>
    </w:p>
    <w:p>
      <w:pPr>
        <w:pStyle w:val="Heading2"/>
      </w:pPr>
      <w:bookmarkStart w:id="90" w:name="kesimpulan"/>
      <w:r>
        <w:t xml:space="preserve">5.1 Kesimpulan</w:t>
      </w:r>
      <w:bookmarkEnd w:id="90"/>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7"/>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7"/>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17"/>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91" w:name="saran"/>
      <w:r>
        <w:t xml:space="preserve">5.2 Saran</w:t>
      </w:r>
      <w:bookmarkEnd w:id="91"/>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2" w:name="aspek-manajerial"/>
      <w:r>
        <w:t xml:space="preserve">5.2.1 Aspek Manajerial</w:t>
      </w:r>
      <w:bookmarkEnd w:id="92"/>
    </w:p>
    <w:p>
      <w:pPr>
        <w:numPr>
          <w:ilvl w:val="0"/>
          <w:numId w:val="1018"/>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8"/>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18"/>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3" w:name="aspek-sistem"/>
      <w:r>
        <w:t xml:space="preserve">5.2.2 Aspek Sistem</w:t>
      </w:r>
      <w:bookmarkEnd w:id="93"/>
    </w:p>
    <w:p>
      <w:pPr>
        <w:numPr>
          <w:ilvl w:val="0"/>
          <w:numId w:val="1019"/>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9"/>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9"/>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4" w:name="aspek-penelitian-pembahasan-selanjutnya"/>
      <w:r>
        <w:t xml:space="preserve">5.2.3 Aspek Penelitian (Pembahasan) Selanjutnya</w:t>
      </w:r>
      <w:bookmarkEnd w:id="94"/>
    </w:p>
    <w:p>
      <w:pPr>
        <w:numPr>
          <w:ilvl w:val="0"/>
          <w:numId w:val="1020"/>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20"/>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20"/>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20"/>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5" w:name="daftar-pustaka"/>
      <w:r>
        <w:t xml:space="preserve">DAFTAR PUSTAKA</w:t>
      </w:r>
      <w:bookmarkEnd w:id="95"/>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6" w:name="lampiran"/>
      <w:r>
        <w:t xml:space="preserve">LAMPIRAN</w:t>
      </w:r>
      <w:bookmarkEnd w:id="96"/>
    </w:p>
    <w:p>
      <w:pPr>
        <w:pStyle w:val="Heading2"/>
      </w:pPr>
      <w:bookmarkStart w:id="97"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7"/>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8" w:name="X446cbdad62534d5817ef28ab1a3c4ef45dc269a"/>
      <w:r>
        <w:t xml:space="preserve">Lampiran B, Skrip Persiapan Model di PC (</w:t>
      </w:r>
      <w:r>
        <w:rPr>
          <w:rStyle w:val="VerbatimChar"/>
        </w:rPr>
        <w:t xml:space="preserve">quantize_pc.sh</w:t>
      </w:r>
      <w:r>
        <w:t xml:space="preserve">)</w:t>
      </w:r>
      <w:bookmarkEnd w:id="98"/>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9" w:name="Xc87dffa55e83400c59c3898b198df6d7b908554"/>
      <w:r>
        <w:t xml:space="preserve">Lampiran C, Berkas Data dan Skrip Reproducibility</w:t>
      </w:r>
      <w:bookmarkEnd w:id="99"/>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IV.8.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3" Target="media/rId83.png" /><Relationship Type="http://schemas.openxmlformats.org/officeDocument/2006/relationships/image" Id="rId85" Target="media/rId8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2026-05-18T07:48:40Z</dcterms:created>
  <dcterms:modified xsi:type="dcterms:W3CDTF">2026-05-18T07:48:40Z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