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0.8.0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0.8.0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0.8.0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0.8.0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p>
      <w:pPr>
        <w:pStyle w:val="Titre1"/>
      </w:pPr>
      <w:r>
        <w:t>27 Séparation réception et décodage ISM</w:t>
      </w:r>
    </w:p>
    <w:p>
      <w:r>
        <w:t>La vue Données démodulées liste chaque rafale OOK reçue avec timestamp, durée, nombre d’octets et aperçu hexadécimal. Un clic affiche le flux complet d’impulsions. La vue Trames décodées conserve séparément les interprétations protocolaire, CRC, champs et payload. Une rafale reconnue peut donc être comparée directement à sa réception sans masquer les données d’origine.</w:t>
      </w:r>
    </w:p>
    <w:p>
      <w:pPr>
        <w:pStyle w:val="Titre1"/>
      </w:pPr>
      <w:r>
        <w:t>28 Rafales démodulées longues</w:t>
      </w:r>
    </w:p>
    <w:p>
      <w:r>
        <w:t>La réception conserve les rafales OOK jusqu’à deux secondes et 4096 impulsions encodées afin que la vue Données démodulées reste cohérente avec le consensus CERBERUS.</w:t>
      </w:r>
    </w:p>
    <w:p>
      <w:pPr>
        <w:pStyle w:val="Titre1"/>
      </w:pPr>
      <w:r>
        <w:t>29 Décodage à la sélection</w:t>
      </w:r>
    </w:p>
    <w:p>
      <w:r>
        <w:t>La liste Trames décodées ISM est vidée lors de la sélection d’une nouvelle rafale dans Données démodulées. Le consensus CERBERUS est recalculé à partir de cette seule rafale, ce qui rend explicite le lien réception-versus-décodage. L’horodatage inclut les millisecondes et la colonne hexadécimale est redimensionnable.</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0.8.0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0.8.0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0.8.0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