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0.5.1 du 12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0.5.1</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12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p>
    <w:p w14:paraId="2F083DF9" w14:textId="77777777" w:rsidR="00F21928" w:rsidRDefault="00000000">
      <w:pPr>
        <w:pStyle w:val="Titre1"/>
      </w:pPr>
      <w:r>
        <w:rPr>
          <w:color w:val="000000"/>
        </w:rPr>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0.5.1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0.5.1</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t xml:space="preserve">Démod + parseurs </w:t>
            </w:r>
            <w:r w:rsidRPr="009D32CB">
              <w:rPr>
                <w:lang w:val="fr-FR"/>
              </w:rPr>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p>
      <w:pPr>
        <w:pStyle w:val="Titre1"/>
      </w:pPr>
      <w:r>
        <w:t>20 Export hexadécimal des trames</w:t>
      </w:r>
    </w:p>
    <w:p>
      <w:r>
        <w:t>Chaque espace Zigbee ou ISM propose un bouton Sauver hex. Il exporte les trames visibles dont les octets bruts sont disponibles, une trame par ligne en caractères hexadécimaux sans en-tête. Ce format permet un import direct dans les outils d’analyse. Les événements structurés qui ne fournissent pas d’octets bruts ne sont pas inventés dans cet export.</w:t>
      </w:r>
    </w:p>
    <w:p>
      <w:pPr>
        <w:pStyle w:val="Titre1"/>
      </w:pPr>
      <w:r>
        <w:t>21 Décodeur CERBERUS / Selectronic PRO-501</w:t>
      </w:r>
    </w:p>
    <w:p>
      <w:r>
        <w:t>L’espace ISM 868 MHz propose le décodeur CERBERUS PRO-501, activé par défaut et désactivable dans les réglages ISM. Il reçoit des impulsions OOK/PWM sans dépendre de rtl_433 : suppression des glitches courts, regroupement adaptatif de deux populations du ratio HIGH/(HIGH+LOW), puis consensus sur les répétitions de 64 bits. Une rafale validée publie un seul événement ALARM avec une empreinte de capteur, la confiance, les ratios et la durée symbole. L’état de batterie reste UNKNOWN tant que sa position n’est pas confirmée.</w:t>
      </w:r>
    </w:p>
    <w:p>
      <w:pPr>
        <w:pStyle w:val="Titre1"/>
      </w:pPr>
      <w:r>
        <w:t>22 Affichage des champs décodés</w:t>
      </w:r>
    </w:p>
    <w:p>
      <w:r>
        <w:t>La première trame visible est sélectionnée automatiquement. Le panneau Champ / Valeur développe les données de réception, PHY et protocolaires, notamment les informations CERBERUS PRO-501.</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0.5.1 — 12/09/2026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0.5.1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0.5.1</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