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0.4.0 du 11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0.4.0</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11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p>
    <w:p w14:paraId="2F083DF9" w14:textId="77777777" w:rsidR="00F21928" w:rsidRDefault="00000000">
      <w:pPr>
        <w:pStyle w:val="Titre1"/>
      </w:pPr>
      <w:r>
        <w:rPr>
          <w:color w:val="000000"/>
        </w:rPr>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0.4.0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0.4.0</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t xml:space="preserve">Démod + parseurs </w:t>
            </w:r>
            <w:r w:rsidRPr="009D32CB">
              <w:rPr>
                <w:lang w:val="fr-FR"/>
              </w:rPr>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p>
      <w:pPr>
        <w:pStyle w:val="Titre1"/>
      </w:pPr>
      <w:r>
        <w:t>20 Export hexadécimal des trames</w:t>
      </w:r>
    </w:p>
    <w:p>
      <w:r>
        <w:t>Chaque espace Zigbee ou ISM propose un bouton Sauver hex. Il exporte les trames visibles dont les octets bruts sont disponibles, une trame par ligne en caractères hexadécimaux sans en-tête. Ce format permet un import direct dans les outils d’analyse. Les événements structurés qui ne fournissent pas d’octets bruts ne sont pas inventés dans cet export.</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0.4.0 — 11/09/2026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0.4.0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0.4.0</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