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0.8.2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0.8.0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0.8.2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0.8.2</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trame, la confiance, les ratios et la durée symbole. L’état de batterie reste UNKNOWN tant que sa position n’est pas confirmée.</w:t>
      </w:r>
      <w:r>
        <w:t xml:space="preserve"> L’empreinte est calculée sur les 64 bits complets : elle peut varier avec un compteur roulant ou des bits d’état et ne constitue pas un sensor_id. Le champ sensor_id reste non déterminé tant que son emplacement n’est pas validé expérimentalement.</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p>
      <w:pPr>
        <w:pStyle w:val="Titre1"/>
      </w:pPr>
      <w:r>
        <w:t>29 Décodage à la sélection</w:t>
      </w:r>
    </w:p>
    <w:p>
      <w:r>
        <w:t>La liste Trames décodées ISM est vidée lors de la sélection d’une nouvelle rafale dans Données démodulées. Le consensus CERBERUS est recalculé à partir de cette seule rafale, ce qui rend explicite le lien réception-versus-décodage. L’horodatage inclut les millisecondes et la colonne hexadécimale est redimensionnable.</w:t>
      </w:r>
    </w:p>
    <w:p>
      <w:r>
        <w:t>30 Identification CERBERUS</w:t>
      </w:r>
    </w:p>
    <w:p>
      <w:r>
        <w:t>La valeur affichée dans une trame CERBERUS est une empreinte de trame de diagnostic, dérivée du consensus de 64 bits. Elle ne désigne pas encore le capteur physique et ne doit pas être utilisée pour regrouper des activations. Le contenu brut et les bits consensus restent disponibles pour comparer plusieurs émissions et déterminer les positions réellement stables.</w:t>
      </w:r>
    </w:p>
    <w:p>
      <w:r>
        <w:t>31 Export hexadécimal de la rafale</w:t>
      </w:r>
    </w:p>
    <w:p>
      <w:r>
        <w:t>Dans les onglets ISM, Sauver hex exporte en priorité la rafale sélectionnée dans Données démodulées. Le fichier contient les octets de pulses OOK complets, sans les remplacer par la trame courte obtenue après décodage. Sans rafale sélectionnée, les trames décodées visibles sont exportées.</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0.8.0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0.8.0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0.8.0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