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0.9.0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0.9.0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0.9.0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trame, la confiance, les ratios et la durée symbole. L’état de batterie reste UNKNOWN tant que sa position n’est pas confirmée.</w:t>
      </w:r>
      <w:r>
        <w:t xml:space="preserve"> L’empreinte est calculée sur les 64 bits complets : elle peut varier avec un compteur roulant ou des bits d’état et ne constitue pas un sensor_id. Le champ sensor_id reste non déterminé tant que son emplacement n’est pas validé expérimentalement.</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p>
      <w:r>
        <w:t>30 Identification CERBERUS</w:t>
      </w:r>
    </w:p>
    <w:p>
      <w:r>
        <w:t>La valeur affichée dans une trame CERBERUS est une empreinte de trame de diagnostic, dérivée du consensus de 64 bits. Elle ne désigne pas encore le capteur physique et ne doit pas être utilisée pour regrouper des activations. Le contenu brut et les bits consensus restent disponibles pour comparer plusieurs émissions et déterminer les positions réellement stables.</w:t>
      </w:r>
    </w:p>
    <w:p>
      <w:r>
        <w:t>31 Export hexadécimal de la rafale</w:t>
      </w:r>
    </w:p>
    <w:p>
      <w:r>
        <w:t>Dans les onglets ISM, Sauver hex exporte en priorité la rafale sélectionnée dans Données démodulées. Le fichier contient les octets de pulses OOK complets, sans les remplacer par la trame courte obtenue après décodage. Sans rafale sélectionnée, les trames décodées visibles sont exportées.</w:t>
      </w:r>
    </w:p>
    <w:p>
      <w:r>
        <w:t>32 Profils radio CERBERUS</w:t>
      </w:r>
    </w:p>
    <w:p>
      <w:r>
        <w:t>Le décodeur compare aussi le flux de bits démodulé à des profils radio expérimentaux A, B et C appris à partir des captures fournies. La comparaison accepte un nombre limité de différences de Hamming et exige une avance sur le second profil. Le résultat est affiché comme profil candidat ou non reconnu. Il ne remplace pas le sensor_id, qui reste non déterminé tant que le champ protocolaire n’est pas démontré.</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