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w:t>
      </w:r>
      <w:r>
        <w:t xml:space="preserve"> </w:t>
      </w:r>
      <w:r>
        <w:t xml:space="preserve">Q3</w:t>
      </w:r>
    </w:p>
    <w:p>
      <w:pPr>
        <w:pStyle w:val="Author"/>
      </w:pPr>
      <w:r>
        <w:t xml:space="preserve">Fenglin</w:t>
      </w:r>
      <w:r>
        <w:t xml:space="preserve"> </w:t>
      </w:r>
      <w:r>
        <w:t xml:space="preserve">Chen</w:t>
      </w:r>
    </w:p>
    <w:p>
      <w:pPr>
        <w:pStyle w:val="Date"/>
      </w:pPr>
      <w:r>
        <w:t xml:space="preserve">06/12/2021</w:t>
      </w:r>
    </w:p>
    <w:bookmarkStart w:id="20" w:name="table-1-proportion-of-changes"/>
    <w:p>
      <w:pPr>
        <w:pStyle w:val="Heading4"/>
      </w:pPr>
      <w:r>
        <w:t xml:space="preserve">Table 1: Proportion of Changes</w:t>
      </w:r>
    </w:p>
    <w:p>
      <w:pPr>
        <w:pStyle w:val="FirstParagraph"/>
      </w:pPr>
      <w:r>
        <w:t xml:space="preserve">To study the effect of COVID-19 on sales in each country, the fraction of businesses with increasing, constant, or decreasing sales are counted below. Responses with</w:t>
      </w:r>
      <w:r>
        <w:t xml:space="preserve"> </w:t>
      </w:r>
      <w:r>
        <w:rPr>
          <w:rStyle w:val="VerbatimChar"/>
        </w:rPr>
        <w:t xml:space="preserve">NA</w:t>
      </w:r>
      <w:r>
        <w:t xml:space="preserve">,</w:t>
      </w:r>
      <w:r>
        <w:t xml:space="preserve"> </w:t>
      </w:r>
      <w:r>
        <w:rPr>
          <w:rStyle w:val="VerbatimChar"/>
        </w:rPr>
        <w:t xml:space="preserve">-9</w:t>
      </w:r>
      <w:r>
        <w:t xml:space="preserve">, or</w:t>
      </w:r>
      <w:r>
        <w:t xml:space="preserve"> </w:t>
      </w:r>
      <w:r>
        <w:rPr>
          <w:rStyle w:val="VerbatimChar"/>
        </w:rPr>
        <w:t xml:space="preserve">-99</w:t>
      </w:r>
      <w:r>
        <w:t xml:space="preserve"> </w:t>
      </w:r>
      <w:r>
        <w:t xml:space="preserve">were removed from the sample since they do not affect the relative sizes of each group.</w:t>
      </w:r>
    </w:p>
    <w:tbl>
      <w:tblPr>
        <w:tblStyle w:val="Table"/>
        <w:tblW w:type="pct" w:w="0.0"/>
        <w:tblLook w:firstRow="1" w:lastRow="0" w:firstColumn="0" w:lastColumn="0" w:noHBand="0" w:noVBand="0" w:val="0020"/>
      </w:tblPr>
      <w:tblGrid/>
      <w:tr>
        <w:tc>
          <w:p/>
        </w:tc>
        <w:tc>
          <w:p>
            <w:pPr>
              <w:pStyle w:val="Compact"/>
              <w:jc w:val="right"/>
            </w:pPr>
            <w:r>
              <w:t xml:space="preserve">Italy</w:t>
            </w:r>
          </w:p>
        </w:tc>
        <w:tc>
          <w:p>
            <w:pPr>
              <w:pStyle w:val="Compact"/>
              <w:jc w:val="right"/>
            </w:pPr>
            <w:r>
              <w:t xml:space="preserve">Bulgaria</w:t>
            </w:r>
          </w:p>
        </w:tc>
        <w:tc>
          <w:p>
            <w:pPr>
              <w:pStyle w:val="Compact"/>
              <w:jc w:val="right"/>
            </w:pPr>
            <w:r>
              <w:t xml:space="preserve">Greece</w:t>
            </w:r>
          </w:p>
        </w:tc>
        <w:tc>
          <w:p>
            <w:pPr>
              <w:pStyle w:val="Compact"/>
              <w:jc w:val="right"/>
            </w:pPr>
            <w:r>
              <w:t xml:space="preserve">Hungary</w:t>
            </w:r>
          </w:p>
        </w:tc>
        <w:tc>
          <w:p>
            <w:pPr>
              <w:pStyle w:val="Compact"/>
              <w:jc w:val="right"/>
            </w:pPr>
            <w:r>
              <w:t xml:space="preserve">Romania</w:t>
            </w:r>
          </w:p>
        </w:tc>
        <w:tc>
          <w:p>
            <w:pPr>
              <w:pStyle w:val="Compact"/>
              <w:jc w:val="right"/>
            </w:pPr>
            <w:r>
              <w:t xml:space="preserve">Poland</w:t>
            </w:r>
          </w:p>
        </w:tc>
        <w:tc>
          <w:p>
            <w:pPr>
              <w:pStyle w:val="Compact"/>
              <w:jc w:val="right"/>
            </w:pPr>
            <w:r>
              <w:t xml:space="preserve">Russia</w:t>
            </w:r>
          </w:p>
        </w:tc>
      </w:tr>
      <w:tr>
        <w:tc>
          <w:p>
            <w:pPr>
              <w:pStyle w:val="Compact"/>
              <w:jc w:val="left"/>
            </w:pPr>
            <w:r>
              <w:t xml:space="preserve">% Increase</w:t>
            </w:r>
          </w:p>
        </w:tc>
        <w:tc>
          <w:p>
            <w:pPr>
              <w:pStyle w:val="Compact"/>
              <w:jc w:val="right"/>
            </w:pPr>
            <w:r>
              <w:t xml:space="preserve">7.160</w:t>
            </w:r>
          </w:p>
        </w:tc>
        <w:tc>
          <w:p>
            <w:pPr>
              <w:pStyle w:val="Compact"/>
              <w:jc w:val="right"/>
            </w:pPr>
            <w:r>
              <w:t xml:space="preserve">6.977</w:t>
            </w:r>
          </w:p>
        </w:tc>
        <w:tc>
          <w:p>
            <w:pPr>
              <w:pStyle w:val="Compact"/>
              <w:jc w:val="right"/>
            </w:pPr>
            <w:r>
              <w:t xml:space="preserve">16.981</w:t>
            </w:r>
          </w:p>
        </w:tc>
        <w:tc>
          <w:p>
            <w:pPr>
              <w:pStyle w:val="Compact"/>
              <w:jc w:val="right"/>
            </w:pPr>
            <w:r>
              <w:t xml:space="preserve">10.178</w:t>
            </w:r>
          </w:p>
        </w:tc>
        <w:tc>
          <w:p>
            <w:pPr>
              <w:pStyle w:val="Compact"/>
              <w:jc w:val="right"/>
            </w:pPr>
            <w:r>
              <w:t xml:space="preserve">13.725</w:t>
            </w:r>
          </w:p>
        </w:tc>
        <w:tc>
          <w:p>
            <w:pPr>
              <w:pStyle w:val="Compact"/>
              <w:jc w:val="right"/>
            </w:pPr>
            <w:r>
              <w:t xml:space="preserve">5.067</w:t>
            </w:r>
          </w:p>
        </w:tc>
        <w:tc>
          <w:p>
            <w:pPr>
              <w:pStyle w:val="Compact"/>
              <w:jc w:val="right"/>
            </w:pPr>
            <w:r>
              <w:t xml:space="preserve">5.619</w:t>
            </w:r>
          </w:p>
        </w:tc>
      </w:tr>
      <w:tr>
        <w:tc>
          <w:p>
            <w:pPr>
              <w:pStyle w:val="Compact"/>
              <w:jc w:val="left"/>
            </w:pPr>
            <w:r>
              <w:t xml:space="preserve">% Same</w:t>
            </w:r>
          </w:p>
        </w:tc>
        <w:tc>
          <w:p>
            <w:pPr>
              <w:pStyle w:val="Compact"/>
              <w:jc w:val="right"/>
            </w:pPr>
            <w:r>
              <w:t xml:space="preserve">19.332</w:t>
            </w:r>
          </w:p>
        </w:tc>
        <w:tc>
          <w:p>
            <w:pPr>
              <w:pStyle w:val="Compact"/>
              <w:jc w:val="right"/>
            </w:pPr>
            <w:r>
              <w:t xml:space="preserve">23.062</w:t>
            </w:r>
          </w:p>
        </w:tc>
        <w:tc>
          <w:p>
            <w:pPr>
              <w:pStyle w:val="Compact"/>
              <w:jc w:val="right"/>
            </w:pPr>
            <w:r>
              <w:t xml:space="preserve">13.962</w:t>
            </w:r>
          </w:p>
        </w:tc>
        <w:tc>
          <w:p>
            <w:pPr>
              <w:pStyle w:val="Compact"/>
              <w:jc w:val="right"/>
            </w:pPr>
            <w:r>
              <w:t xml:space="preserve">39.418</w:t>
            </w:r>
          </w:p>
        </w:tc>
        <w:tc>
          <w:p>
            <w:pPr>
              <w:pStyle w:val="Compact"/>
              <w:jc w:val="right"/>
            </w:pPr>
            <w:r>
              <w:t xml:space="preserve">25.882</w:t>
            </w:r>
          </w:p>
        </w:tc>
        <w:tc>
          <w:p>
            <w:pPr>
              <w:pStyle w:val="Compact"/>
              <w:jc w:val="right"/>
            </w:pPr>
            <w:r>
              <w:t xml:space="preserve">40.228</w:t>
            </w:r>
          </w:p>
        </w:tc>
        <w:tc>
          <w:p>
            <w:pPr>
              <w:pStyle w:val="Compact"/>
              <w:jc w:val="right"/>
            </w:pPr>
            <w:r>
              <w:t xml:space="preserve">23.705</w:t>
            </w:r>
          </w:p>
        </w:tc>
      </w:tr>
      <w:tr>
        <w:tc>
          <w:p>
            <w:pPr>
              <w:pStyle w:val="Compact"/>
              <w:jc w:val="left"/>
            </w:pPr>
            <w:r>
              <w:t xml:space="preserve">% Decrease</w:t>
            </w:r>
          </w:p>
        </w:tc>
        <w:tc>
          <w:p>
            <w:pPr>
              <w:pStyle w:val="Compact"/>
              <w:jc w:val="right"/>
            </w:pPr>
            <w:r>
              <w:t xml:space="preserve">73.508</w:t>
            </w:r>
          </w:p>
        </w:tc>
        <w:tc>
          <w:p>
            <w:pPr>
              <w:pStyle w:val="Compact"/>
              <w:jc w:val="right"/>
            </w:pPr>
            <w:r>
              <w:t xml:space="preserve">68.023</w:t>
            </w:r>
          </w:p>
        </w:tc>
        <w:tc>
          <w:p>
            <w:pPr>
              <w:pStyle w:val="Compact"/>
              <w:jc w:val="right"/>
            </w:pPr>
            <w:r>
              <w:t xml:space="preserve">69.057</w:t>
            </w:r>
          </w:p>
        </w:tc>
        <w:tc>
          <w:p>
            <w:pPr>
              <w:pStyle w:val="Compact"/>
              <w:jc w:val="right"/>
            </w:pPr>
            <w:r>
              <w:t xml:space="preserve">50.404</w:t>
            </w:r>
          </w:p>
        </w:tc>
        <w:tc>
          <w:p>
            <w:pPr>
              <w:pStyle w:val="Compact"/>
              <w:jc w:val="right"/>
            </w:pPr>
            <w:r>
              <w:t xml:space="preserve">55.686</w:t>
            </w:r>
          </w:p>
        </w:tc>
        <w:tc>
          <w:p>
            <w:pPr>
              <w:pStyle w:val="Compact"/>
              <w:jc w:val="right"/>
            </w:pPr>
            <w:r>
              <w:t xml:space="preserve">46.225</w:t>
            </w:r>
          </w:p>
        </w:tc>
        <w:tc>
          <w:p>
            <w:pPr>
              <w:pStyle w:val="Compact"/>
              <w:jc w:val="right"/>
            </w:pPr>
            <w:r>
              <w:t xml:space="preserve">69.096</w:t>
            </w:r>
          </w:p>
        </w:tc>
      </w:tr>
    </w:tbl>
    <w:p>
      <w:pPr>
        <w:pStyle w:val="BodyText"/>
      </w:pPr>
      <w:r>
        <w:t xml:space="preserve">Table 1 shows that in all countries, a higher proportion of businesses reported a decrease than an increase or constant sales. Therefore, COVID-19 had a negative (but un-equal) impact in all 7 countries.</w:t>
      </w:r>
    </w:p>
    <w:p>
      <w:pPr>
        <w:pStyle w:val="BodyText"/>
      </w:pPr>
      <w:r>
        <w:t xml:space="preserve">Italy seems to fare the worst at</w:t>
      </w:r>
      <w:r>
        <w:t xml:space="preserve"> </w:t>
      </w:r>
      <w:r>
        <w:rPr>
          <w:rStyle w:val="VerbatimChar"/>
        </w:rPr>
        <w:t xml:space="preserve">73.508%</w:t>
      </w:r>
      <w:r>
        <w:t xml:space="preserve"> </w:t>
      </w:r>
      <w:r>
        <w:t xml:space="preserve">of sampled businesses decreasing, while Poland is the most unchanged at only</w:t>
      </w:r>
      <w:r>
        <w:t xml:space="preserve"> </w:t>
      </w:r>
      <w:r>
        <w:rPr>
          <w:rStyle w:val="VerbatimChar"/>
        </w:rPr>
        <w:t xml:space="preserve">46.225%</w:t>
      </w:r>
      <w:r>
        <w:t xml:space="preserve"> </w:t>
      </w:r>
      <w:r>
        <w:t xml:space="preserve">of businesses decreasing.</w:t>
      </w:r>
    </w:p>
    <w:bookmarkEnd w:id="20"/>
    <w:bookmarkStart w:id="21" w:name="table-2-total-change"/>
    <w:p>
      <w:pPr>
        <w:pStyle w:val="Heading4"/>
      </w:pPr>
      <w:r>
        <w:t xml:space="preserve">Table 2: Total Change</w:t>
      </w:r>
    </w:p>
    <w:tbl>
      <w:tblPr>
        <w:tblStyle w:val="Table"/>
        <w:tblW w:type="pct" w:w="0.0"/>
        <w:tblLook w:firstRow="1" w:lastRow="0" w:firstColumn="0" w:lastColumn="0" w:noHBand="0" w:noVBand="0" w:val="0020"/>
      </w:tblPr>
      <w:tblGrid/>
      <w:tr>
        <w:tc>
          <w:p/>
        </w:tc>
        <w:tc>
          <w:p>
            <w:pPr>
              <w:pStyle w:val="Compact"/>
              <w:jc w:val="right"/>
            </w:pPr>
            <w:r>
              <w:t xml:space="preserve">Italy</w:t>
            </w:r>
          </w:p>
        </w:tc>
        <w:tc>
          <w:p>
            <w:pPr>
              <w:pStyle w:val="Compact"/>
              <w:jc w:val="right"/>
            </w:pPr>
            <w:r>
              <w:t xml:space="preserve">Bulgaria</w:t>
            </w:r>
          </w:p>
        </w:tc>
        <w:tc>
          <w:p>
            <w:pPr>
              <w:pStyle w:val="Compact"/>
              <w:jc w:val="right"/>
            </w:pPr>
            <w:r>
              <w:t xml:space="preserve">Greece</w:t>
            </w:r>
          </w:p>
        </w:tc>
        <w:tc>
          <w:p>
            <w:pPr>
              <w:pStyle w:val="Compact"/>
              <w:jc w:val="right"/>
            </w:pPr>
            <w:r>
              <w:t xml:space="preserve">Hungary</w:t>
            </w:r>
          </w:p>
        </w:tc>
        <w:tc>
          <w:p>
            <w:pPr>
              <w:pStyle w:val="Compact"/>
              <w:jc w:val="right"/>
            </w:pPr>
            <w:r>
              <w:t xml:space="preserve">Romania</w:t>
            </w:r>
          </w:p>
        </w:tc>
        <w:tc>
          <w:p>
            <w:pPr>
              <w:pStyle w:val="Compact"/>
              <w:jc w:val="right"/>
            </w:pPr>
            <w:r>
              <w:t xml:space="preserve">Poland</w:t>
            </w:r>
          </w:p>
        </w:tc>
        <w:tc>
          <w:p>
            <w:pPr>
              <w:pStyle w:val="Compact"/>
              <w:jc w:val="right"/>
            </w:pPr>
            <w:r>
              <w:t xml:space="preserve">Russia</w:t>
            </w:r>
          </w:p>
        </w:tc>
      </w:tr>
      <w:tr>
        <w:tc>
          <w:p>
            <w:pPr>
              <w:pStyle w:val="Compact"/>
              <w:jc w:val="left"/>
            </w:pPr>
            <w:r>
              <w:t xml:space="preserve">Total % Increase</w:t>
            </w:r>
          </w:p>
        </w:tc>
        <w:tc>
          <w:p>
            <w:pPr>
              <w:pStyle w:val="Compact"/>
              <w:jc w:val="right"/>
            </w:pPr>
            <w:r>
              <w:t xml:space="preserve">707</w:t>
            </w:r>
          </w:p>
        </w:tc>
        <w:tc>
          <w:p>
            <w:pPr>
              <w:pStyle w:val="Compact"/>
              <w:jc w:val="right"/>
            </w:pPr>
            <w:r>
              <w:t xml:space="preserve">570</w:t>
            </w:r>
          </w:p>
        </w:tc>
        <w:tc>
          <w:p>
            <w:pPr>
              <w:pStyle w:val="Compact"/>
              <w:jc w:val="right"/>
            </w:pPr>
            <w:r>
              <w:t xml:space="preserve">2124</w:t>
            </w:r>
          </w:p>
        </w:tc>
        <w:tc>
          <w:p>
            <w:pPr>
              <w:pStyle w:val="Compact"/>
              <w:jc w:val="right"/>
            </w:pPr>
            <w:r>
              <w:t xml:space="preserve">1242</w:t>
            </w:r>
          </w:p>
        </w:tc>
        <w:tc>
          <w:p>
            <w:pPr>
              <w:pStyle w:val="Compact"/>
              <w:jc w:val="right"/>
            </w:pPr>
            <w:r>
              <w:t xml:space="preserve">1529</w:t>
            </w:r>
          </w:p>
        </w:tc>
        <w:tc>
          <w:p>
            <w:pPr>
              <w:pStyle w:val="Compact"/>
              <w:jc w:val="right"/>
            </w:pPr>
            <w:r>
              <w:t xml:space="preserve">846</w:t>
            </w:r>
          </w:p>
        </w:tc>
        <w:tc>
          <w:p>
            <w:pPr>
              <w:pStyle w:val="Compact"/>
              <w:jc w:val="right"/>
            </w:pPr>
            <w:r>
              <w:t xml:space="preserve">958</w:t>
            </w:r>
          </w:p>
        </w:tc>
      </w:tr>
      <w:tr>
        <w:tc>
          <w:p>
            <w:pPr>
              <w:pStyle w:val="Compact"/>
              <w:jc w:val="left"/>
            </w:pPr>
            <w:r>
              <w:t xml:space="preserve">Total % Decrease</w:t>
            </w:r>
          </w:p>
        </w:tc>
        <w:tc>
          <w:p>
            <w:pPr>
              <w:pStyle w:val="Compact"/>
              <w:jc w:val="right"/>
            </w:pPr>
            <w:r>
              <w:t xml:space="preserve">16229</w:t>
            </w:r>
          </w:p>
        </w:tc>
        <w:tc>
          <w:p>
            <w:pPr>
              <w:pStyle w:val="Compact"/>
              <w:jc w:val="right"/>
            </w:pPr>
            <w:r>
              <w:t xml:space="preserve">12968</w:t>
            </w:r>
          </w:p>
        </w:tc>
        <w:tc>
          <w:p>
            <w:pPr>
              <w:pStyle w:val="Compact"/>
              <w:jc w:val="right"/>
            </w:pPr>
            <w:r>
              <w:t xml:space="preserve">17430</w:t>
            </w:r>
          </w:p>
        </w:tc>
        <w:tc>
          <w:p>
            <w:pPr>
              <w:pStyle w:val="Compact"/>
              <w:jc w:val="right"/>
            </w:pPr>
            <w:r>
              <w:t xml:space="preserve">9165</w:t>
            </w:r>
          </w:p>
        </w:tc>
        <w:tc>
          <w:p>
            <w:pPr>
              <w:pStyle w:val="Compact"/>
              <w:jc w:val="right"/>
            </w:pPr>
            <w:r>
              <w:t xml:space="preserve">10090</w:t>
            </w:r>
          </w:p>
        </w:tc>
        <w:tc>
          <w:p>
            <w:pPr>
              <w:pStyle w:val="Compact"/>
              <w:jc w:val="right"/>
            </w:pPr>
            <w:r>
              <w:t xml:space="preserve">14491</w:t>
            </w:r>
          </w:p>
        </w:tc>
        <w:tc>
          <w:p>
            <w:pPr>
              <w:pStyle w:val="Compact"/>
              <w:jc w:val="right"/>
            </w:pPr>
            <w:r>
              <w:t xml:space="preserve">28131</w:t>
            </w:r>
          </w:p>
        </w:tc>
      </w:tr>
    </w:tbl>
    <w:p>
      <w:pPr>
        <w:pStyle w:val="BodyText"/>
      </w:pPr>
      <w:r>
        <w:t xml:space="preserve">Across all countries, businesses with increased income saw smaller positive changes than the negative changes seen in businesses with decreased income. The total effect of both factors is shown in Table 2 above, where it is evident that the overall effect is very negative.</w:t>
      </w:r>
    </w:p>
    <w:bookmarkEnd w:id="21"/>
    <w:bookmarkStart w:id="24" w:name="figure-1-individual-changes"/>
    <w:p>
      <w:pPr>
        <w:pStyle w:val="Heading4"/>
      </w:pPr>
      <w:r>
        <w:t xml:space="preserve">Figure 1: Individual Changes</w:t>
      </w:r>
    </w:p>
    <w:p>
      <w:pPr>
        <w:pStyle w:val="FirstParagraph"/>
      </w:pPr>
      <w:r>
        <w:t xml:space="preserve">The positive and negative changes in each country are shown in the graph below and further demonstrates the point in Table 2.</w:t>
      </w:r>
    </w:p>
    <w:p>
      <w:pPr>
        <w:pStyle w:val="BodyText"/>
      </w:pPr>
      <w:r>
        <w:drawing>
          <wp:inline>
            <wp:extent cx="4620126" cy="3696101"/>
            <wp:effectExtent b="0" l="0" r="0" t="0"/>
            <wp:docPr descr="" title="" id="1" name="Picture"/>
            <a:graphic>
              <a:graphicData uri="http://schemas.openxmlformats.org/drawingml/2006/picture">
                <pic:pic>
                  <pic:nvPicPr>
                    <pic:cNvPr descr="Assignment4-Q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4-Q3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significance-test-1"/>
    <w:p>
      <w:pPr>
        <w:pStyle w:val="Heading4"/>
      </w:pPr>
      <w:r>
        <w:t xml:space="preserve">Significance Test 1</w:t>
      </w:r>
    </w:p>
    <w:p>
      <w:pPr>
        <w:pStyle w:val="FirstParagraph"/>
      </w:pPr>
      <w:r>
        <w:t xml:space="preserve">To compare how similar or different COVID-19 affected pairs of countries, a significance test can be used. A smaller p-value indicates a smaller chance that the results were due to randomness.</w:t>
      </w:r>
    </w:p>
    <w:p>
      <w:pPr>
        <w:pStyle w:val="BodyText"/>
      </w:pPr>
      <w:r>
        <w:t xml:space="preserve">Null hypothesis H0: Hungary and Greece have the same proportion of businesses that experienced a decrease in income (Table 1). Alternative hypothesis H1: Their proportions were different.</w:t>
      </w:r>
    </w:p>
    <w:p>
      <w:pPr>
        <w:pStyle w:val="SourceCode"/>
      </w:pPr>
      <w:r>
        <w:rPr>
          <w:rStyle w:val="VerbatimChar"/>
        </w:rPr>
        <w:t xml:space="preserve">## [1] 0</w:t>
      </w:r>
    </w:p>
    <w:p>
      <w:pPr>
        <w:pStyle w:val="FirstParagraph"/>
      </w:pPr>
      <w:r>
        <w:t xml:space="preserve">A p-value of</w:t>
      </w:r>
      <w:r>
        <w:t xml:space="preserve"> </w:t>
      </w:r>
      <w:r>
        <w:rPr>
          <w:rStyle w:val="VerbatimChar"/>
        </w:rPr>
        <w:t xml:space="preserve">0</w:t>
      </w:r>
      <w:r>
        <w:t xml:space="preserve"> </w:t>
      </w:r>
      <w:r>
        <w:t xml:space="preserve">means that there was no evidence supporting H0, therefore the alternative hypothesis must be true and they have different proportions.</w:t>
      </w:r>
    </w:p>
    <w:bookmarkEnd w:id="25"/>
    <w:bookmarkStart w:id="26" w:name="significance-test-2"/>
    <w:p>
      <w:pPr>
        <w:pStyle w:val="Heading4"/>
      </w:pPr>
      <w:r>
        <w:t xml:space="preserve">Significance Test 2</w:t>
      </w:r>
    </w:p>
    <w:p>
      <w:pPr>
        <w:pStyle w:val="FirstParagraph"/>
      </w:pPr>
      <w:r>
        <w:t xml:space="preserve">Another test can be made about the fraction of businesses that experienced an increase (Table 1).</w:t>
      </w:r>
    </w:p>
    <w:p>
      <w:pPr>
        <w:pStyle w:val="BodyText"/>
      </w:pPr>
      <w:r>
        <w:t xml:space="preserve">H0: Italy and Poland have the same proportion of positively-affected businesses. H1: Their proportions differ.</w:t>
      </w:r>
    </w:p>
    <w:p>
      <w:pPr>
        <w:pStyle w:val="SourceCode"/>
      </w:pPr>
      <w:r>
        <w:rPr>
          <w:rStyle w:val="VerbatimChar"/>
        </w:rPr>
        <w:t xml:space="preserve">## [1] 0.183</w:t>
      </w:r>
    </w:p>
    <w:p>
      <w:pPr>
        <w:pStyle w:val="FirstParagraph"/>
      </w:pPr>
      <w:r>
        <w:t xml:space="preserve">The p-value of</w:t>
      </w:r>
      <w:r>
        <w:t xml:space="preserve"> </w:t>
      </w:r>
      <w:r>
        <w:rPr>
          <w:rStyle w:val="VerbatimChar"/>
        </w:rPr>
        <w:t xml:space="preserve">0.183</w:t>
      </w:r>
      <w:r>
        <w:t xml:space="preserve"> </w:t>
      </w:r>
      <w:r>
        <w:t xml:space="preserve">shows that although there is a fair amount of evidence against H0, it is not enough to reject the null hypothesis. It is still likely that the result was due to random chance.</w:t>
      </w:r>
    </w:p>
    <w:bookmarkEnd w:id="26"/>
    <w:bookmarkStart w:id="27" w:name="significance-test-3"/>
    <w:p>
      <w:pPr>
        <w:pStyle w:val="Heading4"/>
      </w:pPr>
      <w:r>
        <w:t xml:space="preserve">Significance Test 3</w:t>
      </w:r>
    </w:p>
    <w:p>
      <w:pPr>
        <w:pStyle w:val="FirstParagraph"/>
      </w:pPr>
      <w:r>
        <w:t xml:space="preserve">Lastly, test whether the total percent increase between Bulgaria and Romania are different.</w:t>
      </w:r>
    </w:p>
    <w:p>
      <w:pPr>
        <w:pStyle w:val="SourceCode"/>
      </w:pPr>
      <w:r>
        <w:rPr>
          <w:rStyle w:val="VerbatimChar"/>
        </w:rPr>
        <w:t xml:space="preserve">## [1] 0</w:t>
      </w:r>
    </w:p>
    <w:p>
      <w:pPr>
        <w:pStyle w:val="FirstParagraph"/>
      </w:pPr>
      <w:r>
        <w:t xml:space="preserve">The p-value of 0 indicates that</w:t>
      </w:r>
      <w:r>
        <w:t xml:space="preserve"> </w:t>
      </w:r>
      <w:r>
        <w:t xml:space="preserve">“</w:t>
      </w:r>
      <w:r>
        <w:t xml:space="preserve">H0: Bulgaria and Romania have the same total percent increase</w:t>
      </w:r>
      <w:r>
        <w:t xml:space="preserve">”</w:t>
      </w:r>
      <w:r>
        <w:t xml:space="preserve"> </w:t>
      </w:r>
      <w:r>
        <w:t xml:space="preserve">can be rejected.</w:t>
      </w:r>
    </w:p>
    <w:bookmarkEnd w:id="27"/>
    <w:bookmarkStart w:id="29" w:name="figure-2-distribution-plots"/>
    <w:p>
      <w:pPr>
        <w:pStyle w:val="Heading4"/>
      </w:pPr>
      <w:r>
        <w:t xml:space="preserve">Figure 2: Distribution Plots</w:t>
      </w:r>
    </w:p>
    <w:p>
      <w:pPr>
        <w:pStyle w:val="FirstParagraph"/>
      </w:pPr>
      <w:r>
        <w:t xml:space="preserve">The discrepancy measures of randomly mixed sub-populations and the population discrepancy are shown below. In conclusion, the effect of COVID-19 differs between the 7 Eastern European countries.</w:t>
      </w:r>
    </w:p>
    <w:p>
      <w:pPr>
        <w:pStyle w:val="BodyText"/>
      </w:pPr>
      <w:r>
        <w:drawing>
          <wp:inline>
            <wp:extent cx="4620126" cy="3696101"/>
            <wp:effectExtent b="0" l="0" r="0" t="0"/>
            <wp:docPr descr="" title="" id="1" name="Picture"/>
            <a:graphic>
              <a:graphicData uri="http://schemas.openxmlformats.org/drawingml/2006/picture">
                <pic:pic>
                  <pic:nvPicPr>
                    <pic:cNvPr descr="Assignment4-Q3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Q3</dc:title>
  <dc:creator>Fenglin Chen</dc:creator>
  <cp:keywords/>
  <dcterms:created xsi:type="dcterms:W3CDTF">2021-12-07T05:49:43Z</dcterms:created>
  <dcterms:modified xsi:type="dcterms:W3CDTF">2021-12-07T05:49:43Z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06/12/2021</vt:lpwstr>
  </property>
  <property fmtid="{D5CDD505-2E9C-101B-9397-08002B2CF9AE}" pid="3" name="output">
    <vt:lpwstr>word_document</vt:lpwstr>
  </property>
</Properties>
</file>