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eastAsia="Microsoft JhengHei"/>
          <w:b/>
          <w:color w:val="5E6B75"/>
          <w:sz w:val="28"/>
        </w:rPr>
        <w:t>畢業專題研究計畫書</w:t>
      </w:r>
    </w:p>
    <w:p>
      <w:pPr>
        <w:spacing w:after="160"/>
        <w:jc w:val="center"/>
      </w:pPr>
      <w:r>
        <w:rPr>
          <w:rFonts w:ascii="Calibri" w:hAnsi="Calibri" w:eastAsia="Microsoft JhengHei"/>
          <w:b/>
          <w:color w:val="0B2545"/>
          <w:sz w:val="46"/>
        </w:rPr>
        <w:t>基於雙 IMU 回授與目標軌跡導引之</w:t>
        <w:br/>
        <w:t>上肢復健按需輔助控制系統設計</w:t>
      </w:r>
    </w:p>
    <w:p>
      <w:pPr>
        <w:spacing w:after="720"/>
        <w:jc w:val="center"/>
      </w:pPr>
      <w:r>
        <w:rPr>
          <w:rFonts w:ascii="Calibri" w:hAnsi="Calibri" w:eastAsia="Microsoft JhengHei"/>
          <w:i/>
          <w:color w:val="5E6B75"/>
          <w:sz w:val="24"/>
        </w:rPr>
        <w:t>Design of a Dual-IMU Feedback-Based, Trajectory-Guided</w:t>
        <w:br/>
        <w:t>Assist-as-Needed Control System for Upper-Limb Rehabilitation</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計畫資訊</w:t>
            </w:r>
          </w:p>
        </w:tc>
        <w:tc>
          <w:tcPr>
            <w:tcW w:type="dxa" w:w="70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學校／系所</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國立成功大學／生物醫學工程學系</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組別／實驗室</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醫學電子組／生醫訊號與神經工程實驗室</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[姓名、學號待填]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指導教授</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陳家進 特聘教授</w:t>
            </w:r>
          </w:p>
        </w:tc>
      </w:tr>
      <w:tr>
        <w:trPr>
          <w:cantSplit/>
        </w:trPr>
        <w:tc>
          <w:tcPr>
            <w:tcW w:type="dxa" w:w="2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計畫版本</w:t>
            </w:r>
          </w:p>
        </w:tc>
        <w:tc>
          <w:tcPr>
            <w:tcW w:type="dxa" w:w="70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正式計畫書第七版（實機跟隨與繩索協調進度對齊修訂）</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日期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2026 年 8 月</w:t>
            </w:r>
          </w:p>
        </w:tc>
      </w:tr>
    </w:tbl>
    <w:p>
      <w:pPr>
        <w:spacing w:after="40"/>
      </w:pPr>
    </w:p>
    <w:p>
      <w:r>
        <w:br w:type="page"/>
      </w:r>
    </w:p>
    <w:p>
      <w:pPr>
        <w:pStyle w:val="Heading1"/>
        <w:keepNext/>
      </w:pPr>
      <w:r>
        <w:t>摘要</w:t>
      </w:r>
    </w:p>
    <w:p>
      <w:pPr>
        <w:keepLines/>
      </w:pPr>
      <w:r>
        <w:rPr>
          <w:rFonts w:ascii="Calibri" w:hAnsi="Calibri" w:eastAsia="Microsoft JhengHei"/>
          <w:color w:val="000000"/>
        </w:rPr>
        <w:t>全球超過 24 億人可能受益於復健服務，其中約 8,600 萬人因中風而有復健需求 [1], [19]。對仍保有部分上肢動作能力者而言，固定訓練範圍與全程固定輔助皆難以反映個別能力、疲勞與工作階段差異。本研究由醫學電子與生醫訊號處理觀點出發，整合雙慣性量測單元（Inertial Measurement Unit, IMU）、指定時間自由活動式個人化活動範圍（Range of Motion, ROM）參考參數、目標軌跡與間歇取樣跟隨控制。Raspberry Pi 負責姿態融合、ROM 百分位估測、控制決策、繩索命令量估算、系統識別與資料紀錄；ESP32 負責三路馬達授權、300 ms 通訊逾時、輸出漸變、反轉歸零及鎖定式軟體停止。最新部署已能以 40 ms 歸零隔離、40 ms 馬達關閉取樣與 200 ms 固定輸出跟隨所選肘或肩關節，連續階段上限為 3 s；並加入肩抬舉時二頭／三頭共同放線與等量 PWM×時間回收、肘部長時間收放線平衡補償、三頭收線上限及二頭肌通道校正。整合版 78/78 項自動測試通過，三路馬達與跟隨功能已進行開發階段操作測試；惟此類觀察尚非正式量化結果，Chirp 系統識別、LADRC／ILC 實機比較、實際繩長／張力與人體安全均未完成。本研究後續以固定測試架量化感測、跟隨方向、繩索漂移、控制輸出與故障反應，並嚴格區分軟體測試、開發操作觀察、台架證據及人體／臨床證據。</w:t>
      </w:r>
    </w:p>
    <w:p>
      <w:pPr>
        <w:keepLines/>
      </w:pPr>
      <w:r>
        <w:rPr>
          <w:rFonts w:ascii="Calibri" w:hAnsi="Calibri" w:eastAsia="Microsoft JhengHei"/>
          <w:color w:val="000000"/>
        </w:rPr>
        <w:t>關鍵字：上肢運動量測、雙 IMU、個人化活動範圍、間歇取樣跟隨、Assist-as-Needed、拮抗繩索協調、PWM 時間平衡、嵌入式故障反應</w:t>
      </w:r>
    </w:p>
    <w:p>
      <w:pPr>
        <w:pStyle w:val="Heading1"/>
        <w:keepNext/>
      </w:pPr>
      <w:r>
        <w:t>一、研究背景與動機</w:t>
      </w:r>
    </w:p>
    <w:p>
      <w:pPr>
        <w:pStyle w:val="Heading2"/>
        <w:keepNext/>
      </w:pPr>
      <w:r>
        <w:t>1.1 復健需求與上肢功能障礙</w:t>
      </w:r>
    </w:p>
    <w:p>
      <w:pPr>
        <w:keepLines/>
      </w:pPr>
      <w:r>
        <w:rPr>
          <w:rFonts w:ascii="Calibri" w:hAnsi="Calibri" w:eastAsia="Microsoft JhengHei"/>
          <w:color w:val="000000"/>
        </w:rPr>
        <w:t>人口老化、慢性疾病與神經系統損傷使復健需求持續增加。Cieza 等人依全球疾病負擔研究估計，2019 年約有 24.1 億人罹患可能受益於復健介入的健康狀況，較 1990 年增加約 63% [1]；世界衛生組織指出，其中約 8,600 萬人因中風及其相關功能問題具有復健需求，且部分地區仍存在顯著的服務缺口 [19]。中風後上肢肌力、協調與動作控制受損，可能限制進食、穿衣及其他日常活動。相關復健原則重視高重複性、任務導向及自主動作參與，因此評估系統時除動作完成與軌跡誤差外，亦應考量外部輔助的介入程度。</w:t>
      </w:r>
    </w:p>
    <w:p>
      <w:pPr>
        <w:pStyle w:val="Heading2"/>
        <w:keepNext/>
      </w:pPr>
      <w:r>
        <w:t>1.2 為什麼需要輔助復健</w:t>
      </w:r>
    </w:p>
    <w:p>
      <w:pPr>
        <w:keepLines/>
      </w:pPr>
      <w:r>
        <w:rPr>
          <w:rFonts w:ascii="Calibri" w:hAnsi="Calibri" w:eastAsia="Microsoft JhengHei"/>
          <w:color w:val="000000"/>
        </w:rPr>
        <w:t>部分患者保有運動意圖與殘餘動作能力，卻可能因肌力不足、協調異常或疲勞而無法完成預定軌跡。完全自主訓練可能限制成功動作的重複量，完全被動帶動則不要求自主動作貢獻；主動輔助訓練位於兩者之間，由使用者先產生動作，外部裝置再補足未完成部分。Kahn 等人的隨機先導研究顯示，機器人主動輔助可用於中風後上肢伸取訓練 [6]。因此，本計畫在工程層將目標定義為：維持任務追蹤表現，同時限制非必要的馬達命令介入。</w:t>
      </w:r>
    </w:p>
    <w:p>
      <w:pPr>
        <w:keepLines/>
      </w:pPr>
      <w:r>
        <w:rPr>
          <w:rFonts w:ascii="Calibri" w:hAnsi="Calibri" w:eastAsia="Microsoft JhengHei"/>
          <w:color w:val="000000"/>
        </w:rPr>
        <w:t>機器人輔助復健具有動作重複性、參數可調性與資料可記錄性，但裝置效益仍取決於控制模式與介入劑量。2025 年統合分析納入 54 項隨機研究與 2,744 名中風者，整體上肢能力改善雖達統計顯著，效果量偏小且未於追蹤期維持。其次群組分析顯示，輔助程度與結果具有顯著關聯（p＝0.0046）；部分輔助組相較傳統復健之標準化平均差為 0.37（95% CI 0.19–0.55），全程輔助組則估計不精確且未達顯著 [20]。由於全程輔助研究數量有限且各研究對輔助量的定義不一致，本計畫僅將此結果作為控制策略設計依據，不作因果或臨床療效推論。</w:t>
      </w:r>
    </w:p>
    <w:p>
      <w:pPr>
        <w:pStyle w:val="Heading2"/>
        <w:keepNext/>
      </w:pPr>
      <w:r>
        <w:t>1.3 固定輔助的限制與按需輔助</w:t>
      </w:r>
    </w:p>
    <w:p>
      <w:pPr>
        <w:keepLines/>
      </w:pPr>
      <w:r>
        <w:rPr>
          <w:rFonts w:ascii="Calibri" w:hAnsi="Calibri" w:eastAsia="Microsoft JhengHei"/>
          <w:color w:val="000000"/>
        </w:rPr>
        <w:t>當外部輔助量不足時，使用者可能無法完成目標動作；當輔助量過高時，位置誤差雖可降低，卻可能出現自主出力下降的 motor slacking 現象。Wolbrecht 等人據此將最低必要輔助列為復健機器人控制的重要原則 [3]；Pehlivan 等人則將任務誤差與機器人輔助量共同納入最小 AAN 控制設計 [21]。因此，AAN 的工程目標並非單純最小化軌跡誤差，而是在預先定義的任務容許範圍內降低不必要的控制投入。</w:t>
      </w:r>
    </w:p>
    <w:p>
      <w:pPr>
        <w:keepLines/>
      </w:pPr>
      <w:r>
        <w:rPr>
          <w:rFonts w:ascii="Calibri" w:hAnsi="Calibri" w:eastAsia="Microsoft JhengHei"/>
          <w:color w:val="000000"/>
        </w:rPr>
        <w:t>應特別區分『動作跟隨表現』與『生理層級主動參與』。致動器可能補足使用者未完成的動作，因此低誤差或成功跟隨不能直接視為高參與度 [9]。本研究未配置互動力、力矩或肌電訊號感測，故將現行間歇取樣跟隨保守定位為『動作觸發的按需輔助』：只有在馬達關閉取樣窗確認所選關節具有一致動作方向後，才提供有限時間輸出；評估指標包含方向判定、介入延遲、輸出時間、命令量與繩索漂移。所得結果只能說明系統是否依量測到的動作方向介入，不作神經肌肉參與程度推論。</w:t>
      </w:r>
    </w:p>
    <w:p>
      <w:pPr>
        <w:pStyle w:val="Heading2"/>
        <w:keepNext/>
      </w:pPr>
      <w:r>
        <w:t>1.4 為什麼採用雙 IMU 回授</w:t>
      </w:r>
    </w:p>
    <w:p>
      <w:pPr>
        <w:keepLines/>
      </w:pPr>
      <w:r>
        <w:rPr>
          <w:rFonts w:ascii="Calibri" w:hAnsi="Calibri" w:eastAsia="Microsoft JhengHei"/>
          <w:color w:val="000000"/>
        </w:rPr>
        <w:t>按需輔助需要即時判斷關節是否跟上目標軌跡。光學動作捕捉精度高，但設備、空間與遮蔽限制較大；機構編碼器則只反映馬達或機構位置，未必等同人體肢段姿態。IMU 具有低成本、體積小、易穿戴及不依賴外部攝影空間等特點。將兩顆 IMU 分別配置於上臂與前臂，可由相鄰肢段相對姿態估測肘關節屈伸，降低單一前臂感測器把上臂整體移動誤認為肘屈伸的問題 [10]-[13]。</w:t>
      </w:r>
    </w:p>
    <w:p>
      <w:pPr>
        <w:keepLines/>
      </w:pPr>
      <w:r>
        <w:rPr>
          <w:rFonts w:ascii="Calibri" w:hAnsi="Calibri" w:eastAsia="Microsoft JhengHei"/>
          <w:color w:val="000000"/>
        </w:rPr>
        <w:t>IMU 並非沒有誤差。陀螺儀積分會漂移，加速度計在動態加速度下會失真，感測器與肢段軸線不一致也會造成系統性偏差。相關研究顯示，功能性校正、感測器融合及運動學限制可提升肘角估測表現 [10]-[13]。因此，本研究將雙 IMU 定位為低成本即時回授方案，並規劃以量角器或編碼器作參考真值，實際驗證固定角度誤差、重複性與動態追蹤，而不直接援用他人最佳誤差作為本系統成果。</w:t>
      </w:r>
    </w:p>
    <w:p>
      <w:pPr>
        <w:pStyle w:val="Heading2"/>
        <w:keepNext/>
      </w:pPr>
      <w:r>
        <w:t>1.5 醫學電子與生醫訊號研究定位</w:t>
      </w:r>
    </w:p>
    <w:p>
      <w:pPr>
        <w:keepLines/>
      </w:pPr>
      <w:r>
        <w:rPr>
          <w:rFonts w:ascii="Calibri" w:hAnsi="Calibri" w:eastAsia="Microsoft JhengHei"/>
          <w:color w:val="000000"/>
        </w:rPr>
        <w:t>本研究所量測之 IMU 資料屬穿戴式運動學訊號，而非肌電、腦電等電生理訊號；其醫學電子價值在於整合感測器校正、時序取樣、雜訊抑制、姿態融合、個人化 ROM 參數、系統識別與閉迴路決策。一般控制 CSV 已可保存時間戳記、處理後角度、目標速度、誤差、回授／前饋／合併輸出、三路期望／實際 PWM 與狀態欄位；頻域模組另輸出 raw_frequency_data.csv、frequency_analysis.json 與 frequency_analysis.png。惟現行紀錄仍未確認逐筆保存六軸原始加速度與角速度，也未整合外部參考角度的同步欄位。因此，正式資料收集前仍須新增或確認 ax、ay、az、gx、gy、gz、校正與參數版本、參考角度及同步事件；若未完成同步，只能報告取樣穩定性與控制內部性能，不得宣稱動態量測準確度或相位差。</w:t>
      </w:r>
    </w:p>
    <w:p>
      <w:pPr>
        <w:pStyle w:val="Heading2"/>
        <w:keepNext/>
      </w:pPr>
      <w:r>
        <w:t>1.6 研究動機總結</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eastAsia="Microsoft JhengHei"/>
                <w:b/>
                <w:color w:val="0B2545"/>
              </w:rPr>
              <w:t>核心研究命題：以雙 IMU 建立工作階段相對 ROM 參考與所選關節動作方向，在馬達關閉取樣窗內判定使用者動作，再以有限輸出保持提供助力；同時以 PWM×時間帳本、肩肘共同模式與通道校正管理拮抗繩索。目標軌跡 PID／LADRC／ILC 與系統識別作為同平台延伸驗證。</w:t>
            </w:r>
          </w:p>
        </w:tc>
      </w:tr>
    </w:tbl>
    <w:p>
      <w:pPr>
        <w:spacing w:after="40"/>
      </w:pPr>
      <w:r>
        <w:t>綜合而言，本研究欲處理的核心工程問題不是單純讓馬達追上角度，而是讓低成本穿戴式感測、個人化活動範圍、使用者動作方向判定、三路繩索協調與故障反應形成同一條可驗證鏈。最新實機開發亦顯示，若只看瞬時 IMU 速度或固定收放比例，馬達自身造成的動作與 PWM 漸變會導致誤判、爆衝或長時間淨收線；因此必須把『馬達關閉時取樣』『有限時間輸出』『PWM×時間帳本』與通道校正納入研究設計。</w:t>
      </w:r>
    </w:p>
    <w:p>
      <w:pPr>
        <w:pStyle w:val="Heading1"/>
        <w:keepNext/>
      </w:pPr>
      <w:r>
        <w:t>二、相關文獻回顧</w:t>
      </w:r>
    </w:p>
    <w:p>
      <w:pPr>
        <w:pStyle w:val="Heading2"/>
        <w:keepNext/>
      </w:pPr>
      <w:r>
        <w:t>2.1 上肢機器人復健與主動輔助訓練</w:t>
      </w:r>
    </w:p>
    <w:p>
      <w:pPr>
        <w:keepLines/>
      </w:pPr>
      <w:r>
        <w:rPr>
          <w:rFonts w:ascii="Calibri" w:hAnsi="Calibri" w:eastAsia="Microsoft JhengHei"/>
          <w:color w:val="000000"/>
        </w:rPr>
        <w:t>上肢機器人可依與人體連接方式分為外骨骼型與末端牽引型。外骨骼型可直接對應人體關節，但需處理關節軸線對位、重量與安全；末端牽引型機構較簡化，但關節運動由末端約束間接形成 [4], [14]。Karadeniz 等人所開發的四自由度肩肘外骨骼展示了機構強度、安全活動範圍及 PID 位置控制的重要性 [14]，但其規模也說明完整多自由度外骨骼不適合作為本階段唯一成功條件。</w:t>
      </w:r>
    </w:p>
    <w:p>
      <w:pPr>
        <w:keepLines/>
      </w:pPr>
      <w:r>
        <w:rPr>
          <w:rFonts w:ascii="Calibri" w:hAnsi="Calibri" w:eastAsia="Microsoft JhengHei"/>
          <w:color w:val="000000"/>
        </w:rPr>
        <w:t>系統性回顧與臨床試驗顯示，機器人訓練可作為中風上肢復健工具，但效果受到裝置、訓練內容、劑量與受試者程度影響 [2], [7]。主動輔助模式適合仍有部分動作能力但無法獨立完成任務者；然而輔助模式必須依功能程度選擇。Jeon 等人比較阻力與主動輔助機器訓練時發現，中度障礙受試者在阻力組的部分結果較佳 [8]，顯示輔助越多不等於效果越好。故本研究不宣稱 AAN 對所有患者皆最佳，而是把它視為可依動作表現調節輔助的工程策略。</w:t>
      </w:r>
    </w:p>
    <w:p>
      <w:pPr>
        <w:pStyle w:val="Heading2"/>
        <w:keepNext/>
      </w:pPr>
      <w:r>
        <w:t>2.2 Assist-as-Needed 控制策略</w:t>
      </w:r>
    </w:p>
    <w:p>
      <w:pPr>
        <w:keepLines/>
      </w:pPr>
      <w:r>
        <w:rPr>
          <w:rFonts w:ascii="Calibri" w:hAnsi="Calibri" w:eastAsia="Microsoft JhengHei"/>
          <w:color w:val="000000"/>
        </w:rPr>
        <w:t>AAN 方法包含阻抗／導納控制、虛擬通道、模型式能力估測、EMG 觸發與資料驅動調節等 [3]-[5]。Zhang 等人以虛擬通道讓使用者在允許區域內自由運動，偏離後才產生恢復力 [15]；另一項表現式控制研究則以追蹤誤差切換零互動、AAN 與限制區域模式 [16]。這些方法提供本研究兩項設計原則：第一，需設定不介入區域；第二，輔助強度不宜僅由單一瞬間誤差決定，應考量誤差持續時間與控制狀態。</w:t>
      </w:r>
    </w:p>
    <w:p>
      <w:pPr>
        <w:pStyle w:val="Heading2"/>
        <w:keepNext/>
      </w:pPr>
      <w:r>
        <w:t>2.3 IMU 上肢角度估測</w:t>
      </w:r>
    </w:p>
    <w:p>
      <w:pPr>
        <w:keepLines/>
      </w:pPr>
      <w:r>
        <w:rPr>
          <w:rFonts w:ascii="Calibri" w:hAnsi="Calibri" w:eastAsia="Microsoft JhengHei"/>
          <w:color w:val="000000"/>
        </w:rPr>
        <w:t>Fang 等人彙整 52 篇將上肢 IMU 資料轉換為關節角度的研究，指出 Euler 角分解、Kalman 類濾波、功能性關節軸校正及運動學限制皆被廣泛使用，且不同關節與自由度的誤差差異明顯 [10]。El-Gohary 與 McNames 以兩顆 IMU、運動學模型及 Unscented Kalman Filter 追蹤肩肘角度 [11]；Müller 等人則以自校正方法處理感測器對位，肘屈伸相對光學參考的 RMS 誤差為 2.7° [12]。Morrow 等人的研究亦顯示商用 IMU 的肘屈伸誤差會隨量測幅度改變，結果具有特定操作協定依賴性 [13]。因此，本研究必須以自身安裝與動作條件建立校正及驗證。</w:t>
      </w:r>
    </w:p>
    <w:p>
      <w:pPr>
        <w:pStyle w:val="Heading2"/>
        <w:keepNext/>
      </w:pPr>
      <w:r>
        <w:t>2.4 IMU 活動範圍量測與個人化參數</w:t>
      </w:r>
    </w:p>
    <w:p>
      <w:pPr>
        <w:keepLines/>
      </w:pPr>
      <w:r>
        <w:rPr>
          <w:rFonts w:ascii="Calibri" w:hAnsi="Calibri" w:eastAsia="Microsoft JhengHei"/>
          <w:color w:val="000000"/>
        </w:rPr>
        <w:t>IMU 用於 ROM 量測具有便攜與連續記錄優勢，但有效度取決於關節、動作平面、安裝與校正程序。Costa 等人以 29 名無症狀成人比較慣性感測器與量角器，肘部主動 ROM 具良好一致性，但該結果來自特定商用系統與標準化量測流程，不能直接移植為本系統準確度 [22]。Kaszyński 等人以 15 名無症狀成人驗證肩部 ROM，結果雖呈中度至優良相關，但一致性界限仍可達數十度，顯示『相關性高』不等於個別量測誤差小 [23]。因此，本研究同時報告偏差、MAE、重複性及一致性界限，不只報告相關係數。</w:t>
      </w:r>
    </w:p>
    <w:p>
      <w:pPr>
        <w:keepLines/>
      </w:pPr>
      <w:r>
        <w:rPr>
          <w:rFonts w:ascii="Calibri" w:hAnsi="Calibri" w:eastAsia="Microsoft JhengHei"/>
          <w:color w:val="000000"/>
        </w:rPr>
        <w:t>現行程式將量得 ROM 的 90% 映射為訓練目標；此比例是可調的工程預設值，不是文獻證實的患者安全劑量。於任何人體使用前，必須增加治療人員可設定的比例、角度硬上／下限與停止條件。本研究中的肩部訊號係單顆上臂 IMU 相對初始重力方向的抬舉角，可能混入軀幹與肩胛代償，故僅稱『肩部任務之上臂抬舉參考參數』，不稱解剖學盂肱關節 ROM。</w:t>
      </w:r>
    </w:p>
    <w:p>
      <w:pPr>
        <w:pStyle w:val="Heading2"/>
        <w:keepNext/>
      </w:pPr>
      <w:r>
        <w:t>2.5 PID 追蹤、安全限制與本研究取捨</w:t>
      </w:r>
    </w:p>
    <w:p>
      <w:pPr>
        <w:keepLines/>
      </w:pPr>
      <w:r>
        <w:rPr>
          <w:rFonts w:ascii="Calibri" w:hAnsi="Calibri" w:eastAsia="Microsoft JhengHei"/>
          <w:color w:val="000000"/>
        </w:rPr>
        <w:t>PID 容易實作、參數意義清楚，適合建立基礎閉迴路與比較 P／PI／PID 對誤差、震盪與穩定時間的影響。復健裝置中的 PID 研究通常以超越量、上升時間、穩定時間及軌跡誤差評估 [14], [17]。然而，導數項會放大量測雜訊，積分項在輸出飽和時可能產生 windup；人體接觸系統亦不能僅由上位軟體控制器保證安全。因此，本研究使用 deadband、積分限幅、輸出飽和及漸變輸出，並由 ESP32 下位節點執行上電禁能、通訊逾時、反轉歸零與鎖定式軟體停止狀態。</w:t>
      </w:r>
    </w:p>
    <w:p>
      <w:pPr>
        <w:pStyle w:val="Heading2"/>
        <w:keepNext/>
      </w:pPr>
      <w:r>
        <w:t>2.6 系統識別、LADRC 與 ILC</w:t>
      </w:r>
    </w:p>
    <w:p>
      <w:pPr>
        <w:keepLines/>
      </w:pPr>
      <w:r>
        <w:rPr>
          <w:rFonts w:ascii="Calibri" w:hAnsi="Calibri" w:eastAsia="Microsoft JhengHei"/>
          <w:color w:val="000000"/>
        </w:rPr>
        <w:t>本系統未配置馬達編碼器，因此研究輸入／輸出模型定義為『經輸出整形與三路分配後的有效關節 PWM→雙 IMU 估測關節角度』，其動態同時包含馬達、繩索、機構、負載與感測濾波，而非馬達軸模型。頻域模組使用 Chirp、PRBS 或單頻正弦激振，估測 H1 頻率響應、Bode 圖、coherence、頻寬、相位延遲及 ARX 模型；coherence 用於辨識哪些頻帶的輸入／輸出關聯較可信。自動掃頻只允許無人體的固定測試架。</w:t>
      </w:r>
    </w:p>
    <w:p>
      <w:pPr>
        <w:keepLines/>
      </w:pPr>
      <w:r>
        <w:rPr>
          <w:rFonts w:ascii="Calibri" w:hAnsi="Calibri" w:eastAsia="Microsoft JhengHei"/>
          <w:color w:val="000000"/>
        </w:rPr>
        <w:t>ADRC 以擴張狀態觀測器把未知模型項與外擾合併為總擾動並在線估測；本研究採二階 LADRC，另以 ESO 子步積分降低 Linux 偶發較大取樣間隔造成數值不穩定的風險 [24]。ILC 則利用重複任務前一周期的誤差更新下一周期前饋，適合有限時間、重複執行的軌跡追蹤 [25]；上肢復健相關研究亦曾將 ILC 用於重複動作控制 [26]。本系統採 200 個相位格點、P-type 更新、Q-filter、忘卻因子、單周期更新上限與 learned PWM 上限，且只允許完整、未飽和的正弦周期學習。這些模組目前屬已實作待實機驗證的方法，不先宣稱優於 PID。</w:t>
      </w:r>
    </w:p>
    <w:p>
      <w:pPr>
        <w:pStyle w:val="Heading1"/>
        <w:keepNext/>
      </w:pPr>
      <w:r>
        <w:t>三、研究缺口、問題與假設</w:t>
      </w:r>
    </w:p>
    <w:p>
      <w:pPr>
        <w:pStyle w:val="Heading2"/>
        <w:keepNext/>
      </w:pPr>
      <w:r>
        <w:t>3.1 研究缺口</w:t>
      </w:r>
    </w:p>
    <w:p>
      <w:pPr>
        <w:pStyle w:val="ListBullet"/>
      </w:pPr>
      <w:r>
        <w:rPr>
          <w:rFonts w:ascii="Calibri" w:hAnsi="Calibri" w:eastAsia="Microsoft JhengHei"/>
          <w:color w:val="000000"/>
        </w:rPr>
        <w:t>單一姿態感測器難以區分上臂整體移動與肘關節相對屈伸；雙 IMU 方案則需處理校正、濾波與安裝誤差。</w:t>
      </w:r>
    </w:p>
    <w:p>
      <w:pPr>
        <w:pStyle w:val="ListBullet"/>
      </w:pPr>
      <w:r>
        <w:rPr>
          <w:rFonts w:ascii="Calibri" w:hAnsi="Calibri" w:eastAsia="Microsoft JhengHei"/>
          <w:color w:val="000000"/>
        </w:rPr>
        <w:t>傳統位置控制追求低誤差，卻可能以持續馬達代償換取追蹤表現，無法證明使用者主動參與。</w:t>
      </w:r>
    </w:p>
    <w:p>
      <w:pPr>
        <w:pStyle w:val="ListBullet"/>
      </w:pPr>
      <w:r>
        <w:rPr>
          <w:rFonts w:ascii="Calibri" w:hAnsi="Calibri" w:eastAsia="Microsoft JhengHei"/>
          <w:color w:val="000000"/>
        </w:rPr>
        <w:t>高階 AAN 常依賴力矩感測器、EMG、精確動力學模型或高階運算，低成本雛形需要較簡潔、可解釋且可驗證的替代策略。</w:t>
      </w:r>
    </w:p>
    <w:p>
      <w:pPr>
        <w:pStyle w:val="ListBullet"/>
      </w:pPr>
      <w:r>
        <w:rPr>
          <w:rFonts w:ascii="Calibri" w:hAnsi="Calibri" w:eastAsia="Microsoft JhengHei"/>
          <w:color w:val="000000"/>
        </w:rPr>
        <w:t>不同使用者及不同訓練日的可動範圍可能不同；若以固定角度範圍產生目標軌跡，可能超出當下能力或無法形成足夠挑戰，因此需要可重複的個人化 ROM 參考參數。</w:t>
      </w:r>
    </w:p>
    <w:p>
      <w:pPr>
        <w:pStyle w:val="ListBullet"/>
      </w:pPr>
      <w:r>
        <w:rPr>
          <w:rFonts w:ascii="Calibri" w:hAnsi="Calibri" w:eastAsia="Microsoft JhengHei"/>
          <w:color w:val="000000"/>
        </w:rPr>
        <w:t>只比較 RMSE 無法證明『按需』；必須同時評估啟動時機、介入時間與命令量。又因目前沒有力／力矩感測器，PWM 只能代表命令層介入，不能當成實際機械輔助力。</w:t>
      </w:r>
    </w:p>
    <w:p>
      <w:pPr>
        <w:pStyle w:val="ListBullet"/>
      </w:pPr>
      <w:r>
        <w:rPr>
          <w:rFonts w:ascii="Calibri" w:hAnsi="Calibri" w:eastAsia="Microsoft JhengHei"/>
          <w:color w:val="000000"/>
        </w:rPr>
        <w:t>動態角度準確度、相位差與控制延遲需要共同時間基準；現行紀錄尚未納入外部參考角度，若未先完成同步就無法形成有效的動態效度結論。</w:t>
      </w:r>
    </w:p>
    <w:p>
      <w:pPr>
        <w:pStyle w:val="ListBullet"/>
      </w:pPr>
      <w:r>
        <w:rPr>
          <w:rFonts w:ascii="Calibri" w:hAnsi="Calibri" w:eastAsia="Microsoft JhengHei"/>
          <w:color w:val="000000"/>
        </w:rPr>
        <w:t>人體接觸式致動需要多層風險控制；僅在 Raspberry Pi 程式中限制 PWM，無法涵蓋通訊中斷、控制程式失效、驅動器故障與過電流等情境。</w:t>
      </w:r>
    </w:p>
    <w:p>
      <w:pPr>
        <w:pStyle w:val="ListBullet"/>
      </w:pPr>
      <w:r>
        <w:rPr>
          <w:rFonts w:ascii="Calibri" w:hAnsi="Calibri" w:eastAsia="Microsoft JhengHei"/>
          <w:color w:val="000000"/>
        </w:rPr>
        <w:t>現行系統無馬達編碼器、力／力矩或張力感測器；因此只能由 PWM 與 IMU 建立等效輸入／輸出模型，不能宣稱精確放線、繩索張力、關節扭矩或實際輔助力控制。</w:t>
      </w:r>
    </w:p>
    <w:p>
      <w:pPr>
        <w:pStyle w:val="ListBullet"/>
      </w:pPr>
      <w:r>
        <w:rPr>
          <w:rFonts w:ascii="Calibri" w:hAnsi="Calibri" w:eastAsia="Microsoft JhengHei"/>
          <w:color w:val="000000"/>
        </w:rPr>
        <w:t>LADRC 與 ILC 雖已完成軟體及合成模型測試，仍缺固定測試架上的頻域辨識、參數調整及跨控制器實機比較。另一方面，最新實機跟隨開發暴露出無編碼器繩索致動的特有缺口：固定收放比例無法保證多周期後的實際線長平衡，肩抬舉亦會共同改變肘部兩條繩索路徑，因此需以可追溯的 PWM×時間估算、共同模式補償與外部標記量測分開驗證。</w:t>
      </w:r>
    </w:p>
    <w:p>
      <w:pPr>
        <w:pStyle w:val="Heading2"/>
        <w:keepNext/>
      </w:pPr>
      <w:r>
        <w:t>3.2 問題定義</w:t>
      </w:r>
    </w:p>
    <w:p>
      <w:pPr>
        <w:keepLines/>
      </w:pPr>
      <w:r>
        <w:rPr>
          <w:rFonts w:ascii="Calibri" w:hAnsi="Calibri" w:eastAsia="Microsoft JhengHei"/>
          <w:color w:val="000000"/>
        </w:rPr>
        <w:t>本研究探討在未使用光學動作捕捉、馬達編碼器、關節力／力矩感測器或完整人體動力學模型的條件下，能否以雙 IMU 建立可驗證的單平面肘角訊號，以指定時間自由活動與穩健百分位衍生工作階段相對 ROM 參考參數，並以馬達關閉取樣與有限輸出保持完成所選關節的動作跟隨。對繩索致動部分，研究進一步檢驗 PWM×時間帳本、肩肘共同模式補償與通道校正能否降低爆衝及多周期淨收線偏差。目標軌跡 PID、LADRC、ILC 與系統識別保留為同平台的次要驗證模組。研究結論限於非臨床台架與演算法層級：PWM 僅代表命令量，虛擬帳本不等於實際繩長或張力，任何開發操作觀察均不推論使用者意圖、實際輔助力或療效。</w:t>
      </w:r>
    </w:p>
    <w:p>
      <w:pPr>
        <w:pStyle w:val="Heading2"/>
        <w:keepNext/>
      </w:pPr>
      <w:r>
        <w:t>3.3 研究問題</w:t>
      </w:r>
    </w:p>
    <w:p>
      <w:pPr>
        <w:pStyle w:val="ListBullet"/>
      </w:pPr>
      <w:r>
        <w:rPr>
          <w:rFonts w:ascii="Calibri" w:hAnsi="Calibri" w:eastAsia="Microsoft JhengHei"/>
          <w:color w:val="000000"/>
        </w:rPr>
        <w:t>RQ1：雙 IMU 在固定角度與動態屈伸條件下，能否穩定估測單自由度肘關節角度？</w:t>
      </w:r>
    </w:p>
    <w:p>
      <w:pPr>
        <w:pStyle w:val="ListBullet"/>
      </w:pPr>
      <w:r>
        <w:rPr>
          <w:rFonts w:ascii="Calibri" w:hAnsi="Calibri" w:eastAsia="Microsoft JhengHei"/>
          <w:color w:val="000000"/>
        </w:rPr>
        <w:t>RQ2：個人化 ROM 流程能否穩定判定肘部主軸與方向，並產生具重複性的肘屈伸與肩部任務之上臂抬舉參考參數？</w:t>
      </w:r>
    </w:p>
    <w:p>
      <w:pPr>
        <w:pStyle w:val="ListBullet"/>
      </w:pPr>
      <w:r>
        <w:rPr>
          <w:rFonts w:ascii="Calibri" w:hAnsi="Calibri" w:eastAsia="Microsoft JhengHei"/>
          <w:color w:val="000000"/>
        </w:rPr>
        <w:t>RQ3：固定測試架的有效關節 PWM→IMU 關節角度動態能否由 FRF 與 ARX 模型重複辨識，並界定可信頻帶、延遲與模型適用範圍？</w:t>
      </w:r>
    </w:p>
    <w:p>
      <w:pPr>
        <w:pStyle w:val="ListBullet"/>
      </w:pPr>
      <w:r>
        <w:rPr>
          <w:rFonts w:ascii="Calibri" w:hAnsi="Calibri" w:eastAsia="Microsoft JhengHei"/>
          <w:color w:val="000000"/>
        </w:rPr>
        <w:t>RQ4：PID 與 LADRC 能否在相同固定測試架條件下穩定追蹤週期性目標軌跡；ILC＋PID 與 ILC＋LADRC 是否能在重複完整周期中降低追蹤誤差或回授修正量？</w:t>
      </w:r>
    </w:p>
    <w:p>
      <w:pPr>
        <w:pStyle w:val="ListBullet"/>
      </w:pPr>
      <w:r>
        <w:rPr>
          <w:rFonts w:ascii="Calibri" w:hAnsi="Calibri" w:eastAsia="Microsoft JhengHei"/>
          <w:color w:val="000000"/>
        </w:rPr>
        <w:t>RQ5：間歇取樣跟隨能否在馬達關閉的取樣窗內穩定判定所選肘／肩關節動作方向，並以有限輸出保持避免馬達自身動作形成正回饋？PWM×時間平衡、肩肘共同模式補償與通道校正能否降低三頭爆衝及多周期後的淨收線偏差？</w:t>
      </w:r>
    </w:p>
    <w:p>
      <w:pPr>
        <w:pStyle w:val="ListBullet"/>
      </w:pPr>
      <w:r>
        <w:rPr>
          <w:rFonts w:ascii="Calibri" w:hAnsi="Calibri" w:eastAsia="Microsoft JhengHei"/>
          <w:color w:val="000000"/>
        </w:rPr>
        <w:t>RQ6：ILC＋PID 與 ILC＋LADRC 在有效完整周期中是否呈現跨周期 RMSE 或回授修正量下降，且中斷／飽和周期不污染學習？</w:t>
      </w:r>
    </w:p>
    <w:p>
      <w:pPr>
        <w:pStyle w:val="ListBullet"/>
      </w:pPr>
      <w:r>
        <w:rPr>
          <w:rFonts w:ascii="Calibri" w:hAnsi="Calibri" w:eastAsia="Microsoft JhengHei"/>
          <w:color w:val="000000"/>
        </w:rPr>
        <w:t>RQ7：ESP32、IMU watchdog、單馬達點動保護與上位控制服務能否在未 ARM、通訊逾時、I²C 失聯、鎖定式軟體停止、方向反轉、操作放開及服務重啟等情況下產生預期的故障反應？</w:t>
      </w:r>
    </w:p>
    <w:p>
      <w:pPr>
        <w:pStyle w:val="Heading2"/>
        <w:keepNext/>
      </w:pPr>
      <w:r>
        <w:t>3.4 研究邏輯追溯矩陣</w:t>
      </w:r>
    </w:p>
    <w:tbl>
      <w:tblPr>
        <w:tblStyle w:val="TableGrid"/>
        <w:tblW w:type="dxa" w:w="9360"/>
        <w:jc w:val="center"/>
        <w:tblLayout w:type="fixed"/>
        <w:tblLook w:firstColumn="1" w:firstRow="1" w:lastColumn="0" w:lastRow="0" w:noHBand="0" w:noVBand="1" w:val="04A0"/>
        <w:tblInd w:w="120" w:type="dxa"/>
      </w:tblPr>
      <w:tblGrid>
        <w:gridCol w:w="1150"/>
        <w:gridCol w:w="2850"/>
        <w:gridCol w:w="1850"/>
        <w:gridCol w:w="3510"/>
      </w:tblGrid>
      <w:tr>
        <w:trPr>
          <w:tblHeader w:val="true"/>
          <w:cantSplit/>
        </w:trPr>
        <w:tc>
          <w:tcPr>
            <w:tcW w:type="dxa" w:w="11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命題</w:t>
            </w:r>
          </w:p>
        </w:tc>
        <w:tc>
          <w:tcPr>
            <w:tcW w:type="dxa" w:w="28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主要終點</w:t>
            </w:r>
          </w:p>
        </w:tc>
        <w:tc>
          <w:tcPr>
            <w:tcW w:type="dxa" w:w="18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對應實驗</w:t>
            </w:r>
          </w:p>
        </w:tc>
        <w:tc>
          <w:tcPr>
            <w:tcW w:type="dxa" w:w="351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預先判定原則</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RQ1／H1</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 bias、MAE、SD；同步動態 RMSE</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實驗一、二</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 MAE ≤ 5°、穩定段 SD ≤ 2°；動態資料須先通過同步品質門檻</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RQ2／H2</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肘部軸向／方向一致率、ROM 重複差與參考差</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實驗三</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5 次軸向／方向一致率 100%；肘 ROM 平均絕對參考差 ≤ 5°、重複 SD ≤ 5°</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RQ3／H3</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FRF、coherence、頻寬、延遲、ARX 驗證</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實驗四</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先以 coherence 與獨立回合驗證界定可用模型；未通過不得據以調整 LADRC</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RQ4／H4</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RMSE、phase lag、jerk、PWM RMS／變化量</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實驗五</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無持續震盪、限幅失控或安全中止；以鎖定參數呈現模式取捨</w:t>
            </w:r>
          </w:p>
        </w:tc>
      </w:tr>
      <w:tr>
        <w:trPr>
          <w:cantSplit/>
        </w:trPr>
        <w:tc>
          <w:tcPr>
            <w:tcW w:type="dxa" w:w="115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RQ5／H5</w:t>
            </w:r>
          </w:p>
        </w:tc>
        <w:tc>
          <w:tcPr>
            <w:tcW w:type="dxa" w:w="285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方向判定、延遲、輸出占比、三頭限幅、PWM×時間差額與同姿勢繩索標記位移</w:t>
            </w:r>
          </w:p>
        </w:tc>
        <w:tc>
          <w:tcPr>
            <w:tcW w:type="dxa" w:w="185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實驗六</w:t>
            </w:r>
          </w:p>
        </w:tc>
        <w:tc>
          <w:tcPr>
            <w:tcW w:type="dxa" w:w="351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先以固定架建立方向真值；比較平衡補償開／關之多周期漂移，命令量不解釋為力或實際繩長</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RQ6／H6</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逐周期 RMSE、改善率、learned PWM、有效周期率</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實驗七</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只納入完整未飽和周期；學習輸出不超過預設上限</w:t>
            </w:r>
          </w:p>
        </w:tc>
      </w:tr>
      <w:tr>
        <w:trPr>
          <w:cantSplit/>
        </w:trPr>
        <w:tc>
          <w:tcPr>
            <w:tcW w:type="dxa" w:w="115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RQ7／H7</w:t>
            </w:r>
          </w:p>
        </w:tc>
        <w:tc>
          <w:tcPr>
            <w:tcW w:type="dxa" w:w="285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狀態轉移、IMU age／errors、點動 session 與輸出歸零時間</w:t>
            </w:r>
          </w:p>
        </w:tc>
        <w:tc>
          <w:tcPr>
            <w:tcW w:type="dxa" w:w="185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實驗八</w:t>
            </w:r>
          </w:p>
        </w:tc>
        <w:tc>
          <w:tcPr>
            <w:tcW w:type="dxa" w:w="351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各故障事件 5/5 進入預定狀態；通訊 timeout 至歸零 ≤ 350 ms</w:t>
            </w:r>
          </w:p>
        </w:tc>
      </w:tr>
    </w:tbl>
    <w:p>
      <w:pPr>
        <w:spacing w:after="40"/>
      </w:pPr>
    </w:p>
    <w:p>
      <w:pPr>
        <w:keepLines/>
      </w:pPr>
      <w:r>
        <w:rPr>
          <w:rFonts w:ascii="Calibri" w:hAnsi="Calibri" w:eastAsia="Microsoft JhengHei"/>
          <w:color w:val="000000"/>
        </w:rPr>
        <w:t>上述為先導型工程驗收門檻，用於讓命題可被否證，不是臨床最小重要差異。正式測試前將把門檻、控制參數、負載、參考工具及排除規則寫入版本化測試表；開始正式資料收集後不得依結果調整。</w:t>
      </w:r>
    </w:p>
    <w:p>
      <w:pPr>
        <w:pStyle w:val="Heading1"/>
        <w:keepNext/>
      </w:pPr>
      <w:r>
        <w:t>四、研究目的、範圍與成果</w:t>
      </w:r>
    </w:p>
    <w:p>
      <w:pPr>
        <w:pStyle w:val="Heading2"/>
        <w:keepNext/>
      </w:pPr>
      <w:r>
        <w:t>4.1 研究目的</w:t>
      </w:r>
    </w:p>
    <w:p>
      <w:pPr>
        <w:pStyle w:val="ListBullet"/>
      </w:pPr>
      <w:r>
        <w:rPr>
          <w:rFonts w:ascii="Calibri" w:hAnsi="Calibri" w:eastAsia="Microsoft JhengHei"/>
          <w:color w:val="000000"/>
        </w:rPr>
        <w:t>O1：建立雙 IMU 讀取、啟動零點校正、互補濾波、相對肢段角度與後端平滑流程。</w:t>
      </w:r>
    </w:p>
    <w:p>
      <w:pPr>
        <w:pStyle w:val="ListBullet"/>
      </w:pPr>
      <w:r>
        <w:rPr>
          <w:rFonts w:ascii="Calibri" w:hAnsi="Calibri" w:eastAsia="Microsoft JhengHei"/>
          <w:color w:val="000000"/>
        </w:rPr>
        <w:t>O2：建立肘屈曲、肘伸展與肩部前舉／側舉任務之上臂抬舉參考流程，並將結果映射為個別工作階段的訓練參數。</w:t>
      </w:r>
    </w:p>
    <w:p>
      <w:pPr>
        <w:pStyle w:val="ListBullet"/>
      </w:pPr>
      <w:r>
        <w:rPr>
          <w:rFonts w:ascii="Calibri" w:hAnsi="Calibri" w:eastAsia="Microsoft JhengHei"/>
          <w:color w:val="000000"/>
        </w:rPr>
        <w:t>O3：建立固定、階躍與正弦目標軌跡，以及可互斥選擇肘／肩關節的間歇取樣跟隨模式；以馬達關閉取樣、方向一致性判定、有限輸出保持與重新觸發條件降低自激與誤觸。</w:t>
      </w:r>
    </w:p>
    <w:p>
      <w:pPr>
        <w:pStyle w:val="ListBullet"/>
      </w:pPr>
      <w:r>
        <w:rPr>
          <w:rFonts w:ascii="Calibri" w:hAnsi="Calibri" w:eastAsia="Microsoft JhengHei"/>
          <w:color w:val="000000"/>
        </w:rPr>
        <w:t>O4：建立安全的 Chirp／PRBS／單頻正弦系統識別流程，估測 FRF、coherence、頻寬、延遲與 ARX 模型。</w:t>
      </w:r>
    </w:p>
    <w:p>
      <w:pPr>
        <w:pStyle w:val="ListBullet"/>
      </w:pPr>
      <w:r>
        <w:rPr>
          <w:rFonts w:ascii="Calibri" w:hAnsi="Calibri" w:eastAsia="Microsoft JhengHei"/>
          <w:color w:val="000000"/>
        </w:rPr>
        <w:t>O5：建立二階 LADRC 與 P-type ILC，並比較 PID、LADRC、ILC＋PID 與 ILC＋LADRC 的非臨床台架表現。</w:t>
      </w:r>
    </w:p>
    <w:p>
      <w:pPr>
        <w:pStyle w:val="ListBullet"/>
      </w:pPr>
      <w:r>
        <w:rPr>
          <w:rFonts w:ascii="Calibri" w:hAnsi="Calibri" w:eastAsia="Microsoft JhengHei"/>
          <w:color w:val="000000"/>
        </w:rPr>
        <w:t>O6：整合 Raspberry Pi、ESP32、BTS7960、三顆直流減速馬達、Web GUI 與 CSV 紀錄。</w:t>
      </w:r>
    </w:p>
    <w:p>
      <w:pPr>
        <w:pStyle w:val="ListBullet"/>
      </w:pPr>
      <w:r>
        <w:rPr>
          <w:rFonts w:ascii="Calibri" w:hAnsi="Calibri" w:eastAsia="Microsoft JhengHei"/>
          <w:color w:val="000000"/>
        </w:rPr>
        <w:t>O7：建立感測、ROM、動作跟隨、肩肘繩索協調、命令量平衡、目標軌跡控制及故障反應之量化實驗，形成可重複分析的時序資料與研究圖表。</w:t>
      </w:r>
    </w:p>
    <w:p>
      <w:pPr>
        <w:pStyle w:val="Heading2"/>
        <w:keepNext/>
      </w:pPr>
      <w:r>
        <w:t>4.2 研究範圍</w:t>
      </w:r>
    </w:p>
    <w:tbl>
      <w:tblPr>
        <w:tblStyle w:val="TableGrid"/>
        <w:tblW w:type="dxa" w:w="9360"/>
        <w:jc w:val="center"/>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面向</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本研究納入</w:t>
            </w:r>
          </w:p>
        </w:tc>
        <w:tc>
          <w:tcPr>
            <w:tcW w:type="dxa" w:w="3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本階段不宣稱／不納入</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動作</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肘關節屈伸為主要閉迴路驗證；ROM 模組納入肘屈／伸及肩部任務的上臂抬舉參考</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解剖學肩關節角度或完整三維上肢運動重建</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雙 IMU 相對角度、角速度、角加速度、jerk、取樣間隔與訊號品質</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醫療級動作捕捉精度</w:t>
            </w:r>
          </w:p>
        </w:tc>
      </w:tr>
      <w:tr>
        <w:trPr>
          <w:cantSplit/>
        </w:trPr>
        <w:tc>
          <w:tcPr>
            <w:tcW w:type="dxa" w:w="14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控制</w:t>
            </w:r>
          </w:p>
        </w:tc>
        <w:tc>
          <w:tcPr>
            <w:tcW w:type="dxa" w:w="4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間歇取樣跟隨為目前核心；另保留 PID、LADRC、ILC＋PID、ILC＋LADRC 與系統識別</w:t>
            </w:r>
          </w:p>
        </w:tc>
        <w:tc>
          <w:tcPr>
            <w:tcW w:type="dxa" w:w="36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現行部署不再提供獨立持續柔和助力／落後介入 AAN 比較；亦不宣稱真正力／扭矩控制</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致動</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對應肘屈曲、肘伸展與肩部輔助方向之三路致動通道</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宣稱重現個別肌肉生物力學或完成臨床級外骨骼</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固定治具、機構、ROM 參數重複性與非臨床工程測試</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未經倫理審查之人體資料、病患療效或醫療級 ROM 評估</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軟體限幅與 ESP32 下位狀態機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醫療器材安全認證或完整硬體安全層</w:t>
            </w:r>
          </w:p>
        </w:tc>
      </w:tr>
    </w:tbl>
    <w:p>
      <w:pPr>
        <w:spacing w:after="40"/>
      </w:pPr>
    </w:p>
    <w:p>
      <w:pPr>
        <w:pStyle w:val="Heading1"/>
        <w:keepNext/>
      </w:pPr>
      <w:r>
        <w:t>五、系統架構與研究方法</w:t>
      </w:r>
    </w:p>
    <w:p>
      <w:pPr>
        <w:pStyle w:val="Heading2"/>
        <w:keepNext/>
      </w:pPr>
      <w:r>
        <w:t>5.1 整體架構</w:t>
      </w:r>
    </w:p>
    <w:p>
      <w:pPr>
        <w:spacing w:before="80" w:after="160"/>
        <w:jc w:val="center"/>
      </w:pPr>
      <w:r>
        <w:rPr>
          <w:rFonts w:ascii="Calibri" w:hAnsi="Calibri" w:eastAsia="Microsoft JhengHei"/>
          <w:i/>
          <w:color w:val="0B2545"/>
          <w:sz w:val="22"/>
        </w:rPr>
        <w:t>雙 IMU／ROM → 所選關節與動作方向判定或目標軌跡 → 間歇取樣跟隨／PID／LADRC／ILC → 拮抗繩索分配、PWM×時間平衡與通道校正 → ESP32 → 馬達／繩索／關節</w:t>
      </w:r>
    </w:p>
    <w:p>
      <w:pPr>
        <w:keepLines/>
      </w:pPr>
      <w:r>
        <w:rPr>
          <w:rFonts w:ascii="Calibri" w:hAnsi="Calibri" w:eastAsia="Microsoft JhengHei"/>
          <w:color w:val="000000"/>
        </w:rPr>
        <w:t>Raspberry Pi 為上位控制器，負責三個 TCA9548A 通道的 MPU6050 讀取，其中上臂與前臂兩顆 IMU 構成肘角核心回授；現行程式另保留第三感測通道作擴充。Web GUI 用於校正、選擇目標關節與軌跡、調整控制器參數、啟閉致動輸出、下達鎖定式軟體停止命令及 CSV 紀錄。ESP32 為下位 PWM 執行與通訊故障反應節點，不負責研究層 AAN 決策，亦不取代實體硬體保護。</w:t>
      </w:r>
    </w:p>
    <w:tbl>
      <w:tblPr>
        <w:tblStyle w:val="TableGrid"/>
        <w:tblW w:type="dxa" w:w="9360"/>
        <w:jc w:val="center"/>
        <w:tblLayout w:type="fixed"/>
        <w:tblLook w:firstColumn="1" w:firstRow="1" w:lastColumn="0" w:lastRow="0" w:noHBand="0" w:noVBand="1" w:val="04A0"/>
        <w:tblInd w:w="120" w:type="dxa"/>
      </w:tblPr>
      <w:tblGrid>
        <w:gridCol w:w="2350"/>
        <w:gridCol w:w="3800"/>
        <w:gridCol w:w="3210"/>
      </w:tblGrid>
      <w:tr>
        <w:trPr>
          <w:tblHeader w:val="true"/>
          <w:cantSplit/>
        </w:trPr>
        <w:tc>
          <w:tcPr>
            <w:tcW w:type="dxa" w:w="23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元件／工具</w:t>
            </w:r>
          </w:p>
        </w:tc>
        <w:tc>
          <w:tcPr>
            <w:tcW w:type="dxa" w:w="3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研究角色</w:t>
            </w:r>
          </w:p>
        </w:tc>
        <w:tc>
          <w:tcPr>
            <w:tcW w:type="dxa" w:w="321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正式紀錄要求</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Raspberry Pi＋Web GUI</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感測融合、ROM、目標、控制與資料紀錄</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程式雜湊、參數、live／dry-run 狀態</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TCA9548A＋MPU6050</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多通道慣性量測；兩顆構成肘角核心</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通道、感測器位置、方向與校正紀錄</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執行、命令解析與故障反應</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韌體版本、baud rate、狀態回覆</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BTS7960＋三顆直流減速馬達</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肘屈、肘伸及肩部方向致動</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接線、電源限制、方向、溫升與測試負載</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角度參考工具＋固定治具</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靜態／動態參考與重複姿勢</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型號、解析度／精度規格、同步方式</w:t>
            </w:r>
          </w:p>
        </w:tc>
      </w:tr>
    </w:tbl>
    <w:p>
      <w:pPr>
        <w:spacing w:after="40"/>
      </w:pPr>
    </w:p>
    <w:p>
      <w:pPr>
        <w:pStyle w:val="Heading2"/>
        <w:keepNext/>
      </w:pPr>
      <w:r>
        <w:t>5.2 雙 IMU 姿態估測</w:t>
      </w:r>
    </w:p>
    <w:p>
      <w:pPr>
        <w:keepLines/>
      </w:pPr>
      <w:r>
        <w:rPr>
          <w:rFonts w:ascii="Calibri" w:hAnsi="Calibri" w:eastAsia="Microsoft JhengHei"/>
          <w:color w:val="000000"/>
        </w:rPr>
        <w:t>MPU6050 設定為 ±2 g 加速度範圍、±250°/s 角速度範圍，感測器內部在啟用數位低通時以 200 Hz 取樣；此值不等同 Python 控制迴圈的實際更新率。程式啟動後進行靜態校正，取得各通道 roll／pitch 基準角與陀螺儀偏移。每次更新以互補濾波融合陀螺儀短期動態與加速度計重力方向，再扣除基準角；正式報告以時間戳實測有效更新率、取樣間隔分布與資料缺口，不宣稱固定 200 Hz 控制頻率。</w:t>
      </w:r>
    </w:p>
    <w:p>
      <w:pPr>
        <w:keepLines/>
      </w:pPr>
      <w:r>
        <w:rPr>
          <w:rFonts w:ascii="Calibri" w:hAnsi="Calibri" w:eastAsia="Microsoft JhengHei"/>
          <w:color w:val="000000"/>
        </w:rPr>
        <w:t>正式試驗以標記治具固定上臂與前臂 IMU，使其選定軸與肢段長軸關係可重現；每回合記錄位置與方向並重新執行零點／陀螺儀偏移校正。若感測器鬆動、位置改變或校正失敗，該回合依排除規則處理，不以事後旋轉或選軸修正結果。</w:t>
      </w:r>
    </w:p>
    <w:p>
      <w:pPr>
        <w:spacing w:before="80" w:after="160"/>
        <w:jc w:val="center"/>
      </w:pPr>
      <w:r>
        <w:rPr>
          <w:rFonts w:ascii="Calibri" w:hAnsi="Calibri" w:eastAsia="Microsoft JhengHei"/>
          <w:i/>
          <w:color w:val="0B2545"/>
          <w:sz w:val="22"/>
        </w:rPr>
        <w:t>θ_elbow,raw(t) = |θ_forearm(t) − θ_upper-arm(t)|</w:t>
      </w:r>
    </w:p>
    <w:p>
      <w:pPr>
        <w:spacing w:before="80" w:after="160"/>
        <w:jc w:val="center"/>
      </w:pPr>
      <w:r>
        <w:rPr>
          <w:rFonts w:ascii="Calibri" w:hAnsi="Calibri" w:eastAsia="Microsoft JhengHei"/>
          <w:i/>
          <w:color w:val="0B2545"/>
          <w:sz w:val="22"/>
        </w:rPr>
        <w:t>θ_fused(t) = α[θ_fused(t−1) + ω(t)Δt] + (1−α)θ_acc(t)</w:t>
      </w:r>
    </w:p>
    <w:p>
      <w:pPr>
        <w:keepLines/>
      </w:pPr>
      <w:r>
        <w:rPr>
          <w:rFonts w:ascii="Calibri" w:hAnsi="Calibri" w:eastAsia="Microsoft JhengHei"/>
          <w:color w:val="000000"/>
        </w:rPr>
        <w:t>現行預設 α = 0.96，肘角再以一維 Kalman 平滑。上述差角法只適用於感測器軸線一致且以單平面肘屈伸為主的條件，因此實驗必須固定安裝方向、執行零點校正，並以參考角度工具驗證；若未來進行三維動作，需改為相對旋轉矩陣或四元數方法。</w:t>
      </w:r>
    </w:p>
    <w:p>
      <w:pPr>
        <w:pStyle w:val="Heading2"/>
        <w:keepNext/>
      </w:pPr>
      <w:r>
        <w:t>5.3 個人化 ROM 參考參數</w:t>
      </w:r>
    </w:p>
    <w:p>
      <w:pPr>
        <w:keepLines/>
      </w:pPr>
      <w:r>
        <w:rPr>
          <w:rFonts w:ascii="Calibri" w:hAnsi="Calibri" w:eastAsia="Microsoft JhengHei"/>
          <w:color w:val="000000"/>
        </w:rPr>
        <w:t>ROM 模組以四個指定動作建立工作階段相對參考：肘伸直到最大屈曲、肘約 90° 到最大伸展、自然下垂到最大前舉，以及自然下垂到最大側舉。每個動作可設定 5–30 s，預設 10 s；期間由使用者依自身能力自由往返，不要求固定節奏、保持區段或指定次數。系統以所有有效樣本的第 5／95 百分位估測穩健最小／最大角度，降低單次 IMU 尖峰直接成為 ROM 端點的風險。程式另依肘部資料判定主要旋轉軸與方向；肩部結果保存上臂相對初始重力方向的抬舉角與方向參考，不視為盂肱關節角。</w:t>
      </w:r>
    </w:p>
    <w:p>
      <w:pPr>
        <w:keepLines/>
      </w:pPr>
      <w:r>
        <w:rPr>
          <w:rFonts w:ascii="Calibri" w:hAnsi="Calibri" w:eastAsia="Microsoft JhengHei"/>
          <w:color w:val="000000"/>
        </w:rPr>
        <w:t>現行程式將量得範圍的 90% 映射為訓練上下限並套用至 GUI。此 90% 僅為工程預設，尚未具患者安全或治療劑量證據；本研究只驗證映射是否正確與可重複。任何人體使用前的軟體需求包括：比例可調、治療人員核准、角度硬限位、疼痛／不適停止條件及可回復的設定紀錄。本計畫將結果稱為『個人化 ROM 參考參數』，不用於診斷、取代臨床量角器或宣稱醫療級測角效度。</w:t>
      </w:r>
    </w:p>
    <w:p>
      <w:pPr>
        <w:pStyle w:val="Heading2"/>
        <w:keepNext/>
      </w:pPr>
      <w:r>
        <w:t>5.4 目標軌跡</w:t>
      </w:r>
    </w:p>
    <w:p>
      <w:pPr>
        <w:keepLines/>
      </w:pPr>
      <w:r>
        <w:rPr>
          <w:rFonts w:ascii="Calibri" w:hAnsi="Calibri" w:eastAsia="Microsoft JhengHei"/>
          <w:color w:val="000000"/>
        </w:rPr>
        <w:t>系統提供階躍與正弦軌跡。階躍模式於低角度與高角度間切換，用於評估上升時間、超越量、穩定時間與穩態誤差；正弦模式用於模擬連續屈伸，評估 RMSE、相位延遲與平順度。</w:t>
      </w:r>
    </w:p>
    <w:p>
      <w:pPr>
        <w:spacing w:before="80" w:after="160"/>
        <w:jc w:val="center"/>
      </w:pPr>
      <w:r>
        <w:rPr>
          <w:rFonts w:ascii="Calibri" w:hAnsi="Calibri" w:eastAsia="Microsoft JhengHei"/>
          <w:i/>
          <w:color w:val="0B2545"/>
          <w:sz w:val="22"/>
        </w:rPr>
        <w:t>θ_target(t) = θ_center + A sin(2πt/T)</w:t>
      </w:r>
    </w:p>
    <w:p>
      <w:pPr>
        <w:keepLines/>
      </w:pPr>
      <w:r>
        <w:rPr>
          <w:rFonts w:ascii="Calibri" w:hAnsi="Calibri" w:eastAsia="Microsoft JhengHei"/>
          <w:color w:val="000000"/>
        </w:rPr>
        <w:t>固定 30° 至 90°、週期 5 s 僅作台架控制比較的標準化起始條件；個人化流程則使用 ROM 映射範圍，兩者不得混為同一實驗。正式測試前先以低 PWM、無人體負載逐級確認方向與限位，並在測試表記錄所用範圍、週期與負載。</w:t>
      </w:r>
    </w:p>
    <w:p>
      <w:pPr>
        <w:pStyle w:val="Heading2"/>
        <w:keepNext/>
      </w:pPr>
      <w:r>
        <w:t>5.5 間歇取樣跟隨與按需輔助策略</w:t>
      </w:r>
    </w:p>
    <w:p>
      <w:pPr>
        <w:keepLines/>
      </w:pPr>
      <w:r>
        <w:rPr>
          <w:rFonts w:ascii="Calibri" w:hAnsi="Calibri" w:eastAsia="Microsoft JhengHei"/>
          <w:color w:val="000000"/>
        </w:rPr>
        <w:t>目前實機操作的核心模式為 following_only。此模式不使用目標軌跡，也不在馬達出力期間持續以量測速度修正 PWM，而採混合狀態機：先將馬達歸零隔離 40 ms，再於馬達關閉的 40 ms 視窗估測動作方向，之後固定輸出 GUI 設定 PWM 200 ms。每一連續動作階段最多 3 s；必須回到低於 3°/s 並維持 0.10 s 才能重新觸發。有效方向需同時滿足角度變化至少 0.4°、速度至少 5°/s、至少兩筆樣本且 80% 同方向；超過 80°/s 則停止該關節輸出。這種 sampled-data／zero-order-hold 設計的目的，是把使用者動作觀察與致動器造成的角速度分離，避免以馬達自己帶出的動作形成正回饋。</w:t>
      </w:r>
    </w:p>
    <w:tbl>
      <w:tblPr>
        <w:tblStyle w:val="TableGrid"/>
        <w:tblW w:type="dxa" w:w="9360"/>
        <w:jc w:val="center"/>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狀態</w:t>
            </w:r>
          </w:p>
        </w:tc>
        <w:tc>
          <w:tcPr>
            <w:tcW w:type="dxa" w:w="330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判斷</w:t>
            </w:r>
          </w:p>
        </w:tc>
        <w:tc>
          <w:tcPr>
            <w:tcW w:type="dxa" w:w="456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控制行為</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安全待機／等待重觸發</w:t>
            </w:r>
          </w:p>
        </w:tc>
        <w:tc>
          <w:tcPr>
            <w:tcW w:type="dxa" w:w="3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未 Enable、停止命令，或速度尚未低於 3°/s 並維持 0.10 s</w:t>
            </w:r>
          </w:p>
        </w:tc>
        <w:tc>
          <w:tcPr>
            <w:tcW w:type="dxa" w:w="45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輸出 0；不判定新動作</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歸零隔離</w:t>
            </w:r>
          </w:p>
        </w:tc>
        <w:tc>
          <w:tcPr>
            <w:tcW w:type="dxa" w:w="3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每次取樣前 40 ms</w:t>
            </w:r>
          </w:p>
        </w:tc>
        <w:tc>
          <w:tcPr>
            <w:tcW w:type="dxa" w:w="45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三路 PWM 歸零，等待前一段致動影響減弱</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馬達關閉取樣</w:t>
            </w:r>
          </w:p>
        </w:tc>
        <w:tc>
          <w:tcPr>
            <w:tcW w:type="dxa" w:w="3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40 ms；Δθ≥0.4°、|v|≥5°/s、至少兩筆且 80% 同方向</w:t>
            </w:r>
          </w:p>
        </w:tc>
        <w:tc>
          <w:tcPr>
            <w:tcW w:type="dxa" w:w="45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保持 0 PWM，只決定所選肘或肩關節方向</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固定輸出保持</w:t>
            </w:r>
          </w:p>
        </w:tc>
        <w:tc>
          <w:tcPr>
            <w:tcW w:type="dxa" w:w="3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方向有效後 200 ms</w:t>
            </w:r>
          </w:p>
        </w:tc>
        <w:tc>
          <w:tcPr>
            <w:tcW w:type="dxa" w:w="45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固定輸出 GUI PWM；期間不以馬達造成的角速度反向或延長</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安全結束</w:t>
            </w:r>
          </w:p>
        </w:tc>
        <w:tc>
          <w:tcPr>
            <w:tcW w:type="dxa" w:w="3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連續 3 s、|v|&gt;80°/s、STOP／timeout／鎖定或資料異常</w:t>
            </w:r>
          </w:p>
        </w:tc>
        <w:tc>
          <w:tcPr>
            <w:tcW w:type="dxa" w:w="45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立即歸零，回到安全待機或等待重觸發</w:t>
            </w:r>
          </w:p>
        </w:tc>
      </w:tr>
    </w:tbl>
    <w:p>
      <w:pPr>
        <w:spacing w:after="40"/>
      </w:pPr>
      <w:r>
        <w:t>跟隨模式必須互斥選擇肘或肩關節。選肘關節時只產生二頭／三頭差動命令；選肩關節時只由三角肌跟隨上臂抬舉，並在抬舉時令二頭與三頭共同放線 50 PWM。肩膀下放時只依獨立帳本回收先前共同放出的 PWM×時間，停止下放後即停止回收。純跟隨模式另將三頭肌收線限制於 100 PWM，放線不受此上限影響，以降低鬆繩重新受力時的爆衝風險。</w:t>
      </w:r>
    </w:p>
    <w:p>
      <w:pPr>
        <w:keepLines/>
      </w:pPr>
      <w:r>
        <w:rPr>
          <w:rFonts w:ascii="Calibri" w:hAnsi="Calibri" w:eastAsia="Microsoft JhengHei"/>
          <w:color w:val="000000"/>
        </w:rPr>
        <w:t>肘部差動控制保留三頭放線比例 0.5 與二頭放線比例 0.8，並依 ESP32 回傳的 applied PWM×時間估算各通道累積淨收線量；若某通道收多放少，只在下一次該通道原本就要放線時增加補償，差額以 1.25 s 逐步攤還，額外放線上限為 60 PWM。一般二頭肌實體輸出再乘 0.8，以校正其較強的作動效果；肩部共同放／收線則預補償此倍率，使實體端二頭與三頭仍維持等值 50 PWM。上述方法皆屬無編碼器下的命令量估算，不等同實際繩長、張力、關節力矩或生理層級主動參與。</w:t>
      </w:r>
    </w:p>
    <w:p>
      <w:pPr>
        <w:pStyle w:val="Heading2"/>
        <w:keepNext/>
      </w:pPr>
      <w:r>
        <w:t>5.6 PID、LADRC、ILC 與輸出限制</w:t>
      </w:r>
    </w:p>
    <w:p>
      <w:pPr>
        <w:spacing w:before="80" w:after="160"/>
        <w:jc w:val="center"/>
      </w:pPr>
      <w:r>
        <w:rPr>
          <w:rFonts w:ascii="Calibri" w:hAnsi="Calibri" w:eastAsia="Microsoft JhengHei"/>
          <w:i/>
          <w:color w:val="0B2545"/>
          <w:sz w:val="22"/>
        </w:rPr>
        <w:t>u(t) = Kp e_c(t) + Ki∫e_c(t)dt + Kd de(t)/dt</w:t>
      </w:r>
    </w:p>
    <w:p>
      <w:pPr>
        <w:keepLines/>
      </w:pPr>
      <w:r>
        <w:rPr>
          <w:rFonts w:ascii="Calibri" w:hAnsi="Calibri" w:eastAsia="Microsoft JhengHei"/>
          <w:color w:val="000000"/>
        </w:rPr>
        <w:t>現行 Web GUI 對外提供 PID、LADRC、ILC＋PID、ILC＋LADRC、間歇取樣跟隨與開迴路軌跡展示。舊版『落後介入 AAN』與『持續柔和助力』目前不再以獨立模式出現在部署版，因此不得在海報或結果中描述為現行可直接比較的功能；若要恢復正式 AAN 比較，須先重新定義模式、鎖定版本並補測。現行 PID 的 deadband 可設 3°–5°、預設 4°，Kp／Ki／Kd 預設為 5／0.02／0.05，GUI 一般閉迴路輸出上限為 55 PWM。LADRC 保守初值為 ωc=2 rad/s、ωo=8 rad/s、b0=1；ILC 採 200 個相位格點、P-type 更新與學習保護。所有模式最終皆通過相同的通道鎖、方向／倍率校正、輸出限制與 ESP32 安全層。</w:t>
      </w:r>
    </w:p>
    <w:p>
      <w:pPr>
        <w:pStyle w:val="Heading2"/>
        <w:keepNext/>
      </w:pPr>
      <w:r>
        <w:t>5.7 拮抗方向致動通道配置</w:t>
      </w:r>
    </w:p>
    <w:p>
      <w:pPr>
        <w:keepLines/>
      </w:pPr>
      <w:r>
        <w:rPr>
          <w:rFonts w:ascii="Calibri" w:hAnsi="Calibri" w:eastAsia="Microsoft JhengHei"/>
          <w:color w:val="000000"/>
        </w:rPr>
        <w:t>現行系統設置肘屈曲、肘伸展與肩部輔助三路致動通道；其命名只表示作用方向，不宣稱重現個別肌肉力學。肘屈曲時屈曲側收線、伸展側以 0.5 倍放線；肘伸展時伸展側收線、屈曲側以 0.8 倍放線。送往 ESP32 前的實體方向表為二頭 -1、三頭 +1、三角 +1；一般輸出倍率為二頭 0.8、其餘 1.0。肩部共同模式會補償二頭倍率，使二頭／三頭實際共同放線與回收皆維持等值 50 PWM。現行命令低通時間常數為 0.02 s，收線／放線斜率為 1200／2000 PWM/s，Pi 端換向停頓為 20 ms，另受 ESP32 每 10 ms 最多變化 5 PWM 的漸變限制。這些均是工程校正值，須以固定架量化其重複性與安全餘裕。</w:t>
      </w:r>
    </w:p>
    <w:p>
      <w:pPr>
        <w:pStyle w:val="Heading2"/>
        <w:keepNext/>
      </w:pPr>
      <w:r>
        <w:t>5.8 ESP32 下位執行與故障反應節點</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故障反應功能</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現行設計</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驗證方式</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上電禁能</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啟動為 IDLE，驅動器 REN／LEN 為 LOW</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重新上電觀察輸出與狀態</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命令授權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前必須收到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 ARM 發送 PWM，應回覆 NOT_ARMED</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通訊逾時</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300 ms 未收到有效 PWM 即 TIMEOUT_STOP</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停止送命令並量測停機反應</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輸出漸變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 10 ms 最多改變 5 PWM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記錄 target 與 applied PWM</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受控反轉</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反轉前先降至零，至少經過一個零輸出 tick</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正負命令切換測試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鎖定式軟體停止</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ESTOP 命令使輸出歸零，需 CLEAR 後重新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故障注入與狀態轉移測試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嚴格解析</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非法格式與超範圍 PWM 不更新 timeout</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邊界與錯誤命令測試</w:t>
            </w:r>
          </w:p>
        </w:tc>
      </w:tr>
    </w:tbl>
    <w:p>
      <w:pPr>
        <w:spacing w:after="40"/>
      </w:pPr>
    </w:p>
    <w:p>
      <w:pPr>
        <w:keepLines/>
      </w:pPr>
      <w:r>
        <w:rPr>
          <w:rFonts w:ascii="Calibri" w:hAnsi="Calibri" w:eastAsia="Microsoft JhengHei"/>
          <w:color w:val="000000"/>
        </w:rPr>
        <w:t>上述設計屬軟體與通訊層之故障反應機制，不能取代實體急停、硬體斷電、電流限制、溫度監測與機械限位。現階段編碼器功能亦於 ESP32 韌體中停用，故本計畫不將其描述為完整安全系統或醫療器材安全設計；在任何人體接觸測試前，必須先補齊硬體保護並完成風險評估。</w:t>
      </w:r>
    </w:p>
    <w:p>
      <w:pPr>
        <w:pStyle w:val="Heading2"/>
        <w:keepNext/>
      </w:pPr>
      <w:r>
        <w:t>5.9 GUI 與資料紀錄</w:t>
      </w:r>
    </w:p>
    <w:p>
      <w:pPr>
        <w:keepLines/>
      </w:pPr>
      <w:r>
        <w:rPr>
          <w:rFonts w:ascii="Calibri" w:hAnsi="Calibri" w:eastAsia="Microsoft JhengHei"/>
          <w:color w:val="000000"/>
        </w:rPr>
        <w:t>Web GUI 現行可執行自由活動式 ROM、固定／階躍／正弦軌跡、PID、LADRC、ILC＋PID、ILC＋LADRC、間歇取樣跟隨、開迴路展示，以及 Chirp／PRBS／單頻正弦系統識別。跟隨面板可直接選擇肘或肩關節並與任務設定同步；單馬達點動採按住輸出、放開／視窗失焦／0.5 s 心跳逾時即停止，前端以 Pointer Capture 與啟動 session 避免 ARM 尚未完成就被 pointerleave 取消，序列層亦改為完整行組包。畫面可顯示跟隨狀態、繩索平衡補償、肩部共同模式、IMU age／errors、控制輸出與 ESP32 狀態。正式研究前仍須補齊六軸原始 IMU、外部參考角度、同步事件與版本資訊。</w:t>
      </w:r>
    </w:p>
    <w:p>
      <w:pPr>
        <w:pStyle w:val="Heading2"/>
        <w:keepNext/>
      </w:pPr>
      <w:r>
        <w:t>5.10 實作基線與版本控制</w:t>
      </w:r>
    </w:p>
    <w:p>
      <w:pPr>
        <w:keepLines/>
      </w:pPr>
      <w:r>
        <w:rPr>
          <w:rFonts w:ascii="Calibri" w:hAnsi="Calibri" w:eastAsia="Microsoft JhengHei"/>
          <w:color w:val="000000"/>
        </w:rPr>
        <w:t>2026 年 8 月 24 日已由樹莓派完成整體系統健康檢查與完整備份：控制服務 active、SD 卡使用率 14%、throttled=0x0，系統紀錄未發現 SD／EXT4／I/O 錯誤，ESP32 USB 辨識為 ttyUSB0；檢查期間馬達未啟用。備份共 309 個檔案，包含正式專題、歷史版本、測試、CSV／Log、systemd、I²C／開機設定、Python 重建清單與 ESP32 韌體，並以 ZIP 完整性與關鍵原始碼雜湊比對驗證。最新控制修正後整合版通過 78/78 項測試。正式實驗基線應以此備份內容重新匯出唯一版本，另保存原始碼雜湊、live 設定、接線、感測器位置、馬達方向與全部參數；缺少任一版本證據的回合只列為開發紀錄。</w:t>
      </w:r>
    </w:p>
    <w:tbl>
      <w:tblPr>
        <w:tblStyle w:val="TableGrid"/>
        <w:tblW w:type="dxa" w:w="9360"/>
        <w:jc w:val="center"/>
        <w:tblLayout w:type="fixed"/>
        <w:tblLook w:firstColumn="1" w:firstRow="1" w:lastColumn="0" w:lastRow="0" w:noHBand="0" w:noVBand="1" w:val="04A0"/>
        <w:tblInd w:w="120" w:type="dxa"/>
      </w:tblPr>
      <w:tblGrid>
        <w:gridCol w:w="2100"/>
        <w:gridCol w:w="4660"/>
        <w:gridCol w:w="2600"/>
      </w:tblGrid>
      <w:tr>
        <w:trPr>
          <w:tblHeader w:val="true"/>
          <w:cantSplit/>
        </w:trPr>
        <w:tc>
          <w:tcPr>
            <w:tcW w:type="dxa" w:w="21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正式測試前閘門</w:t>
            </w:r>
          </w:p>
        </w:tc>
        <w:tc>
          <w:tcPr>
            <w:tcW w:type="dxa" w:w="4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通過條件</w:t>
            </w:r>
          </w:p>
        </w:tc>
        <w:tc>
          <w:tcPr>
            <w:tcW w:type="dxa" w:w="2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未通過處理</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資料完整性</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六軸原始 IMU、參考角度、同步事件、參數與版本均可寫入</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不得進行動態效度與正式比較</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部署一致性</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GUI、Pi 與 ESP32 版本及 live 輸出設定可追溯</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只列為開發測試</w:t>
            </w:r>
          </w:p>
        </w:tc>
      </w:tr>
      <w:tr>
        <w:trPr>
          <w:cantSplit/>
        </w:trPr>
        <w:tc>
          <w:tcPr>
            <w:tcW w:type="dxa" w:w="21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方向、倍率與繩索初值</w:t>
            </w:r>
          </w:p>
        </w:tc>
        <w:tc>
          <w:tcPr>
            <w:tcW w:type="dxa" w:w="46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三路空載點動方向、二頭 0.8 倍率、肩部等值 50 PWM 及同姿勢繩索標記可重現</w:t>
            </w:r>
          </w:p>
        </w:tc>
        <w:tc>
          <w:tcPr>
            <w:tcW w:type="dxa" w:w="26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停機修正；禁止以瀏覽器舊參數或未知接線進入正式測試</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STOP、軟體鎖定停止與 300 ms timeout 在無人體條件通過</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禁止進入閉迴路負載測試</w:t>
            </w:r>
          </w:p>
        </w:tc>
      </w:tr>
    </w:tbl>
    <w:p>
      <w:pPr>
        <w:spacing w:after="40"/>
      </w:pPr>
    </w:p>
    <w:p>
      <w:pPr>
        <w:pStyle w:val="Heading1"/>
        <w:keepNext/>
      </w:pPr>
      <w:r>
        <w:t>六、實驗設計與資料分析</w:t>
      </w:r>
    </w:p>
    <w:p>
      <w:pPr>
        <w:pStyle w:val="Heading2"/>
        <w:keepNext/>
      </w:pPr>
      <w:r>
        <w:t>6.1 實驗原則</w:t>
      </w:r>
    </w:p>
    <w:p>
      <w:pPr>
        <w:keepLines/>
      </w:pPr>
      <w:r>
        <w:rPr>
          <w:rFonts w:ascii="Calibri" w:hAnsi="Calibri" w:eastAsia="Microsoft JhengHei"/>
          <w:color w:val="000000"/>
        </w:rPr>
        <w:t>本研究採模組化、分階段的非臨床工程驗證，不將開發階段的操作體感視為正式人體研究資料。順序為『部署與資料閘門 → 感測器與 ROM → 三路致動／故障反應 → 間歇取樣方向判定與繩索協調 → 固定測試架系統識別 → PID／LADRC → ILC 跨周期學習』；前一階段未通過時不得進入下一階段。所有正式致動測試均先於固定治具、限流與無人體負載條件執行。</w:t>
      </w:r>
    </w:p>
    <w:p>
      <w:pPr>
        <w:keepLines/>
      </w:pPr>
      <w:r>
        <w:rPr>
          <w:rFonts w:ascii="Calibri" w:hAnsi="Calibri" w:eastAsia="Microsoft JhengHei"/>
          <w:color w:val="000000"/>
        </w:rPr>
        <w:t>每一正式條件完成 5 次獨立回合，回合是統計與圖表的實驗單位，單一回合內的高頻樣本不得當成獨立樣本。5 次重複用於先導型工程重複性與失敗模式篩查，不足以支持臨床推論或穩健的族群統計。參數調整回合標記為 pilot，不納入正式比較；正式階段將控制模式順序隨機化或平衡化，回合間保留固定冷卻／重置時間。</w:t>
      </w:r>
    </w:p>
    <w:p>
      <w:pPr>
        <w:pStyle w:val="Heading2"/>
        <w:keepNext/>
      </w:pPr>
      <w:r>
        <w:t>6.2 實驗一：雙 IMU 靜態角度準確度</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項目</w:t>
            </w:r>
          </w:p>
        </w:tc>
        <w:tc>
          <w:tcPr>
            <w:tcW w:type="dxa" w:w="7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設計</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目的</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驗證零點校正後固定肘角的準確度、精密度與漂移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0°、30°、45°、60°、75°、90°</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參考值</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正式測試前指定一項具規格資料的電子量角器或校驗後編碼器；不得於結果階段更換</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每角度 5 回；每回重新歸零並穩定記錄 10 s</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指標</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bias、MAE、RMSE、標準差、最大誤差、每分鐘漂移</w:t>
            </w:r>
          </w:p>
        </w:tc>
      </w:tr>
    </w:tbl>
    <w:p>
      <w:pPr>
        <w:spacing w:after="40"/>
      </w:pPr>
    </w:p>
    <w:p>
      <w:pPr>
        <w:pStyle w:val="Heading2"/>
        <w:keepNext/>
      </w:pPr>
      <w:r>
        <w:t>6.3 實驗二：動態角度與濾波比較</w:t>
      </w:r>
    </w:p>
    <w:p>
      <w:pPr>
        <w:keepLines/>
      </w:pPr>
      <w:r>
        <w:rPr>
          <w:rFonts w:ascii="Calibri" w:hAnsi="Calibri" w:eastAsia="Microsoft JhengHei"/>
          <w:color w:val="000000"/>
        </w:rPr>
        <w:t>以固定機構產生週期 8 s、5 s 與 3 s 的肘屈伸，每一速度 5 回，並以共同時間戳或可辨識同步事件取得參考角度。比較差角原始值、互補濾波與後端 Kalman 結果，計算 bias、MAE、RMSE、phase lag、峰值角速度差、有效更新率、取樣間隔平均值／SD／95 百分位及資料缺口比例；另以 Bland-Altman 圖檢視偏差與一致性界限。同步誤差必須小於一個控制更新週期；若參考訊號未寫入同一資料流或無法驗證同步，本實驗只報告取樣穩定性與內部濾波比較，不報告動態準確度、phase lag 或 Bland-Altman。</w:t>
      </w:r>
    </w:p>
    <w:p>
      <w:pPr>
        <w:pStyle w:val="Heading2"/>
        <w:keepNext/>
      </w:pPr>
      <w:r>
        <w:t>6.4 實驗三：個人化 ROM 參數驗證</w:t>
      </w:r>
    </w:p>
    <w:p>
      <w:pPr>
        <w:keepLines/>
      </w:pPr>
      <w:r>
        <w:rPr>
          <w:rFonts w:ascii="Calibri" w:hAnsi="Calibri" w:eastAsia="Microsoft JhengHei"/>
          <w:color w:val="000000"/>
        </w:rPr>
        <w:t>以可重複調整的關節治具模擬肘屈曲、肘伸展及兩種上臂抬舉方向，固定感測器位置後完整執行四階段流程 5 次。記錄肘部主軸、方向符號、最小／最大角度、ROM、90% 映射值，以及肩部任務的上臂抬舉角與方向參考。肘部與參考角度比較 bias、MAE、重複 SD 及最大回合差；肩部只檢查方向分類與參數重複性。5 次工程回合不計算 ICC，也不把治具結果稱為人體 ROM 效度。另以已知輸入確認 90% 映射公式正確；此驗證不代表 90% 適合患者。</w:t>
      </w:r>
    </w:p>
    <w:p>
      <w:pPr>
        <w:pStyle w:val="Heading2"/>
        <w:keepNext/>
      </w:pPr>
      <w:r>
        <w:t>6.5 實驗四：固定測試架系統識別與頻域分析</w:t>
      </w:r>
    </w:p>
    <w:p>
      <w:pPr>
        <w:keepLines/>
      </w:pPr>
      <w:r>
        <w:rPr>
          <w:rFonts w:ascii="Calibri" w:hAnsi="Calibri" w:eastAsia="Microsoft JhengHei"/>
          <w:color w:val="000000"/>
        </w:rPr>
        <w:t>先以固定測試架、無人體負載及低 PWM 完成單頻正弦，再依安全閘門執行 Chirp 與 PRBS。每一輸入條件至少 5 回，輸入採經輸出整形與三路分配後的有效關節 PWM，輸出為 IMU 肘角。分析 H1 FRF、Bode magnitude／phase、coherence、共振頻率、−3 dB 頻寬、等效相位延遲、實際取樣率、timing jitter 與 ARX 模型；ARX 自動搜尋 0–5 個樣本輸入延遲，並以獨立回合驗證。超出安全角度、IMU／ESP32 異常或時間完成均立即 STOP。首次建議僅以肘關節、PWM 8、0.1–1 Hz、30–60 s 測試；在取得可靠 FRF 前不得連接人體或啟用高頻 LADRC／ILC。</w:t>
      </w:r>
    </w:p>
    <w:p>
      <w:pPr>
        <w:pStyle w:val="Heading2"/>
        <w:keepNext/>
      </w:pPr>
      <w:r>
        <w:t>6.6 實驗五：PID 與 LADRC 目標軌跡追蹤比較</w:t>
      </w:r>
    </w:p>
    <w:p>
      <w:pPr>
        <w:keepLines/>
      </w:pPr>
      <w:r>
        <w:rPr>
          <w:rFonts w:ascii="Calibri" w:hAnsi="Calibri" w:eastAsia="Microsoft JhengHei"/>
          <w:color w:val="000000"/>
        </w:rPr>
        <w:t>使用台架標準範圍 30°–90°，分別測試 8 s、5 s 與 3 s 正弦週期；先完成無負載，再加入一項事前記錄的固定負載。現行部署可比較 PID 與 LADRC；ILC 組合另於實驗七測試。LADRC 的 b0、ωc、ωo 由實驗四可用頻帶與輸入增益調整，調參回合標記為 pilot。主要指標為 RMSE、MAE、phase lag、峰值誤差、jerk、PWM RMS、PWM total variation、飽和比例及安全中止數；不得只報告最佳曲線。若未完成 Chirp／ARX 閘門，LADRC 僅列功能展示，不進行優劣結論。</w:t>
      </w:r>
    </w:p>
    <w:p>
      <w:pPr>
        <w:pStyle w:val="Heading2"/>
        <w:keepNext/>
      </w:pPr>
      <w:r>
        <w:t>6.7 實驗六：間歇取樣跟隨與繩索協調</w:t>
      </w:r>
    </w:p>
    <w:tbl>
      <w:tblPr>
        <w:tblStyle w:val="TableGrid"/>
        <w:tblW w:type="dxa" w:w="9360"/>
        <w:jc w:val="center"/>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比較模式</w:t>
            </w:r>
          </w:p>
        </w:tc>
        <w:tc>
          <w:tcPr>
            <w:tcW w:type="dxa" w:w="430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說明</w:t>
            </w:r>
          </w:p>
        </w:tc>
        <w:tc>
          <w:tcPr>
            <w:tcW w:type="dxa" w:w="346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目的</w:t>
            </w:r>
          </w:p>
        </w:tc>
      </w:tr>
      <w:tr>
        <w:trPr>
          <w:cantSplit/>
        </w:trPr>
        <w:tc>
          <w:tcPr>
            <w:tcW w:type="dxa" w:w="16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感測基準</w:t>
            </w:r>
          </w:p>
        </w:tc>
        <w:tc>
          <w:tcPr>
            <w:tcW w:type="dxa" w:w="4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只量測，不輸出馬達</w:t>
            </w:r>
          </w:p>
        </w:tc>
        <w:tc>
          <w:tcPr>
            <w:tcW w:type="dxa" w:w="34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建立方向真值、IMU 與自然位移基準</w:t>
            </w:r>
          </w:p>
        </w:tc>
      </w:tr>
      <w:tr>
        <w:trPr>
          <w:cantSplit/>
        </w:trPr>
        <w:tc>
          <w:tcPr>
            <w:tcW w:type="dxa" w:w="16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間歇取樣跟隨</w:t>
            </w:r>
          </w:p>
        </w:tc>
        <w:tc>
          <w:tcPr>
            <w:tcW w:type="dxa" w:w="4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40 ms 隔離＋40 ms 取樣＋200 ms 固定輸出；肘／肩互斥</w:t>
            </w:r>
          </w:p>
        </w:tc>
        <w:tc>
          <w:tcPr>
            <w:tcW w:type="dxa" w:w="34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驗證動作觸發、延遲、繩索平衡與安全停止</w:t>
            </w:r>
          </w:p>
        </w:tc>
      </w:tr>
      <w:tr>
        <w:trPr>
          <w:cantSplit/>
        </w:trPr>
        <w:tc>
          <w:tcPr>
            <w:tcW w:type="dxa" w:w="16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PID</w:t>
            </w:r>
          </w:p>
        </w:tc>
        <w:tc>
          <w:tcPr>
            <w:tcW w:type="dxa" w:w="4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目標軌跡閉迴路，deadband 預設 4°，輸出上限 55 PWM</w:t>
            </w:r>
          </w:p>
        </w:tc>
        <w:tc>
          <w:tcPr>
            <w:tcW w:type="dxa" w:w="34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建立可解釋的目標追蹤基線</w:t>
            </w:r>
          </w:p>
        </w:tc>
      </w:tr>
      <w:tr>
        <w:trPr>
          <w:cantSplit/>
        </w:trPr>
        <w:tc>
          <w:tcPr>
            <w:tcW w:type="dxa" w:w="16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LADRC／ILC 組合</w:t>
            </w:r>
          </w:p>
        </w:tc>
        <w:tc>
          <w:tcPr>
            <w:tcW w:type="dxa" w:w="43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須先通過固定架辨識與參數鎖定</w:t>
            </w:r>
          </w:p>
        </w:tc>
        <w:tc>
          <w:tcPr>
            <w:tcW w:type="dxa" w:w="34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作為延伸控制比較；未通過閘門只列功能展示</w:t>
            </w:r>
          </w:p>
        </w:tc>
      </w:tr>
    </w:tbl>
    <w:p>
      <w:pPr>
        <w:spacing w:after="40"/>
      </w:pPr>
    </w:p>
    <w:p>
      <w:pPr>
        <w:keepLines/>
      </w:pPr>
      <w:r>
        <w:rPr>
          <w:rFonts w:ascii="Calibri" w:hAnsi="Calibri" w:eastAsia="Microsoft JhengHei"/>
          <w:color w:val="000000"/>
        </w:rPr>
        <w:t>先以固定關節治具或可重複的人工位移，在馬達保持關閉時建立動作方向真值，再測試 40 ms 隔離、40 ms 取樣、200 ms 固定輸出與 3 s 上限。肘與肩各執行至少 20 次往返並重複 5 回；每回從相同角度與相同外露繩索標記開始。記錄方向判定正確率、取樣至 applied PWM 的延遲、輸出占空比、三頭收線上限介入次數、安全停止數、各通道 PWM×時間帳本、肩部共同放出／回收量，以及回到相同姿勢後的外露繩索標記位移。另分別停用／啟用肘部平衡補償，比較多周期淨收線偏差。外部繩索標記只提供台架相對位移，PWM×時間只提供命令層代理量，兩者均不解釋為張力或關節力矩。</w:t>
      </w:r>
    </w:p>
    <w:p>
      <w:pPr>
        <w:pStyle w:val="Heading2"/>
        <w:keepNext/>
      </w:pPr>
      <w:r>
        <w:t>6.8 實驗七：ILC 跨周期學習</w:t>
      </w:r>
    </w:p>
    <w:p>
      <w:pPr>
        <w:keepLines/>
      </w:pPr>
      <w:r>
        <w:rPr>
          <w:rFonts w:ascii="Calibri" w:hAnsi="Calibri" w:eastAsia="Microsoft JhengHei"/>
          <w:color w:val="000000"/>
        </w:rPr>
        <w:t>在固定測試架、正弦軌跡與相同初始條件下，比較 PID、LADRC、ILC＋PID 與 ILC＋LADRC。每個正式序列至少含 10 個完整周期並重複 5 回；報告逐周期 RMSE、相對第一周期改善率、learned PWM peak、回授修正量、有效／無效周期數與覆蓋率。另刻意注入停止、飽和與不完整周期，確認該周期不更新學習。ILC 結果只代表特定重複台架任務的誤差學習，不推論患者學習或神經恢復。</w:t>
      </w:r>
    </w:p>
    <w:p>
      <w:pPr>
        <w:pStyle w:val="Heading2"/>
        <w:keepNext/>
      </w:pPr>
      <w:r>
        <w:t>6.9 實驗八：下位節點與 IMU 故障反應</w:t>
      </w:r>
    </w:p>
    <w:p>
      <w:pPr>
        <w:keepLines/>
      </w:pPr>
      <w:r>
        <w:rPr>
          <w:rFonts w:ascii="Calibri" w:hAnsi="Calibri" w:eastAsia="Microsoft JhengHei"/>
          <w:color w:val="000000"/>
        </w:rPr>
        <w:t>測試未 ARM 命令、正常 ARM、300 ms 逾時、STOP、鎖定式軟體停止、CLEAR、非法 PWM、超範圍 PWM 及正負方向反轉；每事件重複 5 次，記錄主機命令時間、ESP32 狀態回覆、target PWM、applied PWM 與歸零時間。STOP、鎖定式停止與 timeout 依韌體設計會略過 ramp 並將驅動禁能；反轉則先漸變至零並至少保留一個 10 ms 零輸出 tick。所有測試均在無人體負載與低電源限制下執行，結果不等同醫療器材安全驗證。</w:t>
      </w:r>
    </w:p>
    <w:p>
      <w:pPr>
        <w:keepLines/>
      </w:pPr>
      <w:r>
        <w:rPr>
          <w:rFonts w:ascii="Calibri" w:hAnsi="Calibri" w:eastAsia="Microsoft JhengHei"/>
          <w:color w:val="000000"/>
        </w:rPr>
        <w:t>另測試 IMU 心跳逾時與 reader 卡死情境：瞬時 I²C 例外應先停馬達；連續 2 s 無成功 IMU 資料時 watchdog 結束服務，由 systemd 於 2 s 後重啟。重啟後必須維持未初始化、未 ARM、零 PWM。</w:t>
      </w:r>
    </w:p>
    <w:p>
      <w:pPr>
        <w:pStyle w:val="Heading2"/>
        <w:keepNext/>
      </w:pPr>
      <w:r>
        <w:t>6.10 統計與訊號分析原則</w:t>
      </w:r>
    </w:p>
    <w:p>
      <w:pPr>
        <w:keepLines/>
      </w:pPr>
      <w:r>
        <w:rPr>
          <w:rFonts w:ascii="Calibri" w:hAnsi="Calibri" w:eastAsia="Microsoft JhengHei"/>
          <w:color w:val="000000"/>
        </w:rPr>
        <w:t>連續指標以每回合數值、平均值、SD、中位數與範圍呈現；控制模式比較同時報告逐回合配對差與百分比差。由於每條件只有 5 個工程回合，本研究不以 p 值或 ICC 支持一般化推論，也不把回合內的數千筆樣本當作樣本數。Bland-Altman 只用於同步且成對的角度資料，相關係數不作為一致性的唯一證據。分析程式、濾波、時間窗與門檻於正式測試前鎖定。</w:t>
      </w:r>
    </w:p>
    <w:p>
      <w:pPr>
        <w:keepLines/>
      </w:pPr>
      <w:r>
        <w:rPr>
          <w:rFonts w:ascii="Calibri" w:hAnsi="Calibri" w:eastAsia="Microsoft JhengHei"/>
          <w:color w:val="000000"/>
        </w:rPr>
        <w:t>預定排除條件為：參考同步失敗、任一資料缺口 &gt; 0.5 s、該回合缺失比例 &gt; 1%、非計畫性 STOP／timeout、機械碰限或軟硬體版本不符。所有被排除回合仍保存並列出原因；排除後可依原條件補做一次，但不得刪除不利結果而不報告。</w:t>
      </w:r>
    </w:p>
    <w:p>
      <w:pPr>
        <w:pStyle w:val="Heading2"/>
        <w:keepNext/>
      </w:pPr>
      <w:r>
        <w:t>6.11 指標與公式</w:t>
      </w:r>
    </w:p>
    <w:p>
      <w:pPr>
        <w:spacing w:before="80" w:after="160"/>
        <w:jc w:val="center"/>
      </w:pPr>
      <w:r>
        <w:rPr>
          <w:rFonts w:ascii="Calibri" w:hAnsi="Calibri" w:eastAsia="Microsoft JhengHei"/>
          <w:i/>
          <w:color w:val="0B2545"/>
          <w:sz w:val="22"/>
        </w:rPr>
        <w:t>MAE = (1/N) Σ |θ_ref,i − θ_meas,i|</w:t>
      </w:r>
    </w:p>
    <w:p>
      <w:pPr>
        <w:spacing w:before="80" w:after="160"/>
        <w:jc w:val="center"/>
      </w:pPr>
      <w:r>
        <w:rPr>
          <w:rFonts w:ascii="Calibri" w:hAnsi="Calibri" w:eastAsia="Microsoft JhengHei"/>
          <w:i/>
          <w:color w:val="0B2545"/>
          <w:sz w:val="22"/>
        </w:rPr>
        <w:t>RMSE = √[(1/N) Σ (θ_target,i − θ_measured,i)²]</w:t>
      </w:r>
    </w:p>
    <w:p>
      <w:pPr>
        <w:spacing w:before="80" w:after="160"/>
        <w:jc w:val="center"/>
      </w:pPr>
      <w:r>
        <w:rPr>
          <w:rFonts w:ascii="Calibri" w:hAnsi="Calibri" w:eastAsia="Microsoft JhengHei"/>
          <w:i/>
          <w:color w:val="0B2545"/>
          <w:sz w:val="22"/>
        </w:rPr>
        <w:t>控制作用時間比例 = N(|PWM| &gt; 0) / N_total × 100%</w:t>
      </w:r>
    </w:p>
    <w:p>
      <w:pPr>
        <w:spacing w:before="80" w:after="160"/>
        <w:jc w:val="center"/>
      </w:pPr>
      <w:r>
        <w:rPr>
          <w:rFonts w:ascii="Calibri" w:hAnsi="Calibri" w:eastAsia="Microsoft JhengHei"/>
          <w:i/>
          <w:color w:val="0B2545"/>
          <w:sz w:val="22"/>
        </w:rPr>
        <w:t>平均絕對命令量 = (1/N) Σ |PWM_i|</w:t>
      </w:r>
    </w:p>
    <w:p>
      <w:pPr>
        <w:spacing w:before="80" w:after="160"/>
        <w:jc w:val="center"/>
      </w:pPr>
      <w:r>
        <w:rPr>
          <w:rFonts w:ascii="Calibri" w:hAnsi="Calibri" w:eastAsia="Microsoft JhengHei"/>
          <w:i/>
          <w:color w:val="0B2545"/>
          <w:sz w:val="22"/>
        </w:rPr>
        <w:t>累積絕對命令量 = Σ |PWM_i| Δt_i</w:t>
      </w:r>
    </w:p>
    <w:p>
      <w:pPr>
        <w:keepLines/>
      </w:pPr>
      <w:r>
        <w:rPr>
          <w:rFonts w:ascii="Calibri" w:hAnsi="Calibri" w:eastAsia="Microsoft JhengHei"/>
          <w:color w:val="000000"/>
        </w:rPr>
        <w:t>phase lag 以目標與量測訊號的互相關或同頻相位差估計；jerk 由角加速度的一階差分取得，但需固定取樣頻率並先處理雜訊。所有結果呈現平均值、標準差與各次試驗散布，不只報告單一最佳曲線。</w:t>
      </w:r>
    </w:p>
    <w:p>
      <w:pPr>
        <w:pStyle w:val="Heading2"/>
        <w:keepNext/>
      </w:pPr>
      <w:r>
        <w:t>6.12 預定成功標準</w:t>
      </w:r>
    </w:p>
    <w:tbl>
      <w:tblPr>
        <w:tblStyle w:val="TableGrid"/>
        <w:tblW w:type="dxa" w:w="9360"/>
        <w:jc w:val="center"/>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驗證面向</w:t>
            </w:r>
          </w:p>
        </w:tc>
        <w:tc>
          <w:tcPr>
            <w:tcW w:type="dxa" w:w="5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暫定工程驗收標準</w:t>
            </w:r>
          </w:p>
        </w:tc>
        <w:tc>
          <w:tcPr>
            <w:tcW w:type="dxa" w:w="2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備註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靜態肘角</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MAE ≤ 5°，單次穩定段 SD ≤ 2°</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參考工具須於正式測試前固定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動態資料品質</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參考角度同步可驗證；缺失比例 ≤ 1%；無 &gt; 0.5 s 資料缺口</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未通過則不報告動態效度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ROM 參考參數</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5 次肘軸向／方向一致率 100%；肘 ROM 參考 MAE ≤ 5°、重複 SD ≤ 5°</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肩部只驗證上臂抬舉參數重複性</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階躍追蹤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無持續震盪；超越量與穩定時間可重複量測</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不先承諾不切實際的 0% overshoot</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週期追蹤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 ≤ 10° 且曲線無失控</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依負載與週期分層報告</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間歇取樣跟隨</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方向判定與安全狀態機符合版本化真值；20 次往返後報告 PWM×時間差額及同姿勢繩索標記位移</w:t>
            </w:r>
          </w:p>
        </w:tc>
        <w:tc>
          <w:tcPr>
            <w:tcW w:type="dxa" w:w="2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漂移門檻於 pilot 後、正式資料前鎖定；不以體感替代數據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系統識別</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安全事件 0 次；可界定 coherence 合格頻帶並以獨立回合驗證 ARX</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門檻於 pilot 後、正式資料前鎖定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LADRC／ILC</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無失控或安全中止；ILC 有效周期的 learned PWM 不超限</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效能優劣由完整重複資料決定，不預設一定優於 PID</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各事件 5/5 進入預定狀態；timeout 至輸出歸零 ≤ 350 ms</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不等同醫療器材安全驗證</w:t>
            </w:r>
          </w:p>
        </w:tc>
      </w:tr>
    </w:tbl>
    <w:p>
      <w:pPr>
        <w:spacing w:after="40"/>
      </w:pPr>
    </w:p>
    <w:p>
      <w:pPr>
        <w:pStyle w:val="Heading2"/>
        <w:keepNext/>
      </w:pPr>
      <w:r>
        <w:t>6.13 資料管理與可重現性</w:t>
      </w:r>
    </w:p>
    <w:p>
      <w:pPr>
        <w:keepLines/>
      </w:pPr>
      <w:r>
        <w:rPr>
          <w:rFonts w:ascii="Calibri" w:hAnsi="Calibri" w:eastAsia="Microsoft JhengHei"/>
          <w:color w:val="000000"/>
        </w:rPr>
        <w:t>每回合以匿名測試代碼命名，保存原始 CSV、唯讀備份、參數 JSON／表單、程式雜湊值、韌體版本、接線圖、參考工具資訊及排除紀錄。原始檔不覆寫；處理後資料輸出至獨立資料夾。2026 年 8 月 24 日完整備份及其 SHA-256 作為復原基線，但正式試驗仍須為每次部署另建版本標籤。圖表必須能由固定分析程式自原始資料重新產生。正式結果至少呈現全部有效回合、排除流程、失敗回合數與使用的軟硬體版本。若日後取得人體資料，另依倫理核准內容處理身分資料、保存期限與存取權限。</w:t>
      </w:r>
    </w:p>
    <w:p>
      <w:pPr>
        <w:pStyle w:val="Heading1"/>
        <w:keepNext/>
      </w:pPr>
      <w:r>
        <w:t>七、目前進度</w:t>
      </w:r>
    </w:p>
    <w:tbl>
      <w:tblPr>
        <w:tblStyle w:val="TableGrid"/>
        <w:tblW w:type="dxa" w:w="9360"/>
        <w:jc w:val="center"/>
        <w:tblLayout w:type="fixed"/>
        <w:tblLook w:firstColumn="1" w:firstRow="1" w:lastColumn="0" w:lastRow="0" w:noHBand="0" w:noVBand="1" w:val="04A0"/>
        <w:tblInd w:w="120" w:type="dxa"/>
      </w:tblPr>
      <w:tblGrid>
        <w:gridCol w:w="1800"/>
        <w:gridCol w:w="2200"/>
        <w:gridCol w:w="5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模組</w:t>
            </w:r>
          </w:p>
        </w:tc>
        <w:tc>
          <w:tcPr>
            <w:tcW w:type="dxa" w:w="220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目前狀態</w:t>
            </w:r>
          </w:p>
        </w:tc>
        <w:tc>
          <w:tcPr>
            <w:tcW w:type="dxa" w:w="536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證據／待辦</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IMU 與 GUI</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已部署穩定性修正</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14-byte block read、通道鎖、reader 生命週期、IMU age／errors 與 2 s watchdog 已實作；5 s 壓力測試共 728 次、0 錯誤；仍待角度參考與長時間量化</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個人化 ROM</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自由活動式流程已部署</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每項 5–30 s、預設 10 s，5%／95% 百分位與 90% 映射已完成；待治具參考與重複性驗證</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間歇取樣跟隨</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已部署並可實際致動</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40／40／200 ms、3 s 上限、至少兩筆且 80% 同方向、肘／肩互斥；開發操作顯示可跟隨，尚無正式方向正確率與延遲數據</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肩肘繩索協調</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已部署並完成操作修正</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肩抬舉二／三頭等值 50 PWM 放線與 PWM×時間回收；三頭收線上限 100；待多周期繩索標記位移驗證</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肘部長時間平衡</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已部署</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三頭／二頭放線比例 0.5／0.8；差額以 1.25 s 攤還、額外放線上限 60，只在放線階段介入；待補償開／關比較</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PID／LADRC／ILC</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功能存在，非目前主要實機證據</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PID 可用；LADRC、ILC＋PID、ILC＋LADRC與學習保護已實作，尚未完成固定架效能比較</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頻域系統識別</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功能已部署、真實辨識未做</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Chirp／PRBS／單頻、H1 FRF、Bode、coherence 與 ARX 已完成；尚未以真實馬達自動執行 Chirp</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ESP32 與點動安全</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已整合</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ARM、300 ms timeout、ramp、反轉歸零、STOP／ESTOP；點動競態與序列分段回覆已修正，待正式故障計時</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三路硬體與系統復原</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可輸出且已完整備份</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二頭／三頭／三角通道可動；2026/8/24 系統檢查正常並備份 309 檔，仍待溫升、長時間運轉、電源與機構保護</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資料紀錄</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處理後資料已可記錄</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已有角度、控制器、PWM、跟隨與繩索帳本欄位；正式實驗前補六軸原始 IMU、參考角度、同步事件及版本欄位</w:t>
            </w:r>
          </w:p>
        </w:tc>
      </w:tr>
      <w:tr>
        <w:trPr>
          <w:cantSplit/>
        </w:trPr>
        <w:tc>
          <w:tcPr>
            <w:tcW w:type="dxa" w:w="18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正式性能實驗</w:t>
            </w:r>
          </w:p>
        </w:tc>
        <w:tc>
          <w:tcPr>
            <w:tcW w:type="dxa" w:w="22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尚未完成</w:t>
            </w:r>
          </w:p>
        </w:tc>
        <w:tc>
          <w:tcPr>
            <w:tcW w:type="dxa" w:w="53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優先完成間歇跟隨、繩索漂移、IMU／ROM 與故障反應，再視時程執行 Chirp、LADRC／ILC</w:t>
            </w:r>
          </w:p>
        </w:tc>
      </w:tr>
    </w:tbl>
    <w:p>
      <w:pPr>
        <w:spacing w:after="40"/>
      </w:pPr>
    </w:p>
    <w:p>
      <w:pPr>
        <w:pStyle w:val="Heading1"/>
        <w:keepNext/>
      </w:pPr>
      <w:r>
        <w:t>八、預期成果與創新貢獻</w:t>
      </w:r>
    </w:p>
    <w:p>
      <w:pPr>
        <w:pStyle w:val="Heading2"/>
        <w:keepNext/>
      </w:pPr>
      <w:r>
        <w:t>8.1 預期成果</w:t>
      </w:r>
    </w:p>
    <w:p>
      <w:pPr>
        <w:pStyle w:val="ListBullet"/>
      </w:pPr>
      <w:r>
        <w:rPr>
          <w:rFonts w:ascii="Calibri" w:hAnsi="Calibri" w:eastAsia="Microsoft JhengHei"/>
          <w:color w:val="000000"/>
        </w:rPr>
        <w:t>可即時顯示與記錄上臂、前臂及肘關節角度的雙 IMU 量測模組。</w:t>
      </w:r>
    </w:p>
    <w:p>
      <w:pPr>
        <w:pStyle w:val="ListBullet"/>
      </w:pPr>
      <w:r>
        <w:rPr>
          <w:rFonts w:ascii="Calibri" w:hAnsi="Calibri" w:eastAsia="Microsoft JhengHei"/>
          <w:color w:val="000000"/>
        </w:rPr>
        <w:t>可由四項指定時間自由活動與穩健百分位產生肘屈／伸及肩部任務上臂抬舉參考，並映射為當次訓練目標範圍。</w:t>
      </w:r>
    </w:p>
    <w:p>
      <w:pPr>
        <w:pStyle w:val="ListBullet"/>
      </w:pPr>
      <w:r>
        <w:rPr>
          <w:rFonts w:ascii="Calibri" w:hAnsi="Calibri" w:eastAsia="Microsoft JhengHei"/>
          <w:color w:val="000000"/>
        </w:rPr>
        <w:t>可設定個人化 ROM、目標軌跡、PID／LADRC／ILC、間歇取樣跟隨、系統識別、單馬達測試及故障反應參數的 Web GUI。</w:t>
      </w:r>
    </w:p>
    <w:p>
      <w:pPr>
        <w:pStyle w:val="ListBullet"/>
      </w:pPr>
      <w:r>
        <w:rPr>
          <w:rFonts w:ascii="Calibri" w:hAnsi="Calibri" w:eastAsia="Microsoft JhengHei"/>
          <w:color w:val="000000"/>
        </w:rPr>
        <w:t>可輸出 FRF、Bode、coherence、ARX 與輸入延遲等固定測試架系統識別結果。</w:t>
      </w:r>
    </w:p>
    <w:p>
      <w:pPr>
        <w:pStyle w:val="ListBullet"/>
      </w:pPr>
      <w:r>
        <w:rPr>
          <w:rFonts w:ascii="Calibri" w:hAnsi="Calibri" w:eastAsia="Microsoft JhengHei"/>
          <w:color w:val="000000"/>
        </w:rPr>
        <w:t>可比較間歇取樣方向判定、PID 即時回授、LADRC 總擾動估測與 ILC 跨周期學習等不同補償機制。</w:t>
      </w:r>
    </w:p>
    <w:p>
      <w:pPr>
        <w:pStyle w:val="ListBullet"/>
      </w:pPr>
      <w:r>
        <w:rPr>
          <w:rFonts w:ascii="Calibri" w:hAnsi="Calibri" w:eastAsia="Microsoft JhengHei"/>
          <w:color w:val="000000"/>
        </w:rPr>
        <w:t>具上電禁能、命令授權、通訊逾時、PWM 漸變、反轉保護及鎖定式軟體停止的 ESP32 節點。</w:t>
      </w:r>
    </w:p>
    <w:p>
      <w:pPr>
        <w:pStyle w:val="ListBullet"/>
      </w:pPr>
      <w:r>
        <w:rPr>
          <w:rFonts w:ascii="Calibri" w:hAnsi="Calibri" w:eastAsia="Microsoft JhengHei"/>
          <w:color w:val="000000"/>
        </w:rPr>
        <w:t>包含感測準確度、ROM 重複性、間歇跟隨方向與延遲、繩索命令量平衡、目標軌跡控制及故障狀態的完整數據與圖表。</w:t>
      </w:r>
    </w:p>
    <w:p>
      <w:pPr>
        <w:pStyle w:val="Heading2"/>
        <w:keepNext/>
      </w:pPr>
      <w:r>
        <w:t>8.2 創新與貢獻定位</w:t>
      </w:r>
    </w:p>
    <w:p>
      <w:pPr>
        <w:keepLines/>
      </w:pPr>
      <w:r>
        <w:rPr>
          <w:rFonts w:ascii="Calibri" w:hAnsi="Calibri" w:eastAsia="Microsoft JhengHei"/>
          <w:color w:val="000000"/>
        </w:rPr>
        <w:t>本專題之貢獻定位為可驗證的醫學電子、取樣控制與繩索致動整合，而非宣稱雙 IMU、ROM、PID、ADRC 或 ILC 單一演算法首創。第一，以 14-byte block read、互斥通道操作、reader 生命週期與 watchdog 提升雙 IMU 量測鏈可靠性；第二，把指定時間自由活動與 5%／95% 穩健百分位轉成工作階段相對 ROM 參考；第三，以『馬達關閉取樣—方向一致性判定—固定輸出保持』分離使用者動作觀察與致動器造成的角速度，形成可解釋的間歇按需跟隨；第四，以肘／肩互斥選擇、肩抬舉共同放線與 PWM×時間回收處理跨關節繩索路徑變化；第五，在無編碼器條件下，以 applied PWM×時間帳本、差額攤還上限及通道倍率校正降低長時間淨收線偏差；第六，以 ESP32 狀態機、點動 session、通訊逾時、IMU watchdog、版本鎖定與備份形成可追溯故障反應鏈。LADRC、ILC 與頻域識別屬已實作但待台架證據的延伸模組，不列為目前已證實的主要創新。</w:t>
      </w:r>
    </w:p>
    <w:p>
      <w:pPr>
        <w:pStyle w:val="Heading2"/>
        <w:keepNext/>
      </w:pPr>
      <w:r>
        <w:t>8.3 預期價值與影響</w:t>
      </w:r>
    </w:p>
    <w:p>
      <w:pPr>
        <w:keepLines/>
      </w:pPr>
      <w:r>
        <w:rPr>
          <w:rFonts w:ascii="Calibri" w:hAnsi="Calibri" w:eastAsia="Microsoft JhengHei"/>
          <w:color w:val="000000"/>
        </w:rPr>
        <w:t>本階段最直接的價值，是把低成本慣性感測、個人化參數、動作觸發助力與繩索命令量管理整合為可實際輸出的工程雛形，並把『能動』『感覺順』『軟體測試通過』與『正式量化有效』清楚分開。此平台可為後續加入編碼器、繩索張力、電流、互動力或表面肌電（sEMG）提供共同時序與安全介面；相關 sEMG 控制研究可作為延伸設計參考 [18]，但不屬於本階段成果。</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層面</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本研究可帶來的價值</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合理邊界</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量測方法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建立穿戴式慣性訊號至肘關節相對角度的可重複處理與驗證流程。</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不視為醫療級動作擷取或臨床評估工具。</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個人化參數</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將當次肘部可達範圍及上臂抬舉任務結果轉成目標參考。</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90% 為工程預設；未有臨床安全劑量證據。</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控制研究</w:t>
            </w:r>
          </w:p>
        </w:tc>
        <w:tc>
          <w:tcPr>
            <w:tcW w:type="dxa" w:w="5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同時保存角度、動作判定、狀態機、PWM×時間與故障事件，使『何時介入、輸出多久、繩索差額如何補回』可追溯。</w:t>
            </w:r>
          </w:p>
        </w:tc>
        <w:tc>
          <w:tcPr>
            <w:tcW w:type="dxa" w:w="26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未量測互動力、張力或 EMG，不能解釋實際輔助力或自主參與。</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醫學電子系統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以嵌入式感測、分層控制與下位故障反應節點建立可重複測試的閉迴路平台。</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硬體保護、耐久度與人體工學仍須完成。</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後續發展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提供加入 EMG、力矩感測、個人能力估測與自適應控制的共同平台 [18]。</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本階段不把追蹤誤差直接等同主動參與。</w:t>
            </w:r>
          </w:p>
        </w:tc>
      </w:tr>
    </w:tbl>
    <w:p>
      <w:pPr>
        <w:spacing w:after="40"/>
      </w:pPr>
    </w:p>
    <w:p>
      <w:pPr>
        <w:pStyle w:val="Heading1"/>
        <w:keepNext/>
      </w:pPr>
      <w:r>
        <w:t>九、工作時程與里程碑</w:t>
      </w:r>
    </w:p>
    <w:tbl>
      <w:tblPr>
        <w:tblStyle w:val="TableGrid"/>
        <w:tblW w:type="dxa" w:w="9360"/>
        <w:jc w:val="center"/>
        <w:tblLayout w:type="fixed"/>
        <w:tblLook w:firstColumn="1" w:firstRow="1" w:lastColumn="0" w:lastRow="0" w:noHBand="0" w:noVBand="1" w:val="04A0"/>
        <w:tblInd w:w="120" w:type="dxa"/>
      </w:tblPr>
      <w:tblGrid>
        <w:gridCol w:w="1500"/>
        <w:gridCol w:w="5000"/>
        <w:gridCol w:w="2860"/>
      </w:tblGrid>
      <w:tr>
        <w:trPr>
          <w:tblHeader w:val="true"/>
          <w:cantSplit/>
        </w:trPr>
        <w:tc>
          <w:tcPr>
            <w:tcW w:type="dxa" w:w="150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階段</w:t>
            </w:r>
          </w:p>
        </w:tc>
        <w:tc>
          <w:tcPr>
            <w:tcW w:type="dxa" w:w="500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工作內容</w:t>
            </w:r>
          </w:p>
        </w:tc>
        <w:tc>
          <w:tcPr>
            <w:tcW w:type="dxa" w:w="2860"/>
            <w:shd w:fill="F4F6F9"/>
            <w:tcMar>
              <w:top w:w="80" w:type="dxa"/>
              <w:start w:w="120" w:type="dxa"/>
              <w:bottom w:w="80" w:type="dxa"/>
              <w:end w:w="120" w:type="dxa"/>
            </w:tcMar>
            <w:vAlign w:val="center"/>
          </w:tcPr>
          <w:p>
            <w:pPr>
              <w:spacing w:after="0"/>
              <w:jc w:val="center"/>
            </w:pPr>
            <w:r>
              <w:rPr>
                <w:rFonts w:ascii="Calibri" w:hAnsi="Calibri" w:eastAsia="Microsoft JhengHei"/>
                <w:b/>
                <w:color w:val="0B2545"/>
                <w:sz w:val="19"/>
              </w:rPr>
              <w:t>可交付成果</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已完成 A</w:t>
            </w:r>
          </w:p>
        </w:tc>
        <w:tc>
          <w:tcPr>
            <w:tcW w:type="dxa" w:w="5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雙 IMU、ROM、三路 ESP32 輸出、Web GUI 與安全狀態機整合</w:t>
            </w:r>
          </w:p>
        </w:tc>
        <w:tc>
          <w:tcPr>
            <w:tcW w:type="dxa" w:w="2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可操作整合雛形與歷史開發紀錄</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已完成 B</w:t>
            </w:r>
          </w:p>
        </w:tc>
        <w:tc>
          <w:tcPr>
            <w:tcW w:type="dxa" w:w="5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間歇取樣跟隨、肘／肩互斥、肩肘共同模式、肘部 PWM×時間平衡與通道校正</w:t>
            </w:r>
          </w:p>
        </w:tc>
        <w:tc>
          <w:tcPr>
            <w:tcW w:type="dxa" w:w="2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78/78 測試通過版本及完整備份</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接續第 1 週</w:t>
            </w:r>
          </w:p>
        </w:tc>
        <w:tc>
          <w:tcPr>
            <w:tcW w:type="dxa" w:w="5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鎖定部署、接線與資料欄位；建立外部繩索標記及固定架方向真值</w:t>
            </w:r>
          </w:p>
        </w:tc>
        <w:tc>
          <w:tcPr>
            <w:tcW w:type="dxa" w:w="2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版本雜湊、測試表、資料字典與 pilot 紀錄</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接續第 2 週</w:t>
            </w:r>
          </w:p>
        </w:tc>
        <w:tc>
          <w:tcPr>
            <w:tcW w:type="dxa" w:w="5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完成 IMU／ROM、間歇跟隨方向與延遲、20 周期繩索漂移及故障反應</w:t>
            </w:r>
          </w:p>
        </w:tc>
        <w:tc>
          <w:tcPr>
            <w:tcW w:type="dxa" w:w="2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核心結果表、狀態時間線與可用圖表</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接續第 3 週</w:t>
            </w:r>
          </w:p>
        </w:tc>
        <w:tc>
          <w:tcPr>
            <w:tcW w:type="dxa" w:w="5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若核心閘門通過，再執行低 PWM 單頻／Chirp 與 PID／LADRC；時程不足則列未來工作</w:t>
            </w:r>
          </w:p>
        </w:tc>
        <w:tc>
          <w:tcPr>
            <w:tcW w:type="dxa" w:w="2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Bode／控制比較或明確的未完成範圍</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接續第 4 週</w:t>
            </w:r>
          </w:p>
        </w:tc>
        <w:tc>
          <w:tcPr>
            <w:tcW w:type="dxa" w:w="5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整理研究動機、系統架構、核心創新、主要結果與限制</w:t>
            </w:r>
          </w:p>
        </w:tc>
        <w:tc>
          <w:tcPr>
            <w:tcW w:type="dxa" w:w="2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正式海報初稿與圖表素材</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接續第 5 週</w:t>
            </w:r>
          </w:p>
        </w:tc>
        <w:tc>
          <w:tcPr>
            <w:tcW w:type="dxa" w:w="5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製作 3–4 張 Pitch Talk 投影片、3 分鐘逐字稿與問答庫</w:t>
            </w:r>
          </w:p>
        </w:tc>
        <w:tc>
          <w:tcPr>
            <w:tcW w:type="dxa" w:w="2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正式簡報、講稿與演練版本</w:t>
            </w:r>
          </w:p>
        </w:tc>
      </w:tr>
      <w:tr>
        <w:trPr>
          <w:cantSplit/>
        </w:trPr>
        <w:tc>
          <w:tcPr>
            <w:tcW w:type="dxa" w:w="1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緩衝週</w:t>
            </w:r>
          </w:p>
        </w:tc>
        <w:tc>
          <w:tcPr>
            <w:tcW w:type="dxa" w:w="5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補測、修圖、版本凍結與最終校對</w:t>
            </w:r>
          </w:p>
        </w:tc>
        <w:tc>
          <w:tcPr>
            <w:tcW w:type="dxa" w:w="2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可追溯的最終交付包</w:t>
            </w:r>
          </w:p>
        </w:tc>
      </w:tr>
    </w:tbl>
    <w:p>
      <w:pPr>
        <w:spacing w:after="40"/>
      </w:pPr>
    </w:p>
    <w:p>
      <w:pPr>
        <w:pStyle w:val="Heading1"/>
        <w:keepNext/>
      </w:pPr>
      <w:r>
        <w:t>十、風險管理與備案</w:t>
      </w:r>
    </w:p>
    <w:tbl>
      <w:tblPr>
        <w:tblStyle w:val="TableGrid"/>
        <w:tblW w:type="dxa" w:w="9360"/>
        <w:jc w:val="center"/>
        <w:tblLayout w:type="fixed"/>
        <w:tblLook w:firstColumn="1" w:firstRow="1" w:lastColumn="0" w:lastRow="0" w:noHBand="0" w:noVBand="1" w:val="04A0"/>
        <w:tblInd w:w="120" w:type="dxa"/>
      </w:tblPr>
      <w:tblGrid>
        <w:gridCol w:w="2000"/>
        <w:gridCol w:w="2500"/>
        <w:gridCol w:w="4860"/>
      </w:tblGrid>
      <w:tr>
        <w:trPr>
          <w:tblHeader w:val="true"/>
          <w:cantSplit/>
        </w:trPr>
        <w:tc>
          <w:tcPr>
            <w:tcW w:type="dxa" w:w="2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風險</w:t>
            </w:r>
          </w:p>
        </w:tc>
        <w:tc>
          <w:tcPr>
            <w:tcW w:type="dxa" w:w="2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影響</w:t>
            </w:r>
          </w:p>
        </w:tc>
        <w:tc>
          <w:tcPr>
            <w:tcW w:type="dxa" w:w="4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處理與備案</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ESP32／驅動器過熱或燒毀</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硬體停擺與安全疑慮</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先用限流電源；確認共地、邏輯隔離、續流與反電動勢；低 PWM 單馬達逐步測試</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馬達反轉突波</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重啟、損壞或機構衝擊</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反轉先歸零、PWM ramp；硬體端增加保護元件並驗證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漂移／安裝誤差</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角度與追蹤指標失真</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固定治具、每回合校正、縮短試驗、感測融合、參考真值比較</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I²C 傳輸阻塞</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GUI 無回應且量測中斷</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14-byte block read、通道鎖、舊 reader 結束等待、2 s watchdog、systemd 2 s 後重啟；重啟後保持未 ARM</w:t>
            </w:r>
          </w:p>
        </w:tc>
      </w:tr>
      <w:tr>
        <w:trPr>
          <w:cantSplit/>
        </w:trPr>
        <w:tc>
          <w:tcPr>
            <w:tcW w:type="dxa" w:w="2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參考訊號未同步</w:t>
            </w:r>
          </w:p>
        </w:tc>
        <w:tc>
          <w:tcPr>
            <w:tcW w:type="dxa" w:w="2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動態 MAE、相位差與 Bland-Altman 無效</w:t>
            </w:r>
          </w:p>
        </w:tc>
        <w:tc>
          <w:tcPr>
            <w:tcW w:type="dxa" w:w="4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共同時間戳或同步事件；未通過則只報靜態與內部性能</w:t>
            </w:r>
          </w:p>
        </w:tc>
      </w:tr>
      <w:tr>
        <w:trPr>
          <w:cantSplit/>
        </w:trPr>
        <w:tc>
          <w:tcPr>
            <w:tcW w:type="dxa" w:w="2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樹莓派供電中斷或 SD 開機異常</w:t>
            </w:r>
          </w:p>
        </w:tc>
        <w:tc>
          <w:tcPr>
            <w:tcW w:type="dxa" w:w="2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服務中斷、資料或開機分割區損壞</w:t>
            </w:r>
          </w:p>
        </w:tc>
        <w:tc>
          <w:tcPr>
            <w:tcW w:type="dxa" w:w="4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馬達與樹莓派分離供電、避免欠壓與反電動勢；保留完整 ZIP、SHA-256 與重建清單</w:t>
            </w:r>
          </w:p>
        </w:tc>
      </w:tr>
      <w:tr>
        <w:trPr>
          <w:cantSplit/>
        </w:trPr>
        <w:tc>
          <w:tcPr>
            <w:tcW w:type="dxa" w:w="2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無編碼器造成長時間繩索偏移</w:t>
            </w:r>
          </w:p>
        </w:tc>
        <w:tc>
          <w:tcPr>
            <w:tcW w:type="dxa" w:w="2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多周期後收多放少、張力累積或鬆繩</w:t>
            </w:r>
          </w:p>
        </w:tc>
        <w:tc>
          <w:tcPr>
            <w:tcW w:type="dxa" w:w="4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PWM×時間帳本、1.25 s 差額攤還、60 PWM 上限；以同姿勢外露繩索標記驗證，不把帳本當實際繩長</w:t>
            </w:r>
          </w:p>
        </w:tc>
      </w:tr>
      <w:tr>
        <w:trPr>
          <w:cantSplit/>
        </w:trPr>
        <w:tc>
          <w:tcPr>
            <w:tcW w:type="dxa" w:w="2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瀏覽器保存高 PWM 或通道力量不一致</w:t>
            </w:r>
          </w:p>
        </w:tc>
        <w:tc>
          <w:tcPr>
            <w:tcW w:type="dxa" w:w="2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重新整理後套用過大輸出、二頭／三頭效果失衡</w:t>
            </w:r>
          </w:p>
        </w:tc>
        <w:tc>
          <w:tcPr>
            <w:tcW w:type="dxa" w:w="4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GUI 上限與明示值、空載點動、二頭 0.8 倍率、三頭收線上限 100；每回合記錄實際參數</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積分 windup</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超越與安全風險</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integral clamp、deadband 內衰減、輸出飽和時條件積分</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LADRC 觀測器受排程延遲影響</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估測發散或輸出突變</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ESO 子步積分、限制觀測器頻寬、依實測 dt 與辨識頻寬調整</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ILC 學習污染</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錯誤前饋跨周期累積</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飽和、anti-windup、中斷、不完整或覆蓋不足周期不更新；限制單次更新與 learned PWM</w:t>
            </w:r>
          </w:p>
        </w:tc>
      </w:tr>
      <w:tr>
        <w:trPr>
          <w:cantSplit/>
        </w:trPr>
        <w:tc>
          <w:tcPr>
            <w:tcW w:type="dxa" w:w="2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開發體感取代正式數據</w:t>
            </w:r>
          </w:p>
        </w:tc>
        <w:tc>
          <w:tcPr>
            <w:tcW w:type="dxa" w:w="2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海報或結論過度宣稱</w:t>
            </w:r>
          </w:p>
        </w:tc>
        <w:tc>
          <w:tcPr>
            <w:tcW w:type="dxa" w:w="4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把操作觀察只列進度；核心結論必須來自固定架重複試驗、圖表與版本化資料</w:t>
            </w:r>
          </w:p>
        </w:tc>
      </w:tr>
      <w:tr>
        <w:trPr>
          <w:cantSplit/>
        </w:trPr>
        <w:tc>
          <w:tcPr>
            <w:tcW w:type="dxa" w:w="2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無法進行人體測試</w:t>
            </w:r>
          </w:p>
        </w:tc>
        <w:tc>
          <w:tcPr>
            <w:tcW w:type="dxa" w:w="2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不能呈現真實主動出力與穿戴安全</w:t>
            </w:r>
          </w:p>
        </w:tc>
        <w:tc>
          <w:tcPr>
            <w:tcW w:type="dxa" w:w="4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以固定架動作真值、配重與可重複位移驗證動作觸發助力，不宣稱人體參與或臨床效果</w:t>
            </w:r>
          </w:p>
        </w:tc>
      </w:tr>
      <w:tr>
        <w:trPr>
          <w:cantSplit/>
        </w:trPr>
        <w:tc>
          <w:tcPr>
            <w:tcW w:type="dxa" w:w="20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時程不足</w:t>
            </w:r>
          </w:p>
        </w:tc>
        <w:tc>
          <w:tcPr>
            <w:tcW w:type="dxa" w:w="250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資料不完整</w:t>
            </w:r>
          </w:p>
        </w:tc>
        <w:tc>
          <w:tcPr>
            <w:tcW w:type="dxa" w:w="4860"/>
            <w:tcMar>
              <w:top w:w="80" w:type="dxa"/>
              <w:start w:w="120" w:type="dxa"/>
              <w:bottom w:w="80" w:type="dxa"/>
              <w:end w:w="120" w:type="dxa"/>
            </w:tcMar>
            <w:vAlign w:val="center"/>
          </w:tcPr>
          <w:p>
            <w:pPr>
              <w:spacing w:after="0" w:line="276" w:lineRule="auto"/>
            </w:pPr>
            <w:r>
              <w:rPr>
                <w:rFonts w:ascii="Calibri" w:hAnsi="Calibri" w:eastAsia="Microsoft JhengHei"/>
                <w:color w:val="000000"/>
                <w:sz w:val="18"/>
              </w:rPr>
              <w:t>優先完成雙 IMU、個人化 ROM、間歇跟隨、繩索漂移與故障反應；Chirp、LADRC／ILC、EMG 與人體測試依證據與時程列為延伸</w:t>
            </w:r>
          </w:p>
        </w:tc>
      </w:tr>
    </w:tbl>
    <w:p>
      <w:pPr>
        <w:spacing w:after="40"/>
      </w:pPr>
    </w:p>
    <w:p>
      <w:pPr>
        <w:pStyle w:val="Heading1"/>
        <w:keepNext/>
      </w:pPr>
      <w:r>
        <w:t>十一、研究倫理、安全與限制</w:t>
      </w:r>
    </w:p>
    <w:p>
      <w:pPr>
        <w:keepLines/>
      </w:pPr>
      <w:r>
        <w:rPr>
          <w:rFonts w:ascii="Calibri" w:hAnsi="Calibri" w:eastAsia="Microsoft JhengHei"/>
          <w:color w:val="000000"/>
        </w:rPr>
        <w:t>本研究正式資料階段只進行固定治具與無人體的工程驗證，不招募患者、不進行治療，也不宣稱臨床療效或醫療器材資格。開發期間曾進行操作性動作與跟隨測試，用於確認方向、繩索行為與介面問題；這些觀察未依人體研究協定收集，僅能列入開發日誌，不得作為正式人體結果。個人化 ROM 的設計目的，是作為未來患者訓練目標設定的候選參考參數；在臨床效度、安全性與倫理審查完成前，不得用於醫療決策。若後續任何人穿戴或接觸致動機構並作為研究資料來源，均視為新增研究階段，須依成大及合作醫療機構規定確認人體研究倫理、知情同意、風險告知、疼痛監測、停止條件與緊急處置。</w:t>
      </w:r>
    </w:p>
    <w:p>
      <w:pPr>
        <w:keepLines/>
      </w:pPr>
      <w:r>
        <w:rPr>
          <w:rFonts w:ascii="Calibri" w:hAnsi="Calibri" w:eastAsia="Microsoft JhengHei"/>
          <w:color w:val="000000"/>
        </w:rPr>
        <w:t>主要限制包括：肘角差分假設感測器軸線一致與近似單平面運動；MPU6050 無磁力計，無法可靠提供長時間絕對 yaw；單顆上臂 IMU 的抬舉角不能分離軀幹、肩胛與盂肱運動；未量測肌力、互動力或意圖；PWM 不是實際力或能量；無馬達編碼器、電流與張力感測器，因此 PWM×時間帳本只能估算命令層收放差額，無法證明實際繩長守恆。間歇取樣跟隨已有開發操作結果但尚缺固定架方向正確率、延遲與多周期線長漂移數據；LADRC／ILC 與自動 Chirp 尚未完成真實馬達驗證；現階段樣本為工程回合而非人群。成功標準屬先導工程驗收，不是臨床最小重要差異。</w:t>
      </w:r>
    </w:p>
    <w:p>
      <w:pPr>
        <w:pStyle w:val="Heading1"/>
        <w:keepNext/>
      </w:pPr>
      <w:r>
        <w:t>十二、結論</w:t>
      </w:r>
    </w:p>
    <w:p>
      <w:pPr>
        <w:keepLines/>
      </w:pPr>
      <w:r>
        <w:rPr>
          <w:rFonts w:ascii="Calibri" w:hAnsi="Calibri" w:eastAsia="Microsoft JhengHei"/>
          <w:color w:val="000000"/>
        </w:rPr>
        <w:t>本計畫提出雙 IMU 相對肘角回授、自由活動式個人化 ROM、間歇取樣跟隨、肩肘繩索共同模式與 PWM×時間平衡的整合架構。最新進度已完成三路馬達實際輸出、肘／肩互斥跟隨、通道方向與倍率校正、長時間收放差額補償、78/78 自動化測試及完整系統備份；開發操作顯示系統已能跟隨動作，但尚缺固定測試架的量化資料。後續研究將優先驗證方向判定、延遲、多周期繩索漂移、IMU／ESP32 故障反應與版本化資料，再視時程進行 Chirp、LADRC 與 ILC。肩部結果只解釋為上臂抬舉與繩索共同模式，PWM 只解釋為命令量，開發操作與軟體測試均不外推為人體或臨床成效。</w:t>
      </w:r>
    </w:p>
    <w:p>
      <w:pPr>
        <w:pStyle w:val="Heading1"/>
        <w:keepNext/>
      </w:pPr>
      <w:r>
        <w:t>參考文獻</w:t>
      </w:r>
    </w:p>
    <w:p>
      <w:pPr>
        <w:spacing w:after="100" w:line="276" w:lineRule="auto"/>
        <w:ind w:left="360" w:hanging="360"/>
      </w:pPr>
      <w:r>
        <w:rPr>
          <w:rFonts w:ascii="Calibri" w:hAnsi="Calibri" w:eastAsia="Microsoft JhengHei"/>
          <w:color w:val="000000"/>
          <w:sz w:val="19"/>
        </w:rPr>
        <w:t>[1] A. Cieza, K. Causey, K. Kamenov, S. W. Hanson, S. Chatterji, and T. Vos, ‘Global estimates of the need for rehabilitation based on the Global Burden of Disease study 2019,’ The Lancet, vol. 396, no. 10267, pp. 2006-2017, 2020. doi: 10.1016/S0140-6736(20)32340-0.</w:t>
      </w:r>
    </w:p>
    <w:p>
      <w:pPr>
        <w:spacing w:after="100" w:line="276" w:lineRule="auto"/>
        <w:ind w:left="360" w:hanging="360"/>
      </w:pPr>
      <w:r>
        <w:rPr>
          <w:rFonts w:ascii="Calibri" w:hAnsi="Calibri" w:eastAsia="Microsoft JhengHei"/>
          <w:color w:val="000000"/>
          <w:sz w:val="19"/>
        </w:rPr>
        <w:t>[2] X. Yang, X. Shi, X. Xue, and Z. Deng, ‘Efficacy of robot-assisted training on rehabilitation of upper limb function in patients with stroke,’ Archives of Physical Medicine and Rehabilitation, vol. 104, no. 9, pp. 1498-1513, 2023. doi: 10.1016/j.apmr.2023.02.004.</w:t>
      </w:r>
    </w:p>
    <w:p>
      <w:pPr>
        <w:spacing w:after="100" w:line="276" w:lineRule="auto"/>
        <w:ind w:left="360" w:hanging="360"/>
      </w:pPr>
      <w:r>
        <w:rPr>
          <w:rFonts w:ascii="Calibri" w:hAnsi="Calibri" w:eastAsia="Microsoft JhengHei"/>
          <w:color w:val="000000"/>
          <w:sz w:val="19"/>
        </w:rPr>
        <w:t>[3] E. T. Wolbrecht, V. Chan, D. J. Reinkensmeyer, and J. E. Bobrow, ‘Optimizing compliant, model-based robotic assistance to promote neurorehabilitation,’ IEEE Transactions on Neural Systems and Rehabilitation Engineering, vol. 16, no. 3, pp. 286-297, 2008. doi: 10.1109/TNSRE.2008.918389.</w:t>
      </w:r>
    </w:p>
    <w:p>
      <w:pPr>
        <w:spacing w:after="100" w:line="276" w:lineRule="auto"/>
        <w:ind w:left="360" w:hanging="360"/>
      </w:pPr>
      <w:r>
        <w:rPr>
          <w:rFonts w:ascii="Calibri" w:hAnsi="Calibri" w:eastAsia="Microsoft JhengHei"/>
          <w:color w:val="000000"/>
          <w:sz w:val="19"/>
        </w:rPr>
        <w:t>[4] L. Marchal-Crespo and D. J. Reinkensmeyer, ‘Review of control strategies for robotic movement training after neurologic injury,’ Journal of NeuroEngineering and Rehabilitation, vol. 6, article 20, 2009. doi: 10.1186/1743-0003-6-20.</w:t>
      </w:r>
    </w:p>
    <w:p>
      <w:pPr>
        <w:spacing w:after="100" w:line="276" w:lineRule="auto"/>
        <w:ind w:left="360" w:hanging="360"/>
      </w:pPr>
      <w:r>
        <w:rPr>
          <w:rFonts w:ascii="Calibri" w:hAnsi="Calibri" w:eastAsia="Microsoft JhengHei"/>
          <w:color w:val="000000"/>
          <w:sz w:val="19"/>
        </w:rPr>
        <w:t>[5] A. A. Blank, J. A. French, A. U. Pehlivan, and M. K. O’Malley, ‘Current trends in robot-assisted upper-limb stroke rehabilitation: Promoting patient engagement in therapy,’ Current Physical Medicine and Rehabilitation Reports, vol. 2, pp. 184-195, 2014. doi: 10.1007/s40141-014-0056-z.</w:t>
      </w:r>
    </w:p>
    <w:p>
      <w:pPr>
        <w:spacing w:after="100" w:line="276" w:lineRule="auto"/>
        <w:ind w:left="360" w:hanging="360"/>
      </w:pPr>
      <w:r>
        <w:rPr>
          <w:rFonts w:ascii="Calibri" w:hAnsi="Calibri" w:eastAsia="Microsoft JhengHei"/>
          <w:color w:val="000000"/>
          <w:sz w:val="19"/>
        </w:rPr>
        <w:t>[6] L. E. Kahn, M. L. Zygman, W. Z. Rymer, and D. J. Reinkensmeyer, ‘Robot-assisted reaching exercise promotes arm movement recovery in chronic hemiparetic stroke,’ Journal of NeuroEngineering and Rehabilitation, vol. 3, article 12, 2006. doi: 10.1186/1743-0003-3-12.</w:t>
      </w:r>
    </w:p>
    <w:p>
      <w:pPr>
        <w:spacing w:after="100" w:line="276" w:lineRule="auto"/>
        <w:ind w:left="360" w:hanging="360"/>
      </w:pPr>
      <w:r>
        <w:rPr>
          <w:rFonts w:ascii="Calibri" w:hAnsi="Calibri" w:eastAsia="Microsoft JhengHei"/>
          <w:color w:val="000000"/>
          <w:sz w:val="19"/>
        </w:rPr>
        <w:t>[7] I. Aprile, M. Germanotta, A. Cruciani, et al., ‘Upper limb robotic rehabilitation after stroke: A multicenter, randomized clinical trial,’ Journal of Neurologic Physical Therapy, vol. 44, no. 1, pp. 3-14, 2020. doi: 10.1097/NPT.0000000000000295.</w:t>
      </w:r>
    </w:p>
    <w:p>
      <w:pPr>
        <w:spacing w:after="100" w:line="276" w:lineRule="auto"/>
        <w:ind w:left="360" w:hanging="360"/>
      </w:pPr>
      <w:r>
        <w:rPr>
          <w:rFonts w:ascii="Calibri" w:hAnsi="Calibri" w:eastAsia="Microsoft JhengHei"/>
          <w:color w:val="000000"/>
          <w:sz w:val="19"/>
        </w:rPr>
        <w:t>[8] S. Y. Jeon, M. Ki, and J.-H. Shin, ‘Resistive versus active assisted robotic training for the upper limb after a stroke,’ Annals of Physical and Rehabilitation Medicine, vol. 67, no. 1, article 101789, 2024. doi: 10.1016/j.rehab.2023.101789.</w:t>
      </w:r>
    </w:p>
    <w:p>
      <w:pPr>
        <w:spacing w:after="100" w:line="276" w:lineRule="auto"/>
        <w:ind w:left="360" w:hanging="360"/>
      </w:pPr>
      <w:r>
        <w:rPr>
          <w:rFonts w:ascii="Calibri" w:hAnsi="Calibri" w:eastAsia="Microsoft JhengHei"/>
          <w:color w:val="000000"/>
          <w:sz w:val="19"/>
        </w:rPr>
        <w:t>[9] C. Kim, Y. Moon, and J. Choi, ‘Model predictive control-based assist-as-needed strategy for reducing motor slacking in robot-assisted rehabilitation,’ Sensors, vol. 26, no. 9, article 2740, 2026. doi: 10.3390/s26092740.</w:t>
      </w:r>
    </w:p>
    <w:p>
      <w:pPr>
        <w:spacing w:after="100" w:line="276" w:lineRule="auto"/>
        <w:ind w:left="360" w:hanging="360"/>
      </w:pPr>
      <w:r>
        <w:rPr>
          <w:rFonts w:ascii="Calibri" w:hAnsi="Calibri" w:eastAsia="Microsoft JhengHei"/>
          <w:color w:val="000000"/>
          <w:sz w:val="19"/>
        </w:rPr>
        <w:t>[10] Z. Fang, S. Woodford, D. Senanayake, and D. Ackland, ‘Conversion of upper-limb inertial measurement unit data to joint angles: A systematic review,’ Sensors, vol. 23, no. 14, article 6535, 2023. doi: 10.3390/s23146535.</w:t>
      </w:r>
    </w:p>
    <w:p>
      <w:pPr>
        <w:spacing w:after="100" w:line="276" w:lineRule="auto"/>
        <w:ind w:left="360" w:hanging="360"/>
      </w:pPr>
      <w:r>
        <w:rPr>
          <w:rFonts w:ascii="Calibri" w:hAnsi="Calibri" w:eastAsia="Microsoft JhengHei"/>
          <w:color w:val="000000"/>
          <w:sz w:val="19"/>
        </w:rPr>
        <w:t>[11] M. El-Gohary and J. McNames, ‘Shoulder and elbow joint angle tracking with inertial sensors,’ IEEE Transactions on Biomedical Engineering, vol. 59, no. 9, pp. 2635-2641, 2012. doi: 10.1109/TBME.2012.2208750.</w:t>
      </w:r>
    </w:p>
    <w:p>
      <w:pPr>
        <w:spacing w:after="100" w:line="276" w:lineRule="auto"/>
        <w:ind w:left="360" w:hanging="360"/>
      </w:pPr>
      <w:r>
        <w:rPr>
          <w:rFonts w:ascii="Calibri" w:hAnsi="Calibri" w:eastAsia="Microsoft JhengHei"/>
          <w:color w:val="000000"/>
          <w:sz w:val="19"/>
        </w:rPr>
        <w:t>[12] P. Müller, M.-A. Bégin, T. Schauer, and T. Seel, ‘Alignment-free, self-calibrating elbow angles measurement using inertial sensors,’ IEEE Journal of Biomedical and Health Informatics, vol. 21, no. 2, pp. 312-319, 2017. doi: 10.1109/JBHI.2016.2639537.</w:t>
      </w:r>
    </w:p>
    <w:p>
      <w:pPr>
        <w:spacing w:after="100" w:line="276" w:lineRule="auto"/>
        <w:ind w:left="360" w:hanging="360"/>
      </w:pPr>
      <w:r>
        <w:rPr>
          <w:rFonts w:ascii="Calibri" w:hAnsi="Calibri" w:eastAsia="Microsoft JhengHei"/>
          <w:color w:val="000000"/>
          <w:sz w:val="19"/>
        </w:rPr>
        <w:t>[13] M. M. B. Morrow, B. Lowndes, E. Fortune, K. R. Kaufman, and M. S. Hallbeck, ‘Validation of inertial measurement units for upper body kinematics,’ Journal of Applied Biomechanics, vol. 33, no. 3, pp. 227-232, 2017. doi: 10.1123/jab.2016-0120.</w:t>
      </w:r>
    </w:p>
    <w:p>
      <w:pPr>
        <w:spacing w:after="100" w:line="276" w:lineRule="auto"/>
        <w:ind w:left="360" w:hanging="360"/>
      </w:pPr>
      <w:r>
        <w:rPr>
          <w:rFonts w:ascii="Calibri" w:hAnsi="Calibri" w:eastAsia="Microsoft JhengHei"/>
          <w:color w:val="000000"/>
          <w:sz w:val="19"/>
        </w:rPr>
        <w:t>[14] F. Karadeniz, Ö. E. Aydoğan, E. A. Kazancı, and E. Akdoğan, ‘Design of a 4-DOF grounded exoskeletal robot for shoulder and elbow rehabilitation,’ Sustainable Engineering and Innovation, vol. 2, no. 1, pp. 41-65, 2020. doi: 10.37868/sei.v2i1.106.</w:t>
      </w:r>
    </w:p>
    <w:p>
      <w:pPr>
        <w:spacing w:after="100" w:line="276" w:lineRule="auto"/>
        <w:ind w:left="360" w:hanging="360"/>
      </w:pPr>
      <w:r>
        <w:rPr>
          <w:rFonts w:ascii="Calibri" w:hAnsi="Calibri" w:eastAsia="Microsoft JhengHei"/>
          <w:color w:val="000000"/>
          <w:sz w:val="19"/>
        </w:rPr>
        <w:t>[15] L. Zhang, S. Guo, and Q. Sun, ‘Development and assist-as-needed control of an end-effector upper limb rehabilitation robot,’ Applied Sciences, vol. 10, no. 19, article 6684, 2020. doi: 10.3390/app10196684.</w:t>
      </w:r>
    </w:p>
    <w:p>
      <w:pPr>
        <w:spacing w:after="100" w:line="276" w:lineRule="auto"/>
        <w:ind w:left="360" w:hanging="360"/>
      </w:pPr>
      <w:r>
        <w:rPr>
          <w:rFonts w:ascii="Calibri" w:hAnsi="Calibri" w:eastAsia="Microsoft JhengHei"/>
          <w:color w:val="000000"/>
          <w:sz w:val="19"/>
        </w:rPr>
        <w:t>[16] L. Zhang, S. Guo, and F. Xi, ‘Performance-based assistance control for robot-mediated upper-limbs rehabilitation,’ Mechatronics, vol. 89, article 102919, 2023. doi: 10.1016/j.mechatronics.2022.102919.</w:t>
      </w:r>
    </w:p>
    <w:p>
      <w:pPr>
        <w:spacing w:after="100" w:line="276" w:lineRule="auto"/>
        <w:ind w:left="360" w:hanging="360"/>
      </w:pPr>
      <w:r>
        <w:rPr>
          <w:rFonts w:ascii="Calibri" w:hAnsi="Calibri" w:eastAsia="Microsoft JhengHei"/>
          <w:color w:val="000000"/>
          <w:sz w:val="19"/>
        </w:rPr>
        <w:t>[17] T. Ahmed, M. R. Islam, B. Brahmi, and M. H. Rahman, ‘Robustness and tracking performance evaluation of PID motion control of 7 DoF anthropomorphic exoskeleton robot assisted upper limb rehabilitation,’ Sensors, vol. 22, no. 10, article 3747, 2022. doi: 10.3390/s22103747.</w:t>
      </w:r>
    </w:p>
    <w:p>
      <w:pPr>
        <w:spacing w:after="100" w:line="276" w:lineRule="auto"/>
        <w:ind w:left="360" w:hanging="360"/>
      </w:pPr>
      <w:r>
        <w:rPr>
          <w:rFonts w:ascii="Calibri" w:hAnsi="Calibri" w:eastAsia="Microsoft JhengHei"/>
          <w:color w:val="000000"/>
          <w:sz w:val="19"/>
        </w:rPr>
        <w:t>[18] T. Song, K. Zhang, Z. Yan, Y. Li, S. Guo, and X. Li, ‘Research on upper limb motion intention classification and rehabilitation robot control based on sEMG,’ Sensors, vol. 25, no. 4, article 1057, 2025. doi: 10.3390/s25041057.（未來延伸。）</w:t>
      </w:r>
    </w:p>
    <w:p>
      <w:pPr>
        <w:spacing w:after="100" w:line="276" w:lineRule="auto"/>
        <w:ind w:left="360" w:hanging="360"/>
      </w:pPr>
      <w:r>
        <w:rPr>
          <w:rFonts w:ascii="Calibri" w:hAnsi="Calibri" w:eastAsia="Microsoft JhengHei"/>
          <w:color w:val="000000"/>
          <w:sz w:val="19"/>
        </w:rPr>
        <w:t>[19] World Health Organization, ‘Ensuring access to rehabilitation for all,’ 28 May 2024. Available: https://www.who.int/news-room/feature-stories/detail/ensuring-access-to-rehabilitation-for-all</w:t>
      </w:r>
    </w:p>
    <w:p>
      <w:pPr>
        <w:spacing w:after="100" w:line="276" w:lineRule="auto"/>
        <w:ind w:left="360" w:hanging="360"/>
      </w:pPr>
      <w:r>
        <w:rPr>
          <w:rFonts w:ascii="Calibri" w:hAnsi="Calibri" w:eastAsia="Microsoft JhengHei"/>
          <w:color w:val="000000"/>
          <w:sz w:val="19"/>
        </w:rPr>
        <w:t>[20] K. Boardsworth, U. Rashid, S. Olsen, et al., ‘Upper limb robotic rehabilitation following stroke: A systematic review and meta-analysis investigating efficacy and the influence of device features and program parameters,’ Journal of NeuroEngineering and Rehabilitation, vol. 22, article 164, 2025. doi: 10.1186/s12984-025-01662-4.</w:t>
      </w:r>
    </w:p>
    <w:p>
      <w:pPr>
        <w:spacing w:after="100" w:line="276" w:lineRule="auto"/>
        <w:ind w:left="360" w:hanging="360"/>
      </w:pPr>
      <w:r>
        <w:rPr>
          <w:rFonts w:ascii="Calibri" w:hAnsi="Calibri" w:eastAsia="Microsoft JhengHei"/>
          <w:color w:val="000000"/>
          <w:sz w:val="19"/>
        </w:rPr>
        <w:t>[21] A. U. Pehlivan, D. P. Losey, and M. K. O’Malley, ‘Minimal assist-as-needed controller for upper limb robotic rehabilitation,’ IEEE Transactions on Robotics, vol. 32, no. 1, pp. 113-124, 2016. doi: 10.1109/TRO.2015.2503726.</w:t>
      </w:r>
    </w:p>
    <w:p>
      <w:pPr>
        <w:spacing w:after="100" w:line="276" w:lineRule="auto"/>
        <w:ind w:left="360" w:hanging="360"/>
      </w:pPr>
      <w:r>
        <w:rPr>
          <w:rFonts w:ascii="Calibri" w:hAnsi="Calibri" w:eastAsia="Microsoft JhengHei"/>
          <w:color w:val="000000"/>
          <w:sz w:val="19"/>
        </w:rPr>
        <w:t>[22] V. Costa, Ó. Ramírez, A. Otero, D. Muñoz-García, S. Uribarri, and R. Raya, ‘Validity and reliability of inertial sensors for elbow and wrist range of motion assessment,’ PeerJ, vol. 8, article e9687, 2020. doi: 10.7717/peerj.9687.</w:t>
      </w:r>
    </w:p>
    <w:p>
      <w:pPr>
        <w:spacing w:after="100" w:line="276" w:lineRule="auto"/>
        <w:ind w:left="360" w:hanging="360"/>
      </w:pPr>
      <w:r>
        <w:rPr>
          <w:rFonts w:ascii="Calibri" w:hAnsi="Calibri" w:eastAsia="Microsoft JhengHei"/>
          <w:color w:val="000000"/>
          <w:sz w:val="19"/>
        </w:rPr>
        <w:t>[23] J. Kaszyński, C. Baka, M. Białecka, and P. Lubiatowski, ‘Shoulder range of motion measurement using inertial measurement unit-concurrent validity and reliability,’ Sensors, vol. 23, no. 17, article 7499, 2023. doi: 10.3390/s23177499.</w:t>
      </w:r>
    </w:p>
    <w:p>
      <w:pPr>
        <w:spacing w:after="100" w:line="276" w:lineRule="auto"/>
        <w:ind w:left="360" w:hanging="360"/>
      </w:pPr>
      <w:r>
        <w:rPr>
          <w:rFonts w:ascii="Calibri" w:hAnsi="Calibri" w:eastAsia="Microsoft JhengHei"/>
          <w:color w:val="000000"/>
          <w:sz w:val="19"/>
        </w:rPr>
        <w:t>[24] J. Han, ‘From PID to active disturbance rejection control,’ IEEE Transactions on Industrial Electronics, vol. 56, no. 3, pp. 900-906, 2009. doi: 10.1109/TIE.2008.2011621.</w:t>
      </w:r>
    </w:p>
    <w:p>
      <w:pPr>
        <w:spacing w:after="100" w:line="276" w:lineRule="auto"/>
        <w:ind w:left="360" w:hanging="360"/>
      </w:pPr>
      <w:r>
        <w:rPr>
          <w:rFonts w:ascii="Calibri" w:hAnsi="Calibri" w:eastAsia="Microsoft JhengHei"/>
          <w:color w:val="000000"/>
          <w:sz w:val="19"/>
        </w:rPr>
        <w:t>[25] D. A. Bristow, M. Tharayil, and A. G. Alleyne, ‘A survey of iterative learning control: A learning-based method for high-performance tracking control,’ IEEE Control Systems Magazine, vol. 26, no. 3, pp. 96-114, 2006. doi: 10.1109/MCS.2006.1636313.</w:t>
      </w:r>
    </w:p>
    <w:p>
      <w:pPr>
        <w:spacing w:after="100" w:line="276" w:lineRule="auto"/>
        <w:ind w:left="360" w:hanging="360"/>
      </w:pPr>
      <w:r>
        <w:rPr>
          <w:rFonts w:ascii="Calibri" w:hAnsi="Calibri" w:eastAsia="Microsoft JhengHei"/>
          <w:color w:val="000000"/>
          <w:sz w:val="19"/>
        </w:rPr>
        <w:t>[26] C. T. Freeman, A.-M. Hughes, J. H. Burridge, P. H. Chappell, P. L. Lewin, and E. Rogers, ‘Iterative learning control of FES applied to the upper extremity for rehabilitation,’ Control Engineering Practice, vol. 17, no. 3, pp. 368-381, 2009. doi: 10.1016/j.conengprac.2008.08.003.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color w:val="5E6B75"/>
        <w:sz w:val="18"/>
      </w:rPr>
      <w:t xml:space="preserve">第 </w:t>
    </w:r>
    <w:fldSimple w:instr="PAGE"/>
    <w:r>
      <w:rPr>
        <w:rFonts w:ascii="Calibri" w:hAnsi="Calibri" w:eastAsia="Microsoft JhengHei"/>
        <w:color w:val="5E6B75"/>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5E6B75"/>
        <w:sz w:val="17"/>
      </w:rPr>
      <w:t>國立成功大學生物醫學工程學系畢業專題｜上肢動作量測與按需輔助控制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JhengHei"/>
      <w:b/>
      <w:bCs/>
      <w:color w:val="5E6B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基於雙 IMU 回授與目標軌跡導引之上肢復健按需輔助控制系統設計：非臨床工程驗證</dc:title>
  <dc:subject>畢業專題正式研究計畫書</dc:subject>
  <dc:creator>[學生姓名待填]；指導教授：陳家進</dc:creator>
  <cp:keywords>上肢運動量測, 雙IMU, 個人化ROM, Assist-as-Needed, 系統識別, LADRC, ILC, 嵌入式故障反應</cp:keywords>
  <dc:description>generated by python-docx</dc:description>
  <cp:lastModifiedBy/>
  <cp:revision>1</cp:revision>
  <dcterms:created xsi:type="dcterms:W3CDTF">2013-12-23T23:15:00Z</dcterms:created>
  <dcterms:modified xsi:type="dcterms:W3CDTF">2013-12-23T23:15:00Z</dcterms:modified>
  <cp:category/>
</cp:coreProperties>
</file>