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360"/>
        <w:jc w:val="center"/>
      </w:pPr>
      <w:r>
        <w:rPr>
          <w:rFonts w:ascii="Calibri" w:hAnsi="Calibri" w:eastAsia="Microsoft JhengHei"/>
          <w:b/>
          <w:color w:val="5E6B75"/>
          <w:sz w:val="28"/>
        </w:rPr>
        <w:t>畢業專題研究計畫書</w:t>
      </w:r>
    </w:p>
    <w:p>
      <w:pPr>
        <w:spacing w:after="160"/>
        <w:jc w:val="center"/>
      </w:pPr>
      <w:r>
        <w:rPr>
          <w:rFonts w:ascii="Calibri" w:hAnsi="Calibri" w:eastAsia="Microsoft JhengHei"/>
          <w:b/>
          <w:color w:val="0B2545"/>
          <w:sz w:val="46"/>
        </w:rPr>
        <w:t>基於雙 IMU 回授與目標軌跡導引之</w:t>
        <w:br/>
        <w:t>上肢復健按需輔助控制系統設計</w:t>
      </w:r>
    </w:p>
    <w:p>
      <w:pPr>
        <w:spacing w:after="720"/>
        <w:jc w:val="center"/>
      </w:pPr>
      <w:r>
        <w:rPr>
          <w:rFonts w:ascii="Calibri" w:hAnsi="Calibri" w:eastAsia="Microsoft JhengHei"/>
          <w:i/>
          <w:color w:val="5E6B75"/>
          <w:sz w:val="24"/>
        </w:rPr>
        <w:t>Design of a Dual-IMU Feedback-Based, Trajectory-Guided</w:t>
        <w:br/>
        <w:t>Assist-as-Needed Control System for Upper-Limb Rehabilitation</w:t>
      </w:r>
    </w:p>
    <w:tbl>
      <w:tblPr>
        <w:tblStyle w:val="TableGrid"/>
        <w:tblW w:type="dxa" w:w="9360"/>
        <w:jc w:val="center"/>
        <w:tblLayout w:type="fixed"/>
        <w:tblLook w:firstColumn="1" w:firstRow="1" w:lastColumn="0" w:lastRow="0" w:noHBand="0" w:noVBand="1" w:val="04A0"/>
        <w:tblInd w:w="120" w:type="dxa"/>
      </w:tblPr>
      <w:tblGrid>
        <w:gridCol w:w="2300"/>
        <w:gridCol w:w="7060"/>
      </w:tblGrid>
      <w:tr>
        <w:trPr>
          <w:tblHeader w:val="true"/>
          <w:cantSplit/>
        </w:trPr>
        <w:tc>
          <w:tcPr>
            <w:tcW w:type="dxa" w:w="2300"/>
            <w:shd w:fill="F4F6F9"/>
            <w:tcMar>
              <w:top w:w="80" w:type="dxa"/>
              <w:start w:w="120" w:type="dxa"/>
              <w:bottom w:w="80" w:type="dxa"/>
              <w:end w:w="120" w:type="dxa"/>
            </w:tcMar>
            <w:vAlign w:val="center"/>
          </w:tcPr>
          <w:p>
            <w:pPr>
              <w:spacing w:after="0"/>
              <w:jc w:val="center"/>
            </w:pPr>
            <w:r/>
            <w:r>
              <w:rPr>
                <w:rFonts w:ascii="Calibri" w:hAnsi="Calibri" w:eastAsia="Microsoft JhengHei"/>
                <w:b/>
                <w:color w:val="0B2545"/>
                <w:sz w:val="19"/>
              </w:rPr>
              <w:t>計畫資訊</w:t>
            </w:r>
          </w:p>
        </w:tc>
        <w:tc>
          <w:tcPr>
            <w:tcW w:type="dxa" w:w="7060"/>
            <w:shd w:fill="F4F6F9"/>
            <w:tcMar>
              <w:top w:w="80" w:type="dxa"/>
              <w:start w:w="120" w:type="dxa"/>
              <w:bottom w:w="80" w:type="dxa"/>
              <w:end w:w="120" w:type="dxa"/>
            </w:tcMar>
            <w:vAlign w:val="center"/>
          </w:tcPr>
          <w:p>
            <w:pPr>
              <w:spacing w:after="0"/>
              <w:jc w:val="center"/>
            </w:pPr>
            <w:r/>
            <w:r>
              <w:rPr>
                <w:rFonts w:ascii="Calibri" w:hAnsi="Calibri" w:eastAsia="Microsoft JhengHei"/>
                <w:b/>
                <w:color w:val="0B2545"/>
                <w:sz w:val="19"/>
              </w:rPr>
              <w:t>內容</w:t>
            </w:r>
          </w:p>
        </w:tc>
      </w:tr>
      <w:tr>
        <w:trPr>
          <w:cantSplit/>
        </w:trPr>
        <w:tc>
          <w:tcPr>
            <w:tcW w:type="dxa" w:w="23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學校／系所</w:t>
            </w:r>
          </w:p>
        </w:tc>
        <w:tc>
          <w:tcPr>
            <w:tcW w:type="dxa" w:w="706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國立成功大學／生物醫學工程學系</w:t>
            </w:r>
          </w:p>
        </w:tc>
      </w:tr>
      <w:tr>
        <w:trPr>
          <w:cantSplit/>
        </w:trPr>
        <w:tc>
          <w:tcPr>
            <w:tcW w:type="dxa" w:w="23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組別／實驗室</w:t>
            </w:r>
          </w:p>
        </w:tc>
        <w:tc>
          <w:tcPr>
            <w:tcW w:type="dxa" w:w="706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醫學電子組／生醫訊號與神經工程實驗室</w:t>
            </w:r>
          </w:p>
        </w:tc>
      </w:tr>
      <w:tr>
        <w:trPr>
          <w:cantSplit/>
        </w:trPr>
        <w:tc>
          <w:tcPr>
            <w:tcW w:type="dxa" w:w="23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學生</w:t>
            </w:r>
          </w:p>
        </w:tc>
        <w:tc>
          <w:tcPr>
            <w:tcW w:type="dxa" w:w="706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[姓名、學號待填]</w:t>
            </w:r>
          </w:p>
        </w:tc>
      </w:tr>
      <w:tr>
        <w:trPr>
          <w:cantSplit/>
        </w:trPr>
        <w:tc>
          <w:tcPr>
            <w:tcW w:type="dxa" w:w="23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指導教授</w:t>
            </w:r>
          </w:p>
        </w:tc>
        <w:tc>
          <w:tcPr>
            <w:tcW w:type="dxa" w:w="706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陳家進 特聘教授</w:t>
            </w:r>
          </w:p>
        </w:tc>
      </w:tr>
      <w:tr>
        <w:trPr>
          <w:cantSplit/>
        </w:trPr>
        <w:tc>
          <w:tcPr>
            <w:tcW w:type="dxa" w:w="23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計畫版本</w:t>
            </w:r>
          </w:p>
        </w:tc>
        <w:tc>
          <w:tcPr>
            <w:tcW w:type="dxa" w:w="706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正式計畫書第四版（實作對齊修訂）</w:t>
            </w:r>
          </w:p>
        </w:tc>
      </w:tr>
      <w:tr>
        <w:trPr>
          <w:cantSplit/>
        </w:trPr>
        <w:tc>
          <w:tcPr>
            <w:tcW w:type="dxa" w:w="23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日期</w:t>
            </w:r>
          </w:p>
        </w:tc>
        <w:tc>
          <w:tcPr>
            <w:tcW w:type="dxa" w:w="706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2026 年 8 月</w:t>
            </w:r>
          </w:p>
        </w:tc>
      </w:tr>
    </w:tbl>
    <w:p>
      <w:pPr>
        <w:spacing w:after="40"/>
      </w:pPr>
    </w:p>
    <w:p>
      <w:r>
        <w:br w:type="page"/>
      </w:r>
    </w:p>
    <w:p>
      <w:pPr>
        <w:pStyle w:val="Heading1"/>
        <w:keepNext/>
      </w:pPr>
      <w:r>
        <w:t>摘要</w:t>
      </w:r>
    </w:p>
    <w:p>
      <w:pPr>
        <w:keepLines/>
      </w:pPr>
      <w:r>
        <w:rPr>
          <w:rFonts w:ascii="Calibri" w:hAnsi="Calibri" w:eastAsia="Microsoft JhengHei"/>
          <w:color w:val="000000"/>
        </w:rPr>
        <w:t>全球約有 24.1 億人罹患可能受益於復健介入的健康狀況，其中約 8,600 萬人因中風及相關功能問題具有復健需求 [1], [19]。對保有部分上肢自主動作能力者而言，固定訓練範圍難以反映個別能力差異；輔助不足可能限制動作完成率與訓練重複量，輔助過度則可能降低自主出力。2025 年納入 54 項研究、共 2,744 名中風者的統合分析顯示，裝置輔助程度為影響上肢功能結果的顯著次群組因素；其中，要求使用者主動貢獻的部分輔助模式呈現顯著效果，但該結果仍受研究異質性與輔助劑量定義不一致所限制 [20]。本研究由醫學電子與生醫訊號處理觀點出發，建立一套雙慣性量測單元（Inertial Measurement Unit, IMU）上肢運動量測、個人化活動範圍（Range of Motion, ROM）參考參數、目標軌跡導引與表現式按需輔助（performance-based Assist-as-Needed, AAN）工程雛形。系統以 Raspberry Pi 完成慣性訊號擷取、校正、感測器融合、相對肢段角度估測、個人化目標範圍映射、控制決策及資料紀錄，並由 ESP32 下位執行節點實作命令授權、通訊逾時、輸出漸變及鎖定式軟體急停狀態。現階段三路馬達已能實際輸出控制；研究將進一步以參考角度、ROM 重複性、取樣穩定性、軌跡追蹤性能、控制投入量及故障反應進行非臨床工程驗證。本研究的主要貢獻在於把『個別能力參考參數—即時運動量測—可解釋的按需介入—可追溯控制紀錄』整合於低成本平台；所得結果僅用於說明量測與控制性能，不直接推論患者主動參與程度、臨床療效或醫療級 ROM 評估效度。</w:t>
      </w:r>
    </w:p>
    <w:p>
      <w:pPr>
        <w:keepLines/>
      </w:pPr>
      <w:r>
        <w:rPr>
          <w:rFonts w:ascii="Calibri" w:hAnsi="Calibri" w:eastAsia="Microsoft JhengHei"/>
          <w:color w:val="000000"/>
        </w:rPr>
        <w:t>關鍵字：上肢運動量測、雙 IMU、個人化活動範圍、表現式按需輔助、目標軌跡追蹤、PID 控制、嵌入式故障反應</w:t>
      </w:r>
    </w:p>
    <w:p>
      <w:pPr>
        <w:pStyle w:val="Heading1"/>
        <w:keepNext/>
      </w:pPr>
      <w:r>
        <w:t>一、研究背景與動機</w:t>
      </w:r>
    </w:p>
    <w:p>
      <w:pPr>
        <w:pStyle w:val="Heading2"/>
        <w:keepNext/>
      </w:pPr>
      <w:r>
        <w:t>1.1 復健需求與上肢功能障礙</w:t>
      </w:r>
    </w:p>
    <w:p>
      <w:pPr>
        <w:keepLines/>
      </w:pPr>
      <w:r>
        <w:rPr>
          <w:rFonts w:ascii="Calibri" w:hAnsi="Calibri" w:eastAsia="Microsoft JhengHei"/>
          <w:color w:val="000000"/>
        </w:rPr>
        <w:t>人口老化、慢性疾病與神經系統損傷使復健需求持續增加。Cieza 等人依全球疾病負擔研究估計，2019 年約有 24.1 億人罹患可能受益於復健介入的健康狀況，較 1990 年增加約 63% [1]；世界衛生組織指出，其中約 8,600 萬人因中風及其相關功能問題具有復健需求，且部分地區仍存在顯著的服務缺口 [19]。中風後上肢肌力、協調與動作控制受損，可能限制進食、穿衣及其他日常活動。相關復健原則重視高重複性、任務導向及自主動作參與，因此評估系統時除動作完成與軌跡誤差外，亦應考量外部輔助的介入程度。</w:t>
      </w:r>
    </w:p>
    <w:p>
      <w:pPr>
        <w:pStyle w:val="Heading2"/>
        <w:keepNext/>
      </w:pPr>
      <w:r>
        <w:t>1.2 為什麼需要輔助復健</w:t>
      </w:r>
    </w:p>
    <w:p>
      <w:pPr>
        <w:keepLines/>
      </w:pPr>
      <w:r>
        <w:rPr>
          <w:rFonts w:ascii="Calibri" w:hAnsi="Calibri" w:eastAsia="Microsoft JhengHei"/>
          <w:color w:val="000000"/>
        </w:rPr>
        <w:t>部分患者保有運動意圖與殘餘動作能力，卻可能因肌力不足、協調異常或疲勞而無法完成預定軌跡。完全自主訓練可能限制成功動作的重複量，完全被動帶動則不要求自主動作貢獻；主動輔助訓練位於兩者之間，由使用者先產生動作，外部裝置再補足未完成部分。Kahn 等人的隨機先導研究顯示，機器人主動輔助可用於中風後上肢伸取訓練 [6]。因此，本計畫將控制目標定義為：在維持任務可完成性的同時，限制非必要的外部控制投入。</w:t>
      </w:r>
    </w:p>
    <w:p>
      <w:pPr>
        <w:keepLines/>
      </w:pPr>
      <w:r>
        <w:rPr>
          <w:rFonts w:ascii="Calibri" w:hAnsi="Calibri" w:eastAsia="Microsoft JhengHei"/>
          <w:color w:val="000000"/>
        </w:rPr>
        <w:t>機器人輔助復健具有動作重複性、參數可調性與資料可記錄性，但裝置效益仍取決於控制模式與介入劑量。2025 年統合分析納入 54 項隨機研究與 2,744 名中風者，整體上肢能力改善雖達統計顯著，效果量偏小且未於追蹤期維持。其次群組分析顯示，輔助程度與結果具有顯著關聯（p＝0.0046）；部分輔助組相較傳統復健之標準化平均差為 0.37（95% CI 0.19–0.55），全程輔助組則估計不精確且未達顯著 [20]。由於全程輔助研究數量有限且各研究對輔助量的定義不一致，本計畫僅將此結果作為控制策略設計依據，不作因果或臨床療效推論。</w:t>
      </w:r>
    </w:p>
    <w:p>
      <w:pPr>
        <w:pStyle w:val="Heading2"/>
        <w:keepNext/>
      </w:pPr>
      <w:r>
        <w:t>1.3 固定輔助的限制與按需輔助</w:t>
      </w:r>
    </w:p>
    <w:p>
      <w:pPr>
        <w:keepLines/>
      </w:pPr>
      <w:r>
        <w:rPr>
          <w:rFonts w:ascii="Calibri" w:hAnsi="Calibri" w:eastAsia="Microsoft JhengHei"/>
          <w:color w:val="000000"/>
        </w:rPr>
        <w:t>當外部輔助量不足時，使用者可能無法完成目標動作；當輔助量過高時，位置誤差雖可降低，卻可能出現自主出力下降的 motor slacking 現象。Wolbrecht 等人據此將最低必要輔助列為復健機器人控制的重要原則 [3]；Pehlivan 等人則將任務誤差與機器人輔助量共同納入最小 AAN 控制設計 [21]。因此，AAN 的工程目標並非單純最小化軌跡誤差，而是在預先定義的任務容許範圍內降低不必要的控制投入。</w:t>
      </w:r>
    </w:p>
    <w:p>
      <w:pPr>
        <w:keepLines/>
      </w:pPr>
      <w:r>
        <w:rPr>
          <w:rFonts w:ascii="Calibri" w:hAnsi="Calibri" w:eastAsia="Microsoft JhengHei"/>
          <w:color w:val="000000"/>
        </w:rPr>
        <w:t>應特別區分『軌跡追蹤表現』與『生理層級主動參與』。僅依位置誤差調節輸出時，自主出力降低可能由致動器補償，故低誤差不能直接視為高參與度 [9]。本研究未配置互動力、力矩或肌電訊號感測，因此採用『表現式 AAN』之保守定位：以死區抑制小幅誤差，並於誤差持續超過設定時間後加入積分補償；評估指標包含追蹤誤差、控制介入時間與控制輸出量。所得結果僅用以判定控制器是否依運動表現調整介入，不作神經肌肉參與程度推論。</w:t>
      </w:r>
    </w:p>
    <w:p>
      <w:pPr>
        <w:pStyle w:val="Heading2"/>
        <w:keepNext/>
      </w:pPr>
      <w:r>
        <w:t>1.4 為什麼採用雙 IMU 回授</w:t>
      </w:r>
    </w:p>
    <w:p>
      <w:pPr>
        <w:keepLines/>
      </w:pPr>
      <w:r>
        <w:rPr>
          <w:rFonts w:ascii="Calibri" w:hAnsi="Calibri" w:eastAsia="Microsoft JhengHei"/>
          <w:color w:val="000000"/>
        </w:rPr>
        <w:t>按需輔助需要即時判斷關節是否跟上目標軌跡。光學動作捕捉精度高，但設備、空間與遮蔽限制較大；機構編碼器則只反映馬達或機構位置，未必等同人體肢段姿態。IMU 具有低成本、體積小、易穿戴及不依賴外部攝影空間等特點。將兩顆 IMU 分別配置於上臂與前臂，可由相鄰肢段相對姿態估測肘關節屈伸，降低單一前臂感測器把上臂整體移動誤認為肘屈伸的問題 [10]-[13]。</w:t>
      </w:r>
    </w:p>
    <w:p>
      <w:pPr>
        <w:keepLines/>
      </w:pPr>
      <w:r>
        <w:rPr>
          <w:rFonts w:ascii="Calibri" w:hAnsi="Calibri" w:eastAsia="Microsoft JhengHei"/>
          <w:color w:val="000000"/>
        </w:rPr>
        <w:t>IMU 並非沒有誤差。陀螺儀積分會漂移，加速度計在動態加速度下會失真，感測器與肢段軸線不一致也會造成系統性偏差。相關研究顯示，功能性校正、感測器融合及運動學限制可提升肘角估測表現 [10]-[13]。因此，本研究將雙 IMU 定位為低成本即時回授方案，並規劃以量角器或編碼器作參考真值，實際驗證固定角度誤差、重複性與動態追蹤，而不直接援用他人最佳誤差作為本系統成果。</w:t>
      </w:r>
    </w:p>
    <w:p>
      <w:pPr>
        <w:pStyle w:val="Heading2"/>
        <w:keepNext/>
      </w:pPr>
      <w:r>
        <w:t>1.5 醫學電子與生醫訊號研究定位</w:t>
      </w:r>
    </w:p>
    <w:p>
      <w:pPr>
        <w:keepLines/>
      </w:pPr>
      <w:r>
        <w:rPr>
          <w:rFonts w:ascii="Calibri" w:hAnsi="Calibri" w:eastAsia="Microsoft JhengHei"/>
          <w:color w:val="000000"/>
        </w:rPr>
        <w:t>本研究所量測之 IMU 資料屬穿戴式人體運動學訊號，而非肌電、腦電等電生理訊號；其研究價值在於將感測器校正、時序取樣、雜訊抑制、姿態融合、個人化 ROM 參數衍生及閉迴路決策整合於同一醫學電子平台。現行 CSV 已保存時間戳記、處理後角度、誤差、控制器分項、三路期望／實際 PWM 與狀態欄位，但尚未逐筆保存六軸原始加速度與角速度；因此正式資料收集前將新增原始六軸欄位與校正參數版本，並把現況與預定擴充清楚分列。後續可再加入 EMG 或互動力訊號，以區分運動表現與神經肌肉參與。</w:t>
      </w:r>
    </w:p>
    <w:p>
      <w:pPr>
        <w:pStyle w:val="Heading2"/>
        <w:keepNext/>
      </w:pPr>
      <w:r>
        <w:t>1.6 研究動機總結</w:t>
      </w:r>
    </w:p>
    <w:tbl>
      <w:tblPr>
        <w:tblStyle w:val="TableGrid"/>
        <w:tblW w:type="dxa" w:w="9360"/>
        <w:jc w:val="center"/>
        <w:tblLayout w:type="fixed"/>
        <w:tblLook w:firstColumn="1" w:firstRow="1" w:lastColumn="0" w:lastRow="0" w:noHBand="0" w:noVBand="1" w:val="04A0"/>
        <w:tblInd w:w="120" w:type="dxa"/>
      </w:tblPr>
      <w:tblGrid>
        <w:gridCol w:w="9360"/>
      </w:tblGrid>
      <w:tr>
        <w:trPr>
          <w:cantSplit/>
        </w:trPr>
        <w:tc>
          <w:tcPr>
            <w:tcW w:type="dxa" w:w="9360"/>
            <w:shd w:fill="F4F6F9"/>
            <w:tcMar>
              <w:top w:w="80" w:type="dxa"/>
              <w:start w:w="120" w:type="dxa"/>
              <w:bottom w:w="80" w:type="dxa"/>
              <w:end w:w="120" w:type="dxa"/>
            </w:tcMar>
            <w:vAlign w:val="center"/>
          </w:tcPr>
          <w:p>
            <w:pPr>
              <w:spacing w:after="0"/>
            </w:pPr>
            <w:r>
              <w:rPr>
                <w:rFonts w:ascii="Calibri" w:hAnsi="Calibri" w:eastAsia="Microsoft JhengHei"/>
                <w:b/>
                <w:color w:val="0B2545"/>
              </w:rPr>
              <w:t>核心研究命題：</w:t>
            </w:r>
            <w:r>
              <w:rPr>
                <w:rFonts w:ascii="Calibri" w:hAnsi="Calibri" w:eastAsia="Microsoft JhengHei"/>
                <w:color w:val="000000"/>
              </w:rPr>
              <w:t>先以雙 IMU 建立個別使用者的 ROM 參考參數，再依該參數設定可達的訓練軌跡；在維持軌跡可接受度的前提下，以表現式控制規則降低不必要的致動輸出，並量化感測、控制與故障反應性能。</w:t>
            </w:r>
          </w:p>
        </w:tc>
      </w:tr>
    </w:tbl>
    <w:p>
      <w:pPr>
        <w:spacing w:after="40"/>
      </w:pPr>
    </w:p>
    <w:p>
      <w:pPr>
        <w:pStyle w:val="Heading1"/>
        <w:keepNext/>
      </w:pPr>
      <w:r>
        <w:t>二、相關文獻回顧</w:t>
      </w:r>
    </w:p>
    <w:p>
      <w:pPr>
        <w:pStyle w:val="Heading2"/>
        <w:keepNext/>
      </w:pPr>
      <w:r>
        <w:t>2.1 上肢機器人復健與主動輔助訓練</w:t>
      </w:r>
    </w:p>
    <w:p>
      <w:pPr>
        <w:keepLines/>
      </w:pPr>
      <w:r>
        <w:rPr>
          <w:rFonts w:ascii="Calibri" w:hAnsi="Calibri" w:eastAsia="Microsoft JhengHei"/>
          <w:color w:val="000000"/>
        </w:rPr>
        <w:t>上肢機器人可依與人體連接方式分為外骨骼型與末端牽引型。外骨骼型可直接對應人體關節，但需處理關節軸線對位、重量與安全；末端牽引型機構較簡化，但關節運動由末端約束間接形成 [4], [14]。Karadeniz 等人所開發的四自由度肩肘外骨骼展示了機構強度、安全活動範圍及 PID 位置控制的重要性 [14]，但其規模也說明完整多自由度外骨骼不適合作為本階段唯一成功條件。</w:t>
      </w:r>
    </w:p>
    <w:p>
      <w:pPr>
        <w:keepLines/>
      </w:pPr>
      <w:r>
        <w:rPr>
          <w:rFonts w:ascii="Calibri" w:hAnsi="Calibri" w:eastAsia="Microsoft JhengHei"/>
          <w:color w:val="000000"/>
        </w:rPr>
        <w:t>臨床與工程文獻顯示，主動輔助模式適合仍有部分動作能力但無法獨立完成任務者；然而輔助模式必須依功能程度選擇。Jeon 等人比較阻力與主動輔助機器訓練時發現，中度障礙受試者在阻力組的部分結果較佳 [8]，顯示輔助越多不等於效果越好。故本研究不宣稱 AAN 對所有患者皆最佳，而是把它視為可依動作表現調節輔助的工程策略。</w:t>
      </w:r>
    </w:p>
    <w:p>
      <w:pPr>
        <w:pStyle w:val="Heading2"/>
        <w:keepNext/>
      </w:pPr>
      <w:r>
        <w:t>2.2 Assist-as-Needed 控制策略</w:t>
      </w:r>
    </w:p>
    <w:p>
      <w:pPr>
        <w:keepLines/>
      </w:pPr>
      <w:r>
        <w:rPr>
          <w:rFonts w:ascii="Calibri" w:hAnsi="Calibri" w:eastAsia="Microsoft JhengHei"/>
          <w:color w:val="000000"/>
        </w:rPr>
        <w:t>AAN 方法包含阻抗／導納控制、虛擬通道、模型式能力估測、EMG 觸發與資料驅動調節等 [3]-[5]。Zhang 等人以虛擬通道讓使用者在允許區域內自由運動，偏離後才產生恢復力 [15]；另一項表現式控制研究則以追蹤誤差切換零互動、AAN 與限制區域模式 [16]。這些方法提供本研究兩項設計原則：第一，需設定不介入區域；第二，輔助強度不宜僅由單一瞬間誤差決定，應考量誤差持續時間與控制狀態。</w:t>
      </w:r>
    </w:p>
    <w:p>
      <w:pPr>
        <w:pStyle w:val="Heading2"/>
        <w:keepNext/>
      </w:pPr>
      <w:r>
        <w:t>2.3 IMU 上肢角度估測</w:t>
      </w:r>
    </w:p>
    <w:p>
      <w:pPr>
        <w:keepLines/>
      </w:pPr>
      <w:r>
        <w:rPr>
          <w:rFonts w:ascii="Calibri" w:hAnsi="Calibri" w:eastAsia="Microsoft JhengHei"/>
          <w:color w:val="000000"/>
        </w:rPr>
        <w:t>Fang 等人彙整 52 篇將上肢 IMU 資料轉換為關節角度的研究，指出 Euler 角分解、Kalman 類濾波、功能性關節軸校正及運動學限制皆被廣泛使用，且不同關節與自由度的誤差差異明顯 [10]。El-Gohary 與 McNames 以兩顆 IMU、運動學模型及 Unscented Kalman Filter 追蹤肩肘角度 [11]；Müller 等人則以自校正方法處理感測器對位，肘屈伸相對光學參考的 RMS 誤差為 2.7° [12]。Morrow 等人的研究亦顯示商用 IMU 的肘屈伸誤差會隨量測幅度改變，結果具有特定操作協定依賴性 [13]。因此，本研究必須以自身安裝與動作條件建立校正及驗證。</w:t>
      </w:r>
    </w:p>
    <w:p>
      <w:pPr>
        <w:pStyle w:val="Heading2"/>
        <w:keepNext/>
      </w:pPr>
      <w:r>
        <w:t>2.4 PID 追蹤、安全限制與本研究取捨</w:t>
      </w:r>
    </w:p>
    <w:p>
      <w:pPr>
        <w:keepLines/>
      </w:pPr>
      <w:r>
        <w:rPr>
          <w:rFonts w:ascii="Calibri" w:hAnsi="Calibri" w:eastAsia="Microsoft JhengHei"/>
          <w:color w:val="000000"/>
        </w:rPr>
        <w:t>PID 容易實作、參數意義清楚，適合建立基礎閉迴路與比較 P／PI／PID 對誤差、震盪與穩定時間的影響。復健裝置中的 PID 研究通常以超越量、上升時間、穩定時間及軌跡誤差評估 [14], [17]。然而，導數項會放大量測雜訊，積分項在輸出飽和時可能產生 windup；人體接觸系統亦不能僅由上位軟體控制器保證安全。因此，本研究使用 deadband、積分限幅、輸出飽和及漸變輸出，並由 ESP32 下位節點執行上電禁能、通訊逾時、反轉歸零與鎖定式軟體急停狀態。</w:t>
      </w:r>
    </w:p>
    <w:p>
      <w:pPr>
        <w:pStyle w:val="Heading1"/>
        <w:keepNext/>
      </w:pPr>
      <w:r>
        <w:t>三、研究缺口、問題與假設</w:t>
      </w:r>
    </w:p>
    <w:p>
      <w:pPr>
        <w:pStyle w:val="Heading2"/>
        <w:keepNext/>
      </w:pPr>
      <w:r>
        <w:t>3.1 研究缺口</w:t>
      </w:r>
    </w:p>
    <w:p>
      <w:pPr>
        <w:pStyle w:val="ListBullet"/>
      </w:pPr>
      <w:r>
        <w:rPr>
          <w:rFonts w:ascii="Calibri" w:hAnsi="Calibri" w:eastAsia="Microsoft JhengHei"/>
          <w:color w:val="000000"/>
        </w:rPr>
        <w:t>單一姿態感測器難以區分上臂整體移動與肘關節相對屈伸；雙 IMU 方案則需處理校正、濾波與安裝誤差。</w:t>
      </w:r>
    </w:p>
    <w:p>
      <w:pPr>
        <w:pStyle w:val="ListBullet"/>
      </w:pPr>
      <w:r>
        <w:rPr>
          <w:rFonts w:ascii="Calibri" w:hAnsi="Calibri" w:eastAsia="Microsoft JhengHei"/>
          <w:color w:val="000000"/>
        </w:rPr>
        <w:t>傳統位置控制追求低誤差，卻可能以持續馬達代償換取追蹤表現，無法證明使用者主動參與。</w:t>
      </w:r>
    </w:p>
    <w:p>
      <w:pPr>
        <w:pStyle w:val="ListBullet"/>
      </w:pPr>
      <w:r>
        <w:rPr>
          <w:rFonts w:ascii="Calibri" w:hAnsi="Calibri" w:eastAsia="Microsoft JhengHei"/>
          <w:color w:val="000000"/>
        </w:rPr>
        <w:t>高階 AAN 常依賴力矩感測器、EMG、精確動力學模型或高階運算，低成本雛形需要較簡潔、可解釋且可驗證的替代策略。</w:t>
      </w:r>
    </w:p>
    <w:p>
      <w:pPr>
        <w:pStyle w:val="ListBullet"/>
      </w:pPr>
      <w:r>
        <w:rPr>
          <w:rFonts w:ascii="Calibri" w:hAnsi="Calibri" w:eastAsia="Microsoft JhengHei"/>
          <w:color w:val="000000"/>
        </w:rPr>
        <w:t>不同使用者及不同訓練日的可動範圍可能不同；若以固定角度範圍產生目標軌跡，可能超出當下能力或無法形成足夠挑戰，因此需要可重複的個人化 ROM 參考參數。</w:t>
      </w:r>
    </w:p>
    <w:p>
      <w:pPr>
        <w:pStyle w:val="ListBullet"/>
      </w:pPr>
      <w:r>
        <w:rPr>
          <w:rFonts w:ascii="Calibri" w:hAnsi="Calibri" w:eastAsia="Microsoft JhengHei"/>
          <w:color w:val="000000"/>
        </w:rPr>
        <w:t>只比較 RMSE 無法證明『按需』；必須同時評估輔助啟動時機、介入時間及輸出量。</w:t>
      </w:r>
    </w:p>
    <w:p>
      <w:pPr>
        <w:pStyle w:val="ListBullet"/>
      </w:pPr>
      <w:r>
        <w:rPr>
          <w:rFonts w:ascii="Calibri" w:hAnsi="Calibri" w:eastAsia="Microsoft JhengHei"/>
          <w:color w:val="000000"/>
        </w:rPr>
        <w:t>人體接觸式致動需要多層風險控制；僅在 Raspberry Pi 程式中限制 PWM，無法涵蓋通訊中斷、控制程式失效、驅動器故障與過電流等情境。</w:t>
      </w:r>
    </w:p>
    <w:p>
      <w:pPr>
        <w:pStyle w:val="Heading2"/>
        <w:keepNext/>
      </w:pPr>
      <w:r>
        <w:t>3.2 問題定義</w:t>
      </w:r>
    </w:p>
    <w:p>
      <w:pPr>
        <w:keepLines/>
      </w:pPr>
      <w:r>
        <w:rPr>
          <w:rFonts w:ascii="Calibri" w:hAnsi="Calibri" w:eastAsia="Microsoft JhengHei"/>
          <w:color w:val="000000"/>
        </w:rPr>
        <w:t>本研究探討在未使用光學動作擷取、關節力矩感測器或完整人體動力學模型的條件下，能否以雙 IMU 建立具可接受量測誤差的上肢角度訊號，先衍生個人化 ROM 參考參數，再以該參數設定目標範圍並完成表現式 AAN 閉迴路控制。待解問題包括：（1）上臂與前臂慣性訊號之校正、融合與相對角度估測；（2）ROM 流程的軸向／方向判定、重複性與目標範圍映射；（3）取樣變異與濾波延遲對控制回授的影響；（4）雙門檻遲滯與誤差持續時間對介入的調節效果；（5）追蹤性能與控制投入量的共同量化；（6）通訊中斷、輸出反轉及軟體急停等故障狀態的可預期反應。</w:t>
      </w:r>
    </w:p>
    <w:p>
      <w:pPr>
        <w:pStyle w:val="Heading2"/>
        <w:keepNext/>
      </w:pPr>
      <w:r>
        <w:t>3.3 研究問題</w:t>
      </w:r>
    </w:p>
    <w:p>
      <w:pPr>
        <w:pStyle w:val="ListBullet"/>
      </w:pPr>
      <w:r>
        <w:rPr>
          <w:rFonts w:ascii="Calibri" w:hAnsi="Calibri" w:eastAsia="Microsoft JhengHei"/>
          <w:color w:val="000000"/>
        </w:rPr>
        <w:t>RQ1：雙 IMU 在固定角度與動態屈伸條件下，能否穩定估測單自由度肘關節角度？</w:t>
      </w:r>
    </w:p>
    <w:p>
      <w:pPr>
        <w:pStyle w:val="ListBullet"/>
      </w:pPr>
      <w:r>
        <w:rPr>
          <w:rFonts w:ascii="Calibri" w:hAnsi="Calibri" w:eastAsia="Microsoft JhengHei"/>
          <w:color w:val="000000"/>
        </w:rPr>
        <w:t>RQ2：個人化 ROM 流程能否穩定判定肘部主軸與方向，並產生具重複性的肘屈伸及肩部前舉／側舉參考參數？</w:t>
      </w:r>
    </w:p>
    <w:p>
      <w:pPr>
        <w:pStyle w:val="ListBullet"/>
      </w:pPr>
      <w:r>
        <w:rPr>
          <w:rFonts w:ascii="Calibri" w:hAnsi="Calibri" w:eastAsia="Microsoft JhengHei"/>
          <w:color w:val="000000"/>
        </w:rPr>
        <w:t>RQ3：閉迴路控制器能否使機構穩定追蹤固定與週期性目標軌跡？</w:t>
      </w:r>
    </w:p>
    <w:p>
      <w:pPr>
        <w:pStyle w:val="ListBullet"/>
      </w:pPr>
      <w:r>
        <w:rPr>
          <w:rFonts w:ascii="Calibri" w:hAnsi="Calibri" w:eastAsia="Microsoft JhengHei"/>
          <w:color w:val="000000"/>
        </w:rPr>
        <w:t>RQ4：誤差門檻與持續時間式 AAN 是否能在維持可接受追蹤性能時，降低不必要的馬達介入？</w:t>
      </w:r>
    </w:p>
    <w:p>
      <w:pPr>
        <w:pStyle w:val="ListBullet"/>
      </w:pPr>
      <w:r>
        <w:rPr>
          <w:rFonts w:ascii="Calibri" w:hAnsi="Calibri" w:eastAsia="Microsoft JhengHei"/>
          <w:color w:val="000000"/>
        </w:rPr>
        <w:t>RQ5：ESP32 下位執行節點能否在未 ARM、通訊逾時、軟體急停及方向反轉等情況下產生預期的故障反應？</w:t>
      </w:r>
    </w:p>
    <w:p>
      <w:pPr>
        <w:pStyle w:val="Heading2"/>
        <w:keepNext/>
      </w:pPr>
      <w:r>
        <w:t>3.4 工程假設與驗證命題</w:t>
      </w:r>
    </w:p>
    <w:tbl>
      <w:tblPr>
        <w:tblStyle w:val="TableGrid"/>
        <w:tblW w:type="dxa" w:w="9360"/>
        <w:jc w:val="center"/>
        <w:tblLayout w:type="fixed"/>
        <w:tblLook w:firstColumn="1" w:firstRow="1" w:lastColumn="0" w:lastRow="0" w:noHBand="0" w:noVBand="1" w:val="04A0"/>
        <w:tblInd w:w="120" w:type="dxa"/>
      </w:tblPr>
      <w:tblGrid>
        <w:gridCol w:w="900"/>
        <w:gridCol w:w="5600"/>
        <w:gridCol w:w="2860"/>
      </w:tblGrid>
      <w:tr>
        <w:trPr>
          <w:tblHeader w:val="true"/>
          <w:cantSplit/>
        </w:trPr>
        <w:tc>
          <w:tcPr>
            <w:tcW w:type="dxa" w:w="900"/>
            <w:shd w:fill="F4F6F9"/>
            <w:tcMar>
              <w:top w:w="80" w:type="dxa"/>
              <w:start w:w="120" w:type="dxa"/>
              <w:bottom w:w="80" w:type="dxa"/>
              <w:end w:w="120" w:type="dxa"/>
            </w:tcMar>
            <w:vAlign w:val="center"/>
          </w:tcPr>
          <w:p>
            <w:pPr>
              <w:spacing w:after="0"/>
              <w:jc w:val="center"/>
            </w:pPr>
            <w:r/>
            <w:r>
              <w:rPr>
                <w:rFonts w:ascii="Calibri" w:hAnsi="Calibri" w:eastAsia="Microsoft JhengHei"/>
                <w:b/>
                <w:color w:val="0B2545"/>
                <w:sz w:val="19"/>
              </w:rPr>
              <w:t>編號</w:t>
            </w:r>
          </w:p>
        </w:tc>
        <w:tc>
          <w:tcPr>
            <w:tcW w:type="dxa" w:w="5600"/>
            <w:shd w:fill="F4F6F9"/>
            <w:tcMar>
              <w:top w:w="80" w:type="dxa"/>
              <w:start w:w="120" w:type="dxa"/>
              <w:bottom w:w="80" w:type="dxa"/>
              <w:end w:w="120" w:type="dxa"/>
            </w:tcMar>
            <w:vAlign w:val="center"/>
          </w:tcPr>
          <w:p>
            <w:pPr>
              <w:spacing w:after="0"/>
              <w:jc w:val="center"/>
            </w:pPr>
            <w:r/>
            <w:r>
              <w:rPr>
                <w:rFonts w:ascii="Calibri" w:hAnsi="Calibri" w:eastAsia="Microsoft JhengHei"/>
                <w:b/>
                <w:color w:val="0B2545"/>
                <w:sz w:val="19"/>
              </w:rPr>
              <w:t>內容</w:t>
            </w:r>
          </w:p>
        </w:tc>
        <w:tc>
          <w:tcPr>
            <w:tcW w:type="dxa" w:w="2860"/>
            <w:shd w:fill="F4F6F9"/>
            <w:tcMar>
              <w:top w:w="80" w:type="dxa"/>
              <w:start w:w="120" w:type="dxa"/>
              <w:bottom w:w="80" w:type="dxa"/>
              <w:end w:w="120" w:type="dxa"/>
            </w:tcMar>
            <w:vAlign w:val="center"/>
          </w:tcPr>
          <w:p>
            <w:pPr>
              <w:spacing w:after="0"/>
              <w:jc w:val="center"/>
            </w:pPr>
            <w:r/>
            <w:r>
              <w:rPr>
                <w:rFonts w:ascii="Calibri" w:hAnsi="Calibri" w:eastAsia="Microsoft JhengHei"/>
                <w:b/>
                <w:color w:val="0B2545"/>
                <w:sz w:val="19"/>
              </w:rPr>
              <w:t>主要證據</w:t>
            </w:r>
          </w:p>
        </w:tc>
      </w:tr>
      <w:tr>
        <w:trPr>
          <w:cantSplit/>
        </w:trPr>
        <w:tc>
          <w:tcPr>
            <w:tcW w:type="dxa" w:w="9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H1</w:t>
            </w:r>
          </w:p>
        </w:tc>
        <w:tc>
          <w:tcPr>
            <w:tcW w:type="dxa" w:w="56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經校正與濾波後，雙 IMU 肘角估測之 MAE、RMSE、偏差及重複性可達預先設定的工程驗收範圍。</w:t>
            </w:r>
          </w:p>
        </w:tc>
        <w:tc>
          <w:tcPr>
            <w:tcW w:type="dxa" w:w="286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固定角度與動態角度驗證</w:t>
            </w:r>
          </w:p>
        </w:tc>
      </w:tr>
      <w:tr>
        <w:trPr>
          <w:cantSplit/>
        </w:trPr>
        <w:tc>
          <w:tcPr>
            <w:tcW w:type="dxa" w:w="9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H2</w:t>
            </w:r>
          </w:p>
        </w:tc>
        <w:tc>
          <w:tcPr>
            <w:tcW w:type="dxa" w:w="56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重複執行個人化 ROM 流程所得之軸向、方向與活動範圍差異可被量化，且其 90% 映射目標可形成一致的個別訓練參考範圍。</w:t>
            </w:r>
          </w:p>
        </w:tc>
        <w:tc>
          <w:tcPr>
            <w:tcW w:type="dxa" w:w="286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ROM 重複性與參考量測比較</w:t>
            </w:r>
          </w:p>
        </w:tc>
      </w:tr>
      <w:tr>
        <w:trPr>
          <w:cantSplit/>
        </w:trPr>
        <w:tc>
          <w:tcPr>
            <w:tcW w:type="dxa" w:w="9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H3</w:t>
            </w:r>
          </w:p>
        </w:tc>
        <w:tc>
          <w:tcPr>
            <w:tcW w:type="dxa" w:w="56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P、PI 與 PID 在軌跡誤差、相位延遲、超越量及輸出平滑度之間呈現可量化的性能取捨。</w:t>
            </w:r>
          </w:p>
        </w:tc>
        <w:tc>
          <w:tcPr>
            <w:tcW w:type="dxa" w:w="286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控制器比較實驗</w:t>
            </w:r>
          </w:p>
        </w:tc>
      </w:tr>
      <w:tr>
        <w:trPr>
          <w:cantSplit/>
        </w:trPr>
        <w:tc>
          <w:tcPr>
            <w:tcW w:type="dxa" w:w="9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H4</w:t>
            </w:r>
          </w:p>
        </w:tc>
        <w:tc>
          <w:tcPr>
            <w:tcW w:type="dxa" w:w="56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表現式 AAN 相較全程 PID 可降低平均或累積絕對控制輸出，且追蹤 RMSE 維持於預先設定的容許範圍。</w:t>
            </w:r>
          </w:p>
        </w:tc>
        <w:tc>
          <w:tcPr>
            <w:tcW w:type="dxa" w:w="286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AAN 與全程輔助比較</w:t>
            </w:r>
          </w:p>
        </w:tc>
      </w:tr>
      <w:tr>
        <w:trPr>
          <w:cantSplit/>
        </w:trPr>
        <w:tc>
          <w:tcPr>
            <w:tcW w:type="dxa" w:w="9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H5</w:t>
            </w:r>
          </w:p>
        </w:tc>
        <w:tc>
          <w:tcPr>
            <w:tcW w:type="dxa" w:w="56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下位執行節點在各項故障注入測試中能進入預定狀態，並於規定時間內使控制輸出歸零。</w:t>
            </w:r>
          </w:p>
        </w:tc>
        <w:tc>
          <w:tcPr>
            <w:tcW w:type="dxa" w:w="286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故障反應狀態機測試</w:t>
            </w:r>
          </w:p>
        </w:tc>
      </w:tr>
    </w:tbl>
    <w:p>
      <w:pPr>
        <w:spacing w:after="40"/>
      </w:pPr>
    </w:p>
    <w:p>
      <w:pPr>
        <w:pStyle w:val="Heading1"/>
        <w:keepNext/>
      </w:pPr>
      <w:r>
        <w:t>四、研究目的、範圍與成果</w:t>
      </w:r>
    </w:p>
    <w:p>
      <w:pPr>
        <w:pStyle w:val="Heading2"/>
        <w:keepNext/>
      </w:pPr>
      <w:r>
        <w:t>4.1 研究目的</w:t>
      </w:r>
    </w:p>
    <w:p>
      <w:pPr>
        <w:pStyle w:val="ListBullet"/>
      </w:pPr>
      <w:r>
        <w:rPr>
          <w:rFonts w:ascii="Calibri" w:hAnsi="Calibri" w:eastAsia="Microsoft JhengHei"/>
          <w:color w:val="000000"/>
        </w:rPr>
        <w:t>O1：建立雙 IMU 讀取、啟動零點校正、互補濾波、相對肢段角度與後端平滑流程。</w:t>
      </w:r>
    </w:p>
    <w:p>
      <w:pPr>
        <w:pStyle w:val="ListBullet"/>
      </w:pPr>
      <w:r>
        <w:rPr>
          <w:rFonts w:ascii="Calibri" w:hAnsi="Calibri" w:eastAsia="Microsoft JhengHei"/>
          <w:color w:val="000000"/>
        </w:rPr>
        <w:t>O2：建立肘屈曲、肘伸展、肩部前舉與側舉之個人化 ROM 校正流程，並將結果映射為個別訓練參考參數。</w:t>
      </w:r>
    </w:p>
    <w:p>
      <w:pPr>
        <w:pStyle w:val="ListBullet"/>
      </w:pPr>
      <w:r>
        <w:rPr>
          <w:rFonts w:ascii="Calibri" w:hAnsi="Calibri" w:eastAsia="Microsoft JhengHei"/>
          <w:color w:val="000000"/>
        </w:rPr>
        <w:t>O3：建立固定、階躍與正弦目標軌跡，以及 P／PI／PID 控制器。</w:t>
      </w:r>
    </w:p>
    <w:p>
      <w:pPr>
        <w:pStyle w:val="ListBullet"/>
      </w:pPr>
      <w:r>
        <w:rPr>
          <w:rFonts w:ascii="Calibri" w:hAnsi="Calibri" w:eastAsia="Microsoft JhengHei"/>
          <w:color w:val="000000"/>
        </w:rPr>
        <w:t>O4：將表現式 AAN 規則與底層馬達控制分層，使用 deadband、誤差持續時間及積分重置條件調節控制投入。</w:t>
      </w:r>
    </w:p>
    <w:p>
      <w:pPr>
        <w:pStyle w:val="ListBullet"/>
      </w:pPr>
      <w:r>
        <w:rPr>
          <w:rFonts w:ascii="Calibri" w:hAnsi="Calibri" w:eastAsia="Microsoft JhengHei"/>
          <w:color w:val="000000"/>
        </w:rPr>
        <w:t>O5：整合 Raspberry Pi、ESP32、BTS7960、三顆直流減速馬達、Web GUI 與 CSV 紀錄。</w:t>
      </w:r>
    </w:p>
    <w:p>
      <w:pPr>
        <w:pStyle w:val="ListBullet"/>
      </w:pPr>
      <w:r>
        <w:rPr>
          <w:rFonts w:ascii="Calibri" w:hAnsi="Calibri" w:eastAsia="Microsoft JhengHei"/>
          <w:color w:val="000000"/>
        </w:rPr>
        <w:t>O6：建立感測、控制、AAN 與故障反應機制的量化實驗，形成可重複分析之時序資料與研究圖表。</w:t>
      </w:r>
    </w:p>
    <w:p>
      <w:pPr>
        <w:pStyle w:val="Heading2"/>
        <w:keepNext/>
      </w:pPr>
      <w:r>
        <w:t>4.2 研究範圍</w:t>
      </w:r>
    </w:p>
    <w:tbl>
      <w:tblPr>
        <w:tblStyle w:val="TableGrid"/>
        <w:tblW w:type="dxa" w:w="9360"/>
        <w:jc w:val="center"/>
        <w:tblLayout w:type="fixed"/>
        <w:tblLook w:firstColumn="1" w:firstRow="1" w:lastColumn="0" w:lastRow="0" w:noHBand="0" w:noVBand="1" w:val="04A0"/>
        <w:tblInd w:w="120" w:type="dxa"/>
      </w:tblPr>
      <w:tblGrid>
        <w:gridCol w:w="1400"/>
        <w:gridCol w:w="4300"/>
        <w:gridCol w:w="3660"/>
      </w:tblGrid>
      <w:tr>
        <w:trPr>
          <w:tblHeader w:val="true"/>
          <w:cantSplit/>
        </w:trPr>
        <w:tc>
          <w:tcPr>
            <w:tcW w:type="dxa" w:w="1400"/>
            <w:shd w:fill="F4F6F9"/>
            <w:tcMar>
              <w:top w:w="80" w:type="dxa"/>
              <w:start w:w="120" w:type="dxa"/>
              <w:bottom w:w="80" w:type="dxa"/>
              <w:end w:w="120" w:type="dxa"/>
            </w:tcMar>
            <w:vAlign w:val="center"/>
          </w:tcPr>
          <w:p>
            <w:pPr>
              <w:spacing w:after="0"/>
              <w:jc w:val="center"/>
            </w:pPr>
            <w:r/>
            <w:r>
              <w:rPr>
                <w:rFonts w:ascii="Calibri" w:hAnsi="Calibri" w:eastAsia="Microsoft JhengHei"/>
                <w:b/>
                <w:color w:val="0B2545"/>
                <w:sz w:val="19"/>
              </w:rPr>
              <w:t>面向</w:t>
            </w:r>
          </w:p>
        </w:tc>
        <w:tc>
          <w:tcPr>
            <w:tcW w:type="dxa" w:w="4300"/>
            <w:shd w:fill="F4F6F9"/>
            <w:tcMar>
              <w:top w:w="80" w:type="dxa"/>
              <w:start w:w="120" w:type="dxa"/>
              <w:bottom w:w="80" w:type="dxa"/>
              <w:end w:w="120" w:type="dxa"/>
            </w:tcMar>
            <w:vAlign w:val="center"/>
          </w:tcPr>
          <w:p>
            <w:pPr>
              <w:spacing w:after="0"/>
              <w:jc w:val="center"/>
            </w:pPr>
            <w:r/>
            <w:r>
              <w:rPr>
                <w:rFonts w:ascii="Calibri" w:hAnsi="Calibri" w:eastAsia="Microsoft JhengHei"/>
                <w:b/>
                <w:color w:val="0B2545"/>
                <w:sz w:val="19"/>
              </w:rPr>
              <w:t>本研究納入</w:t>
            </w:r>
          </w:p>
        </w:tc>
        <w:tc>
          <w:tcPr>
            <w:tcW w:type="dxa" w:w="3660"/>
            <w:shd w:fill="F4F6F9"/>
            <w:tcMar>
              <w:top w:w="80" w:type="dxa"/>
              <w:start w:w="120" w:type="dxa"/>
              <w:bottom w:w="80" w:type="dxa"/>
              <w:end w:w="120" w:type="dxa"/>
            </w:tcMar>
            <w:vAlign w:val="center"/>
          </w:tcPr>
          <w:p>
            <w:pPr>
              <w:spacing w:after="0"/>
              <w:jc w:val="center"/>
            </w:pPr>
            <w:r/>
            <w:r>
              <w:rPr>
                <w:rFonts w:ascii="Calibri" w:hAnsi="Calibri" w:eastAsia="Microsoft JhengHei"/>
                <w:b/>
                <w:color w:val="0B2545"/>
                <w:sz w:val="19"/>
              </w:rPr>
              <w:t>本階段不宣稱／不納入</w:t>
            </w:r>
          </w:p>
        </w:tc>
      </w:tr>
      <w:tr>
        <w:trPr>
          <w:cantSplit/>
        </w:trPr>
        <w:tc>
          <w:tcPr>
            <w:tcW w:type="dxa" w:w="14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動作</w:t>
            </w:r>
          </w:p>
        </w:tc>
        <w:tc>
          <w:tcPr>
            <w:tcW w:type="dxa" w:w="43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肘關節屈伸為主要閉迴路驗證；ROM 模組納入肘屈／伸與肩部前舉／側舉</w:t>
            </w:r>
          </w:p>
        </w:tc>
        <w:tc>
          <w:tcPr>
            <w:tcW w:type="dxa" w:w="366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完整三維上肢運動重建</w:t>
            </w:r>
          </w:p>
        </w:tc>
      </w:tr>
      <w:tr>
        <w:trPr>
          <w:cantSplit/>
        </w:trPr>
        <w:tc>
          <w:tcPr>
            <w:tcW w:type="dxa" w:w="14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感測</w:t>
            </w:r>
          </w:p>
        </w:tc>
        <w:tc>
          <w:tcPr>
            <w:tcW w:type="dxa" w:w="43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雙 IMU 相對角度、角速度、角加速度、jerk、取樣間隔與訊號品質</w:t>
            </w:r>
          </w:p>
        </w:tc>
        <w:tc>
          <w:tcPr>
            <w:tcW w:type="dxa" w:w="366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醫療級動作捕捉精度</w:t>
            </w:r>
          </w:p>
        </w:tc>
      </w:tr>
      <w:tr>
        <w:trPr>
          <w:cantSplit/>
        </w:trPr>
        <w:tc>
          <w:tcPr>
            <w:tcW w:type="dxa" w:w="14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控制</w:t>
            </w:r>
          </w:p>
        </w:tc>
        <w:tc>
          <w:tcPr>
            <w:tcW w:type="dxa" w:w="43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P／PI／PID、誤差與時間式 AAN</w:t>
            </w:r>
          </w:p>
        </w:tc>
        <w:tc>
          <w:tcPr>
            <w:tcW w:type="dxa" w:w="366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LQR、MPC、自適應或 AI 控制作為核心</w:t>
            </w:r>
          </w:p>
        </w:tc>
      </w:tr>
      <w:tr>
        <w:trPr>
          <w:cantSplit/>
        </w:trPr>
        <w:tc>
          <w:tcPr>
            <w:tcW w:type="dxa" w:w="14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致動</w:t>
            </w:r>
          </w:p>
        </w:tc>
        <w:tc>
          <w:tcPr>
            <w:tcW w:type="dxa" w:w="43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對應肘屈曲、肘伸展與肩部輔助方向之三路致動通道</w:t>
            </w:r>
          </w:p>
        </w:tc>
        <w:tc>
          <w:tcPr>
            <w:tcW w:type="dxa" w:w="366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宣稱重現個別肌肉生物力學或完成臨床級外骨骼</w:t>
            </w:r>
          </w:p>
        </w:tc>
      </w:tr>
      <w:tr>
        <w:trPr>
          <w:cantSplit/>
        </w:trPr>
        <w:tc>
          <w:tcPr>
            <w:tcW w:type="dxa" w:w="14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驗證</w:t>
            </w:r>
          </w:p>
        </w:tc>
        <w:tc>
          <w:tcPr>
            <w:tcW w:type="dxa" w:w="43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平台、機構、ROM 參數重複性與非臨床工程測試</w:t>
            </w:r>
          </w:p>
        </w:tc>
        <w:tc>
          <w:tcPr>
            <w:tcW w:type="dxa" w:w="366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病患療效、臨床診斷或醫療級 ROM 評估</w:t>
            </w:r>
          </w:p>
        </w:tc>
      </w:tr>
      <w:tr>
        <w:trPr>
          <w:cantSplit/>
        </w:trPr>
        <w:tc>
          <w:tcPr>
            <w:tcW w:type="dxa" w:w="14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故障反應</w:t>
            </w:r>
          </w:p>
        </w:tc>
        <w:tc>
          <w:tcPr>
            <w:tcW w:type="dxa" w:w="43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軟體限幅與 ESP32 下位狀態機</w:t>
            </w:r>
          </w:p>
        </w:tc>
        <w:tc>
          <w:tcPr>
            <w:tcW w:type="dxa" w:w="366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醫療器材安全認證或完整硬體安全層</w:t>
            </w:r>
          </w:p>
        </w:tc>
      </w:tr>
    </w:tbl>
    <w:p>
      <w:pPr>
        <w:spacing w:after="40"/>
      </w:pPr>
    </w:p>
    <w:p>
      <w:pPr>
        <w:pStyle w:val="Heading1"/>
        <w:keepNext/>
      </w:pPr>
      <w:r>
        <w:t>五、系統架構與研究方法</w:t>
      </w:r>
    </w:p>
    <w:p>
      <w:pPr>
        <w:pStyle w:val="Heading2"/>
        <w:keepNext/>
      </w:pPr>
      <w:r>
        <w:t>5.1 整體架構</w:t>
      </w:r>
    </w:p>
    <w:p>
      <w:pPr>
        <w:spacing w:before="80" w:after="160"/>
        <w:jc w:val="center"/>
      </w:pPr>
      <w:r>
        <w:rPr>
          <w:rFonts w:ascii="Calibri" w:hAnsi="Calibri" w:eastAsia="Microsoft JhengHei"/>
          <w:i/>
          <w:color w:val="0B2545"/>
          <w:sz w:val="22"/>
        </w:rPr>
        <w:t>目標軌跡 → 測試機構運動 → 雙 IMU 訊號擷取與相對角度估測 → 表現式 AAN／PID → 致動通道分配 → ESP32 下位執行節點 → 馬達驅動器</w:t>
      </w:r>
    </w:p>
    <w:p>
      <w:pPr>
        <w:keepLines/>
      </w:pPr>
      <w:r>
        <w:rPr>
          <w:rFonts w:ascii="Calibri" w:hAnsi="Calibri" w:eastAsia="Microsoft JhengHei"/>
          <w:color w:val="000000"/>
        </w:rPr>
        <w:t>Raspberry Pi 為上位控制器，負責三個 TCA9548A 通道的 MPU6050 讀取，其中上臂與前臂兩顆 IMU 構成肘角核心回授；現行程式另保留第三感測通道作擴充。Web GUI 用於校正、選擇目標關節與軌跡、調整控制器參數、啟閉致動輸出、下達軟體急停命令及 CSV 紀錄。ESP32 為下位 PWM 執行與通訊故障反應節點，不負責研究層 AAN 決策，亦不取代實體硬體保護。</w:t>
      </w:r>
    </w:p>
    <w:p>
      <w:pPr>
        <w:pStyle w:val="Heading2"/>
        <w:keepNext/>
      </w:pPr>
      <w:r>
        <w:t>5.2 雙 IMU 姿態估測</w:t>
      </w:r>
    </w:p>
    <w:p>
      <w:pPr>
        <w:keepLines/>
      </w:pPr>
      <w:r>
        <w:rPr>
          <w:rFonts w:ascii="Calibri" w:hAnsi="Calibri" w:eastAsia="Microsoft JhengHei"/>
          <w:color w:val="000000"/>
        </w:rPr>
        <w:t>MPU6050 設定為 ±2 g 加速度範圍、±250°/s 角速度範圍，並啟用數位低通設定。程式啟動後進行靜態校正，取得各通道 roll／pitch 基準角與陀螺儀偏移。每次取樣先以互補濾波融合陀螺儀短期動態與加速度計長期重力方向，再扣除基準角。肘角主軸可依安裝方向選擇 roll 或 pitch。</w:t>
      </w:r>
    </w:p>
    <w:p>
      <w:pPr>
        <w:spacing w:before="80" w:after="160"/>
        <w:jc w:val="center"/>
      </w:pPr>
      <w:r>
        <w:rPr>
          <w:rFonts w:ascii="Calibri" w:hAnsi="Calibri" w:eastAsia="Microsoft JhengHei"/>
          <w:i/>
          <w:color w:val="0B2545"/>
          <w:sz w:val="22"/>
        </w:rPr>
        <w:t>θ_elbow,raw(t) = |θ_forearm(t) − θ_upper-arm(t)|</w:t>
      </w:r>
    </w:p>
    <w:p>
      <w:pPr>
        <w:spacing w:before="80" w:after="160"/>
        <w:jc w:val="center"/>
      </w:pPr>
      <w:r>
        <w:rPr>
          <w:rFonts w:ascii="Calibri" w:hAnsi="Calibri" w:eastAsia="Microsoft JhengHei"/>
          <w:i/>
          <w:color w:val="0B2545"/>
          <w:sz w:val="22"/>
        </w:rPr>
        <w:t>θ_fused(t) = α[θ_fused(t−1) + ω(t)Δt] + (1−α)θ_acc(t)</w:t>
      </w:r>
    </w:p>
    <w:p>
      <w:pPr>
        <w:keepLines/>
      </w:pPr>
      <w:r>
        <w:rPr>
          <w:rFonts w:ascii="Calibri" w:hAnsi="Calibri" w:eastAsia="Microsoft JhengHei"/>
          <w:color w:val="000000"/>
        </w:rPr>
        <w:t>現行預設 α = 0.96，肘角再以一維 Kalman 平滑。上述差角法只適用於感測器軸線一致且以單平面肘屈伸為主的條件，因此實驗必須固定安裝方向、執行零點校正，並以參考角度工具驗證；若未來進行三維動作，需改為相對旋轉矩陣或四元數方法。</w:t>
      </w:r>
    </w:p>
    <w:p>
      <w:pPr>
        <w:pStyle w:val="Heading2"/>
        <w:keepNext/>
      </w:pPr>
      <w:r>
        <w:t>5.3 個人化 ROM 參考參數</w:t>
      </w:r>
    </w:p>
    <w:p>
      <w:pPr>
        <w:keepLines/>
      </w:pPr>
      <w:r>
        <w:rPr>
          <w:rFonts w:ascii="Calibri" w:hAnsi="Calibri" w:eastAsia="Microsoft JhengHei"/>
          <w:color w:val="000000"/>
        </w:rPr>
        <w:t>ROM 模組以四個連續階段建立個別參考：肘屈曲、肘伸展、肩部前舉及肩部側舉；各階段預設執行 2 回、每回 10 s。程式依肘部動作資料判定主要旋轉軸為 roll 或 pitch，並辨識角度正負方向，再計算各動作之可達範圍。為避免直接以極限角度生成訓練軌跡，現行程式將量得範圍的 90% 映射為訓練上下限，並套用至 GUI 的肘部軸向、方向與目標範圍設定。</w:t>
      </w:r>
    </w:p>
    <w:p>
      <w:pPr>
        <w:keepLines/>
      </w:pPr>
      <w:r>
        <w:rPr>
          <w:rFonts w:ascii="Calibri" w:hAnsi="Calibri" w:eastAsia="Microsoft JhengHei"/>
          <w:color w:val="000000"/>
        </w:rPr>
        <w:t>本計畫將上述結果稱為『個人化 ROM 參考參數』：其用途是讓後續目標軌跡依個別使用者或當次工作階段的可達範圍設定，而不是診斷關節攣縮、取代臨床量角器或證明醫療級測角準確度。正式使用前需以重複量測及參考量角器比較其一致性；若未來用於病患，另須完成人體研究倫理、臨床合作、知情同意與風險控制。</w:t>
      </w:r>
    </w:p>
    <w:p>
      <w:pPr>
        <w:pStyle w:val="Heading2"/>
        <w:keepNext/>
      </w:pPr>
      <w:r>
        <w:t>5.4 目標軌跡</w:t>
      </w:r>
    </w:p>
    <w:p>
      <w:pPr>
        <w:keepLines/>
      </w:pPr>
      <w:r>
        <w:rPr>
          <w:rFonts w:ascii="Calibri" w:hAnsi="Calibri" w:eastAsia="Microsoft JhengHei"/>
          <w:color w:val="000000"/>
        </w:rPr>
        <w:t>系統提供階躍與正弦軌跡。階躍模式於低角度與高角度間切換，用於評估上升時間、超越量、穩定時間與穩態誤差；正弦模式用於模擬連續屈伸，評估 RMSE、相位延遲與平順度。</w:t>
      </w:r>
    </w:p>
    <w:p>
      <w:pPr>
        <w:spacing w:before="80" w:after="160"/>
        <w:jc w:val="center"/>
      </w:pPr>
      <w:r>
        <w:rPr>
          <w:rFonts w:ascii="Calibri" w:hAnsi="Calibri" w:eastAsia="Microsoft JhengHei"/>
          <w:i/>
          <w:color w:val="0B2545"/>
          <w:sz w:val="22"/>
        </w:rPr>
        <w:t>θ_target(t) = θ_center + A sin(2πt/T)</w:t>
      </w:r>
    </w:p>
    <w:p>
      <w:pPr>
        <w:keepLines/>
      </w:pPr>
      <w:r>
        <w:rPr>
          <w:rFonts w:ascii="Calibri" w:hAnsi="Calibri" w:eastAsia="Microsoft JhengHei"/>
          <w:color w:val="000000"/>
        </w:rPr>
        <w:t>預設測試範圍可由 30° 至 90°、週期 5 s 起始，再依平台安全範圍調整。正式實驗前需以低 PWM、無人體負載完成逐級驗證。</w:t>
      </w:r>
    </w:p>
    <w:p>
      <w:pPr>
        <w:pStyle w:val="Heading2"/>
        <w:keepNext/>
      </w:pPr>
      <w:r>
        <w:t>5.5 分層式按需輔助策略</w:t>
      </w:r>
    </w:p>
    <w:p>
      <w:pPr>
        <w:keepLines/>
      </w:pPr>
      <w:r>
        <w:rPr>
          <w:rFonts w:ascii="Calibri" w:hAnsi="Calibri" w:eastAsia="Microsoft JhengHei"/>
          <w:color w:val="000000"/>
        </w:rPr>
        <w:t>AAN 決策層先計算 e(t)=θ_target(t)−θ_measured(t)，並採雙門檻遲滯避免在死區邊界頻繁切換。現行預設啟動門檻 deadband_on 為 4°、解除門檻 deadband_off 為 2°：未介入時，|e| 超過 4°即進入控制狀態，P 與 D 立即提供修正；只有誤差持續超過 assist delay＝0.25 s 後才啟用 I 項。已介入後，誤差降至 2°以下才解除控制並釋放積分。這些數值為目前程式預設，正式比較前仍須依量測噪聲與台架結果鎖定。</w:t>
      </w:r>
    </w:p>
    <w:tbl>
      <w:tblPr>
        <w:tblStyle w:val="TableGrid"/>
        <w:tblW w:type="dxa" w:w="9360"/>
        <w:jc w:val="center"/>
        <w:tblLayout w:type="fixed"/>
        <w:tblLook w:firstColumn="1" w:firstRow="1" w:lastColumn="0" w:lastRow="0" w:noHBand="0" w:noVBand="1" w:val="04A0"/>
        <w:tblInd w:w="120" w:type="dxa"/>
      </w:tblPr>
      <w:tblGrid>
        <w:gridCol w:w="1500"/>
        <w:gridCol w:w="3300"/>
        <w:gridCol w:w="4560"/>
      </w:tblGrid>
      <w:tr>
        <w:trPr>
          <w:tblHeader w:val="true"/>
          <w:cantSplit/>
        </w:trPr>
        <w:tc>
          <w:tcPr>
            <w:tcW w:type="dxa" w:w="1500"/>
            <w:shd w:fill="F4F6F9"/>
            <w:tcMar>
              <w:top w:w="80" w:type="dxa"/>
              <w:start w:w="120" w:type="dxa"/>
              <w:bottom w:w="80" w:type="dxa"/>
              <w:end w:w="120" w:type="dxa"/>
            </w:tcMar>
            <w:vAlign w:val="center"/>
          </w:tcPr>
          <w:p>
            <w:pPr>
              <w:spacing w:after="0"/>
              <w:jc w:val="center"/>
            </w:pPr>
            <w:r/>
            <w:r>
              <w:rPr>
                <w:rFonts w:ascii="Calibri" w:hAnsi="Calibri" w:eastAsia="Microsoft JhengHei"/>
                <w:b/>
                <w:color w:val="0B2545"/>
                <w:sz w:val="19"/>
              </w:rPr>
              <w:t>狀態</w:t>
            </w:r>
          </w:p>
        </w:tc>
        <w:tc>
          <w:tcPr>
            <w:tcW w:type="dxa" w:w="3300"/>
            <w:shd w:fill="F4F6F9"/>
            <w:tcMar>
              <w:top w:w="80" w:type="dxa"/>
              <w:start w:w="120" w:type="dxa"/>
              <w:bottom w:w="80" w:type="dxa"/>
              <w:end w:w="120" w:type="dxa"/>
            </w:tcMar>
            <w:vAlign w:val="center"/>
          </w:tcPr>
          <w:p>
            <w:pPr>
              <w:spacing w:after="0"/>
              <w:jc w:val="center"/>
            </w:pPr>
            <w:r/>
            <w:r>
              <w:rPr>
                <w:rFonts w:ascii="Calibri" w:hAnsi="Calibri" w:eastAsia="Microsoft JhengHei"/>
                <w:b/>
                <w:color w:val="0B2545"/>
                <w:sz w:val="19"/>
              </w:rPr>
              <w:t>判斷</w:t>
            </w:r>
          </w:p>
        </w:tc>
        <w:tc>
          <w:tcPr>
            <w:tcW w:type="dxa" w:w="4560"/>
            <w:shd w:fill="F4F6F9"/>
            <w:tcMar>
              <w:top w:w="80" w:type="dxa"/>
              <w:start w:w="120" w:type="dxa"/>
              <w:bottom w:w="80" w:type="dxa"/>
              <w:end w:w="120" w:type="dxa"/>
            </w:tcMar>
            <w:vAlign w:val="center"/>
          </w:tcPr>
          <w:p>
            <w:pPr>
              <w:spacing w:after="0"/>
              <w:jc w:val="center"/>
            </w:pPr>
            <w:r/>
            <w:r>
              <w:rPr>
                <w:rFonts w:ascii="Calibri" w:hAnsi="Calibri" w:eastAsia="Microsoft JhengHei"/>
                <w:b/>
                <w:color w:val="0B2545"/>
                <w:sz w:val="19"/>
              </w:rPr>
              <w:t>控制行為</w:t>
            </w:r>
          </w:p>
        </w:tc>
      </w:tr>
      <w:tr>
        <w:trPr>
          <w:cantSplit/>
        </w:trPr>
        <w:tc>
          <w:tcPr>
            <w:tcW w:type="dxa" w:w="15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自主跟隨</w:t>
            </w:r>
          </w:p>
        </w:tc>
        <w:tc>
          <w:tcPr>
            <w:tcW w:type="dxa" w:w="33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未介入且 |e| ≤ 4°</w:t>
            </w:r>
          </w:p>
        </w:tc>
        <w:tc>
          <w:tcPr>
            <w:tcW w:type="dxa" w:w="456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輸出為零或最低安全輸出；積分釋放</w:t>
            </w:r>
          </w:p>
        </w:tc>
      </w:tr>
      <w:tr>
        <w:trPr>
          <w:cantSplit/>
        </w:trPr>
        <w:tc>
          <w:tcPr>
            <w:tcW w:type="dxa" w:w="15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瞬間偏差</w:t>
            </w:r>
          </w:p>
        </w:tc>
        <w:tc>
          <w:tcPr>
            <w:tcW w:type="dxa" w:w="33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|e| &gt; 4° 且持續時間 &lt; 0.25 s</w:t>
            </w:r>
          </w:p>
        </w:tc>
        <w:tc>
          <w:tcPr>
            <w:tcW w:type="dxa" w:w="456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P／D 立即修正，I 項尚未啟用</w:t>
            </w:r>
          </w:p>
        </w:tc>
      </w:tr>
      <w:tr>
        <w:trPr>
          <w:cantSplit/>
        </w:trPr>
        <w:tc>
          <w:tcPr>
            <w:tcW w:type="dxa" w:w="15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持續落後</w:t>
            </w:r>
          </w:p>
        </w:tc>
        <w:tc>
          <w:tcPr>
            <w:tcW w:type="dxa" w:w="33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|e| &gt; 4° 且持續時間 ≥ 0.25 s</w:t>
            </w:r>
          </w:p>
        </w:tc>
        <w:tc>
          <w:tcPr>
            <w:tcW w:type="dxa" w:w="456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啟用 I 項並在限幅內增加輔助</w:t>
            </w:r>
          </w:p>
        </w:tc>
      </w:tr>
      <w:tr>
        <w:trPr>
          <w:cantSplit/>
        </w:trPr>
        <w:tc>
          <w:tcPr>
            <w:tcW w:type="dxa" w:w="15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遲滯保持／解除</w:t>
            </w:r>
          </w:p>
        </w:tc>
        <w:tc>
          <w:tcPr>
            <w:tcW w:type="dxa" w:w="33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介入後 2° &lt; |e| ≤ 4°／|e| ≤ 2°</w:t>
            </w:r>
          </w:p>
        </w:tc>
        <w:tc>
          <w:tcPr>
            <w:tcW w:type="dxa" w:w="456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前者維持狀態，後者解除介入並釋放積分</w:t>
            </w:r>
          </w:p>
        </w:tc>
      </w:tr>
      <w:tr>
        <w:trPr>
          <w:cantSplit/>
        </w:trPr>
        <w:tc>
          <w:tcPr>
            <w:tcW w:type="dxa" w:w="15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危險／失效</w:t>
            </w:r>
          </w:p>
        </w:tc>
        <w:tc>
          <w:tcPr>
            <w:tcW w:type="dxa" w:w="33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急停、未啟用、通訊逾時或命令非法</w:t>
            </w:r>
          </w:p>
        </w:tc>
        <w:tc>
          <w:tcPr>
            <w:tcW w:type="dxa" w:w="456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輸出立即歸零並鎖定或回到 IDLE</w:t>
            </w:r>
          </w:p>
        </w:tc>
      </w:tr>
    </w:tbl>
    <w:p>
      <w:pPr>
        <w:spacing w:after="40"/>
      </w:pPr>
    </w:p>
    <w:p>
      <w:pPr>
        <w:keepLines/>
      </w:pPr>
      <w:r>
        <w:rPr>
          <w:rFonts w:ascii="Calibri" w:hAnsi="Calibri" w:eastAsia="Microsoft JhengHei"/>
          <w:color w:val="000000"/>
        </w:rPr>
        <w:t>本方法屬低成本、誤差表現式 AAN，不等同直接量測人體主動力矩。正式結論只能說明其能否依軌跡落後調節介入；若要證明生理層級主動參與，未來仍需 EMG、力矩或互動力感測。</w:t>
      </w:r>
    </w:p>
    <w:p>
      <w:pPr>
        <w:pStyle w:val="Heading2"/>
        <w:keepNext/>
      </w:pPr>
      <w:r>
        <w:t>5.6 PID 與輸出限制</w:t>
      </w:r>
    </w:p>
    <w:p>
      <w:pPr>
        <w:spacing w:before="80" w:after="160"/>
        <w:jc w:val="center"/>
      </w:pPr>
      <w:r>
        <w:rPr>
          <w:rFonts w:ascii="Calibri" w:hAnsi="Calibri" w:eastAsia="Microsoft JhengHei"/>
          <w:i/>
          <w:color w:val="0B2545"/>
          <w:sz w:val="22"/>
        </w:rPr>
        <w:t>u(t) = Kp e_c(t) + Ki∫e_c(t)dt + Kd de(t)/dt</w:t>
      </w:r>
    </w:p>
    <w:p>
      <w:pPr>
        <w:keepLines/>
      </w:pPr>
      <w:r>
        <w:rPr>
          <w:rFonts w:ascii="Calibri" w:hAnsi="Calibri" w:eastAsia="Microsoft JhengHei"/>
          <w:color w:val="000000"/>
        </w:rPr>
        <w:t>其中 e_c 為 deadband 處理後的控制誤差。積分值限制於 ±Imax，原始控制輸出限制於 ±umax；程式已實作輸出飽和時的條件積分 anti-windup。導數項由離散差分取得，並以時間常數 τ＝0.08 s 的一階低通濾波抑制 IMU 雜訊放大；當馬達未啟用或急停時，輸出強制為零。上述參數仍需由實際取樣間隔與台架響應驗證。</w:t>
      </w:r>
    </w:p>
    <w:p>
      <w:pPr>
        <w:pStyle w:val="Heading2"/>
        <w:keepNext/>
      </w:pPr>
      <w:r>
        <w:t>5.7 拮抗方向致動通道配置</w:t>
      </w:r>
    </w:p>
    <w:p>
      <w:pPr>
        <w:keepLines/>
      </w:pPr>
      <w:r>
        <w:rPr>
          <w:rFonts w:ascii="Calibri" w:hAnsi="Calibri" w:eastAsia="Microsoft JhengHei"/>
          <w:color w:val="000000"/>
        </w:rPr>
        <w:t>現行系統設置肘屈曲、肘伸展與肩部輔助三路致動通道；其命名僅表示作用方向，不宣稱重現二頭肌、三頭肌或三角肌的力學特性。肘屈曲命令使屈曲側收線並使伸展側釋放，肘伸展則採相反配置；拮抗側釋放比例預設為 0.8。命令端另以 τ＝0.18 s 濾波、收線 120 PWM/s、釋放 160 PWM/s 的變化率限制及 0.15 s 反轉死區降低突變；以上皆為目前程式預設，仍須配合機構調整。三路馬達現已能實際輸出控制，但本計畫之主要閉迴路量化驗證仍以單自由度肘屈伸為主。</w:t>
      </w:r>
    </w:p>
    <w:p>
      <w:pPr>
        <w:pStyle w:val="Heading2"/>
        <w:keepNext/>
      </w:pPr>
      <w:r>
        <w:t>5.8 ESP32 下位執行與故障反應節點</w:t>
      </w:r>
    </w:p>
    <w:tbl>
      <w:tblPr>
        <w:tblStyle w:val="TableGrid"/>
        <w:tblW w:type="dxa" w:w="9360"/>
        <w:jc w:val="center"/>
        <w:tblLayout w:type="fixed"/>
        <w:tblLook w:firstColumn="1" w:firstRow="1" w:lastColumn="0" w:lastRow="0" w:noHBand="0" w:noVBand="1" w:val="04A0"/>
        <w:tblInd w:w="120" w:type="dxa"/>
      </w:tblPr>
      <w:tblGrid>
        <w:gridCol w:w="1700"/>
        <w:gridCol w:w="5000"/>
        <w:gridCol w:w="2660"/>
      </w:tblGrid>
      <w:tr>
        <w:trPr>
          <w:tblHeader w:val="true"/>
          <w:cantSplit/>
        </w:trPr>
        <w:tc>
          <w:tcPr>
            <w:tcW w:type="dxa" w:w="1700"/>
            <w:shd w:fill="F4F6F9"/>
            <w:tcMar>
              <w:top w:w="80" w:type="dxa"/>
              <w:start w:w="120" w:type="dxa"/>
              <w:bottom w:w="80" w:type="dxa"/>
              <w:end w:w="120" w:type="dxa"/>
            </w:tcMar>
            <w:vAlign w:val="center"/>
          </w:tcPr>
          <w:p>
            <w:pPr>
              <w:spacing w:after="0"/>
              <w:jc w:val="center"/>
            </w:pPr>
            <w:r/>
            <w:r>
              <w:rPr>
                <w:rFonts w:ascii="Calibri" w:hAnsi="Calibri" w:eastAsia="Microsoft JhengHei"/>
                <w:b/>
                <w:color w:val="0B2545"/>
                <w:sz w:val="19"/>
              </w:rPr>
              <w:t>故障反應功能</w:t>
            </w:r>
          </w:p>
        </w:tc>
        <w:tc>
          <w:tcPr>
            <w:tcW w:type="dxa" w:w="5000"/>
            <w:shd w:fill="F4F6F9"/>
            <w:tcMar>
              <w:top w:w="80" w:type="dxa"/>
              <w:start w:w="120" w:type="dxa"/>
              <w:bottom w:w="80" w:type="dxa"/>
              <w:end w:w="120" w:type="dxa"/>
            </w:tcMar>
            <w:vAlign w:val="center"/>
          </w:tcPr>
          <w:p>
            <w:pPr>
              <w:spacing w:after="0"/>
              <w:jc w:val="center"/>
            </w:pPr>
            <w:r/>
            <w:r>
              <w:rPr>
                <w:rFonts w:ascii="Calibri" w:hAnsi="Calibri" w:eastAsia="Microsoft JhengHei"/>
                <w:b/>
                <w:color w:val="0B2545"/>
                <w:sz w:val="19"/>
              </w:rPr>
              <w:t>現行設計</w:t>
            </w:r>
          </w:p>
        </w:tc>
        <w:tc>
          <w:tcPr>
            <w:tcW w:type="dxa" w:w="2660"/>
            <w:shd w:fill="F4F6F9"/>
            <w:tcMar>
              <w:top w:w="80" w:type="dxa"/>
              <w:start w:w="120" w:type="dxa"/>
              <w:bottom w:w="80" w:type="dxa"/>
              <w:end w:w="120" w:type="dxa"/>
            </w:tcMar>
            <w:vAlign w:val="center"/>
          </w:tcPr>
          <w:p>
            <w:pPr>
              <w:spacing w:after="0"/>
              <w:jc w:val="center"/>
            </w:pPr>
            <w:r/>
            <w:r>
              <w:rPr>
                <w:rFonts w:ascii="Calibri" w:hAnsi="Calibri" w:eastAsia="Microsoft JhengHei"/>
                <w:b/>
                <w:color w:val="0B2545"/>
                <w:sz w:val="19"/>
              </w:rPr>
              <w:t>驗證方式</w:t>
            </w:r>
          </w:p>
        </w:tc>
      </w:tr>
      <w:tr>
        <w:trPr>
          <w:cantSplit/>
        </w:trPr>
        <w:tc>
          <w:tcPr>
            <w:tcW w:type="dxa" w:w="17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上電禁能</w:t>
            </w:r>
          </w:p>
        </w:tc>
        <w:tc>
          <w:tcPr>
            <w:tcW w:type="dxa" w:w="50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啟動為 IDLE，驅動器 REN／LEN 為 LOW</w:t>
            </w:r>
          </w:p>
        </w:tc>
        <w:tc>
          <w:tcPr>
            <w:tcW w:type="dxa" w:w="266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重新上電觀察輸出與狀態</w:t>
            </w:r>
          </w:p>
        </w:tc>
      </w:tr>
      <w:tr>
        <w:trPr>
          <w:cantSplit/>
        </w:trPr>
        <w:tc>
          <w:tcPr>
            <w:tcW w:type="dxa" w:w="17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命令授權</w:t>
            </w:r>
          </w:p>
        </w:tc>
        <w:tc>
          <w:tcPr>
            <w:tcW w:type="dxa" w:w="50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PWM 前必須收到 ARM</w:t>
            </w:r>
          </w:p>
        </w:tc>
        <w:tc>
          <w:tcPr>
            <w:tcW w:type="dxa" w:w="266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未 ARM 發送 PWM，應回覆 NOT_ARMED</w:t>
            </w:r>
          </w:p>
        </w:tc>
      </w:tr>
      <w:tr>
        <w:trPr>
          <w:cantSplit/>
        </w:trPr>
        <w:tc>
          <w:tcPr>
            <w:tcW w:type="dxa" w:w="17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通訊逾時</w:t>
            </w:r>
          </w:p>
        </w:tc>
        <w:tc>
          <w:tcPr>
            <w:tcW w:type="dxa" w:w="50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300 ms 未收到有效 PWM 即 TIMEOUT_STOP</w:t>
            </w:r>
          </w:p>
        </w:tc>
        <w:tc>
          <w:tcPr>
            <w:tcW w:type="dxa" w:w="266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停止送命令並量測停機反應</w:t>
            </w:r>
          </w:p>
        </w:tc>
      </w:tr>
      <w:tr>
        <w:trPr>
          <w:cantSplit/>
        </w:trPr>
        <w:tc>
          <w:tcPr>
            <w:tcW w:type="dxa" w:w="17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輸出漸變</w:t>
            </w:r>
          </w:p>
        </w:tc>
        <w:tc>
          <w:tcPr>
            <w:tcW w:type="dxa" w:w="50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每 10 ms 最多改變 5 PWM</w:t>
            </w:r>
          </w:p>
        </w:tc>
        <w:tc>
          <w:tcPr>
            <w:tcW w:type="dxa" w:w="266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記錄 target 與 applied PWM</w:t>
            </w:r>
          </w:p>
        </w:tc>
      </w:tr>
      <w:tr>
        <w:trPr>
          <w:cantSplit/>
        </w:trPr>
        <w:tc>
          <w:tcPr>
            <w:tcW w:type="dxa" w:w="17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受控反轉</w:t>
            </w:r>
          </w:p>
        </w:tc>
        <w:tc>
          <w:tcPr>
            <w:tcW w:type="dxa" w:w="50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反轉前先降至零，至少經過一個零輸出 tick</w:t>
            </w:r>
          </w:p>
        </w:tc>
        <w:tc>
          <w:tcPr>
            <w:tcW w:type="dxa" w:w="266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正負命令切換測試</w:t>
            </w:r>
          </w:p>
        </w:tc>
      </w:tr>
      <w:tr>
        <w:trPr>
          <w:cantSplit/>
        </w:trPr>
        <w:tc>
          <w:tcPr>
            <w:tcW w:type="dxa" w:w="17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鎖定式軟體急停</w:t>
            </w:r>
          </w:p>
        </w:tc>
        <w:tc>
          <w:tcPr>
            <w:tcW w:type="dxa" w:w="50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ESTOP 命令使輸出歸零，需 CLEAR 後重新 ARM</w:t>
            </w:r>
          </w:p>
        </w:tc>
        <w:tc>
          <w:tcPr>
            <w:tcW w:type="dxa" w:w="266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故障注入與狀態轉移測試</w:t>
            </w:r>
          </w:p>
        </w:tc>
      </w:tr>
      <w:tr>
        <w:trPr>
          <w:cantSplit/>
        </w:trPr>
        <w:tc>
          <w:tcPr>
            <w:tcW w:type="dxa" w:w="17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嚴格解析</w:t>
            </w:r>
          </w:p>
        </w:tc>
        <w:tc>
          <w:tcPr>
            <w:tcW w:type="dxa" w:w="50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非法格式與超範圍 PWM 不更新 timeout</w:t>
            </w:r>
          </w:p>
        </w:tc>
        <w:tc>
          <w:tcPr>
            <w:tcW w:type="dxa" w:w="266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邊界與錯誤命令測試</w:t>
            </w:r>
          </w:p>
        </w:tc>
      </w:tr>
    </w:tbl>
    <w:p>
      <w:pPr>
        <w:spacing w:after="40"/>
      </w:pPr>
    </w:p>
    <w:p>
      <w:pPr>
        <w:keepLines/>
      </w:pPr>
      <w:r>
        <w:rPr>
          <w:rFonts w:ascii="Calibri" w:hAnsi="Calibri" w:eastAsia="Microsoft JhengHei"/>
          <w:color w:val="000000"/>
        </w:rPr>
        <w:t>上述設計屬軟體與通訊層之故障反應機制，不能取代實體急停、硬體斷電、電流限制、溫度監測與機械限位。現階段編碼器功能亦於 ESP32 韌體中停用，故本計畫不將其描述為完整安全系統或醫療器材安全設計；在任何人體接觸測試前，必須先補齊硬體保護並完成風險評估。</w:t>
      </w:r>
    </w:p>
    <w:p>
      <w:pPr>
        <w:pStyle w:val="Heading2"/>
        <w:keepNext/>
      </w:pPr>
      <w:r>
        <w:t>5.9 GUI 與資料紀錄</w:t>
      </w:r>
    </w:p>
    <w:p>
      <w:pPr>
        <w:keepLines/>
      </w:pPr>
      <w:r>
        <w:rPr>
          <w:rFonts w:ascii="Calibri" w:hAnsi="Calibri" w:eastAsia="Microsoft JhengHei"/>
          <w:color w:val="000000"/>
        </w:rPr>
        <w:t>Web GUI 可執行個人化 ROM 流程，並設定目標關節、軌跡上下限、週期、控制模式、雙門檻 deadband、assist delay、輸出上限及 PID 參數；畫面顯示目標、估測角度、追蹤誤差與控制狀態。現行 CSV 記錄時間戳記、工作階段標籤、目標與估測角度、處理流程中的原始／濾波角度、誤差、PID 各項、三路期望與實際 PWM、角速度、角加速度、jerk、致動啟用與軟體急停狀態。此處的『原始角度』是角度處理階段欄位，不是 MPU6050 六軸原始資料；正式實驗前將另增 ax、ay、az、gx、gy、gz 與校正版本欄位。致動輸出採可控的啟用互鎖，實驗紀錄須保存當次部署版本與互鎖狀態。</w:t>
      </w:r>
    </w:p>
    <w:p>
      <w:pPr>
        <w:pStyle w:val="Heading1"/>
        <w:keepNext/>
      </w:pPr>
      <w:r>
        <w:t>六、實驗設計與資料分析</w:t>
      </w:r>
    </w:p>
    <w:p>
      <w:pPr>
        <w:pStyle w:val="Heading2"/>
        <w:keepNext/>
      </w:pPr>
      <w:r>
        <w:t>6.1 實驗原則</w:t>
      </w:r>
    </w:p>
    <w:p>
      <w:pPr>
        <w:keepLines/>
      </w:pPr>
      <w:r>
        <w:rPr>
          <w:rFonts w:ascii="Calibri" w:hAnsi="Calibri" w:eastAsia="Microsoft JhengHei"/>
          <w:color w:val="000000"/>
        </w:rPr>
        <w:t>測試依『感測器驗證 → ROM 參數重複性 → 無負載致動 → 閉迴路追蹤 → 表現式 AAN 比較 → 故障注入』順序進行。正式比較條件原則上至少完成 5 次獨立重複；若因硬體故障減少樣本，不以刪除異常回合方式維持表面一致性，而應記錄排除原因、呈現有效回合數並將結果定位為先導性工程資料。所有致動測試均先於固定治具、低電壓／限流及無人體負載條件下完成。</w:t>
      </w:r>
    </w:p>
    <w:p>
      <w:pPr>
        <w:pStyle w:val="Heading2"/>
        <w:keepNext/>
      </w:pPr>
      <w:r>
        <w:t>6.2 實驗一：雙 IMU 靜態角度準確度</w:t>
      </w:r>
    </w:p>
    <w:tbl>
      <w:tblPr>
        <w:tblStyle w:val="TableGrid"/>
        <w:tblW w:type="dxa" w:w="9360"/>
        <w:jc w:val="center"/>
        <w:tblLayout w:type="fixed"/>
        <w:tblLook w:firstColumn="1" w:firstRow="1" w:lastColumn="0" w:lastRow="0" w:noHBand="0" w:noVBand="1" w:val="04A0"/>
        <w:tblInd w:w="120" w:type="dxa"/>
      </w:tblPr>
      <w:tblGrid>
        <w:gridCol w:w="1800"/>
        <w:gridCol w:w="7560"/>
      </w:tblGrid>
      <w:tr>
        <w:trPr>
          <w:tblHeader w:val="true"/>
          <w:cantSplit/>
        </w:trPr>
        <w:tc>
          <w:tcPr>
            <w:tcW w:type="dxa" w:w="1800"/>
            <w:shd w:fill="F4F6F9"/>
            <w:tcMar>
              <w:top w:w="80" w:type="dxa"/>
              <w:start w:w="120" w:type="dxa"/>
              <w:bottom w:w="80" w:type="dxa"/>
              <w:end w:w="120" w:type="dxa"/>
            </w:tcMar>
            <w:vAlign w:val="center"/>
          </w:tcPr>
          <w:p>
            <w:pPr>
              <w:spacing w:after="0"/>
              <w:jc w:val="center"/>
            </w:pPr>
            <w:r/>
            <w:r>
              <w:rPr>
                <w:rFonts w:ascii="Calibri" w:hAnsi="Calibri" w:eastAsia="Microsoft JhengHei"/>
                <w:b/>
                <w:color w:val="0B2545"/>
                <w:sz w:val="19"/>
              </w:rPr>
              <w:t>項目</w:t>
            </w:r>
          </w:p>
        </w:tc>
        <w:tc>
          <w:tcPr>
            <w:tcW w:type="dxa" w:w="7560"/>
            <w:shd w:fill="F4F6F9"/>
            <w:tcMar>
              <w:top w:w="80" w:type="dxa"/>
              <w:start w:w="120" w:type="dxa"/>
              <w:bottom w:w="80" w:type="dxa"/>
              <w:end w:w="120" w:type="dxa"/>
            </w:tcMar>
            <w:vAlign w:val="center"/>
          </w:tcPr>
          <w:p>
            <w:pPr>
              <w:spacing w:after="0"/>
              <w:jc w:val="center"/>
            </w:pPr>
            <w:r/>
            <w:r>
              <w:rPr>
                <w:rFonts w:ascii="Calibri" w:hAnsi="Calibri" w:eastAsia="Microsoft JhengHei"/>
                <w:b/>
                <w:color w:val="0B2545"/>
                <w:sz w:val="19"/>
              </w:rPr>
              <w:t>設計</w:t>
            </w:r>
          </w:p>
        </w:tc>
      </w:tr>
      <w:tr>
        <w:trPr>
          <w:cantSplit/>
        </w:trPr>
        <w:tc>
          <w:tcPr>
            <w:tcW w:type="dxa" w:w="18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目的</w:t>
            </w:r>
          </w:p>
        </w:tc>
        <w:tc>
          <w:tcPr>
            <w:tcW w:type="dxa" w:w="756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驗證零點校正後固定肘角的準確度、精密度與漂移</w:t>
            </w:r>
          </w:p>
        </w:tc>
      </w:tr>
      <w:tr>
        <w:trPr>
          <w:cantSplit/>
        </w:trPr>
        <w:tc>
          <w:tcPr>
            <w:tcW w:type="dxa" w:w="18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角度</w:t>
            </w:r>
          </w:p>
        </w:tc>
        <w:tc>
          <w:tcPr>
            <w:tcW w:type="dxa" w:w="756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0°、30°、60°、90°，必要時加入 45°、75°</w:t>
            </w:r>
          </w:p>
        </w:tc>
      </w:tr>
      <w:tr>
        <w:trPr>
          <w:cantSplit/>
        </w:trPr>
        <w:tc>
          <w:tcPr>
            <w:tcW w:type="dxa" w:w="18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參考值</w:t>
            </w:r>
          </w:p>
        </w:tc>
        <w:tc>
          <w:tcPr>
            <w:tcW w:type="dxa" w:w="756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電子量角器、機構刻度或校驗後編碼器</w:t>
            </w:r>
          </w:p>
        </w:tc>
      </w:tr>
      <w:tr>
        <w:trPr>
          <w:cantSplit/>
        </w:trPr>
        <w:tc>
          <w:tcPr>
            <w:tcW w:type="dxa" w:w="18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重複</w:t>
            </w:r>
          </w:p>
        </w:tc>
        <w:tc>
          <w:tcPr>
            <w:tcW w:type="dxa" w:w="756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每角度至少 5 回，每回穩定記錄 10-30 s</w:t>
            </w:r>
          </w:p>
        </w:tc>
      </w:tr>
      <w:tr>
        <w:trPr>
          <w:cantSplit/>
        </w:trPr>
        <w:tc>
          <w:tcPr>
            <w:tcW w:type="dxa" w:w="18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指標</w:t>
            </w:r>
          </w:p>
        </w:tc>
        <w:tc>
          <w:tcPr>
            <w:tcW w:type="dxa" w:w="756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bias、MAE、RMSE、標準差、最大誤差、每分鐘漂移</w:t>
            </w:r>
          </w:p>
        </w:tc>
      </w:tr>
    </w:tbl>
    <w:p>
      <w:pPr>
        <w:spacing w:after="40"/>
      </w:pPr>
    </w:p>
    <w:p>
      <w:pPr>
        <w:pStyle w:val="Heading2"/>
        <w:keepNext/>
      </w:pPr>
      <w:r>
        <w:t>6.3 實驗二：動態角度與濾波比較</w:t>
      </w:r>
    </w:p>
    <w:p>
      <w:pPr>
        <w:keepLines/>
      </w:pPr>
      <w:r>
        <w:rPr>
          <w:rFonts w:ascii="Calibri" w:hAnsi="Calibri" w:eastAsia="Microsoft JhengHei"/>
          <w:color w:val="000000"/>
        </w:rPr>
        <w:t>以人工或機構方式進行慢速、中速與較快速屈伸，同步取得參考角度。比較原始估測、互補濾波及後端 Kalman 結果，計算 bias、MAE、RMSE、相關係數、相位差與峰值角速度差；另記錄有效取樣率、取樣間隔平均值與標準差、95 百分位取樣間隔及遺失樣本比例。若時間同步條件允許，使用 Bland-Altman 分析檢視系統性偏差與一致性界限。此實驗用於選擇正式控制回授訊號與濾波參數，並量化濾波改善與延遲之取捨。</w:t>
      </w:r>
    </w:p>
    <w:p>
      <w:pPr>
        <w:pStyle w:val="Heading2"/>
        <w:keepNext/>
      </w:pPr>
      <w:r>
        <w:t>6.4 實驗三：個人化 ROM 參數驗證</w:t>
      </w:r>
    </w:p>
    <w:p>
      <w:pPr>
        <w:keepLines/>
      </w:pPr>
      <w:r>
        <w:rPr>
          <w:rFonts w:ascii="Calibri" w:hAnsi="Calibri" w:eastAsia="Microsoft JhengHei"/>
          <w:color w:val="000000"/>
        </w:rPr>
        <w:t>依肘屈曲、肘伸展、肩部前舉及肩部側舉四階段流程，在固定感測器位置下重複執行至少 5 次；記錄主軸判定、方向符號、各動作最小／最大角度、ROM 與 90% 訓練目標。肘部結果與量角器或可追溯參考角度比較，計算 bias、MAE、重複量測標準差與變異係數；若樣本與重複次數足夠，再報告 ICC 與 95% 信賴區間。肩部資料先定位為參數一致性驗證，不宣稱完整臨床肩關節 ROM 評估。</w:t>
      </w:r>
    </w:p>
    <w:p>
      <w:pPr>
        <w:pStyle w:val="Heading2"/>
        <w:keepNext/>
      </w:pPr>
      <w:r>
        <w:t>6.5 實驗四：階躍追蹤與 P／PI／PID 比較</w:t>
      </w:r>
    </w:p>
    <w:p>
      <w:pPr>
        <w:keepLines/>
      </w:pPr>
      <w:r>
        <w:rPr>
          <w:rFonts w:ascii="Calibri" w:hAnsi="Calibri" w:eastAsia="Microsoft JhengHei"/>
          <w:color w:val="000000"/>
        </w:rPr>
        <w:t>在相同負載、相同角度範圍與輸出限制下，比較 P、PI、PID。每組參數至少重複 5 次，記錄上升時間、超越量、穩定時間、穩態誤差、RMSE、峰值 PWM 與震盪次數。PID 參數採逐步調整並保留每次設定，避免只呈現最佳結果。</w:t>
      </w:r>
    </w:p>
    <w:p>
      <w:pPr>
        <w:pStyle w:val="Heading2"/>
        <w:keepNext/>
      </w:pPr>
      <w:r>
        <w:t>6.6 實驗五：週期性軌跡追蹤</w:t>
      </w:r>
    </w:p>
    <w:p>
      <w:pPr>
        <w:keepLines/>
      </w:pPr>
      <w:r>
        <w:rPr>
          <w:rFonts w:ascii="Calibri" w:hAnsi="Calibri" w:eastAsia="Microsoft JhengHei"/>
          <w:color w:val="000000"/>
        </w:rPr>
        <w:t>以 30°-90° 正弦軌跡為起始條件，測試不同週期與負載。主要指標為 RMSE、MAE、phase lag、相關係數、峰值誤差、jerk 及平均／峰值 PWM。固定角度指標如 settling time 不直接套用於連續週期軌跡。</w:t>
      </w:r>
    </w:p>
    <w:p>
      <w:pPr>
        <w:pStyle w:val="Heading2"/>
        <w:keepNext/>
      </w:pPr>
      <w:r>
        <w:t>6.7 實驗六：按需輔助有效性</w:t>
      </w:r>
    </w:p>
    <w:tbl>
      <w:tblPr>
        <w:tblStyle w:val="TableGrid"/>
        <w:tblW w:type="dxa" w:w="9360"/>
        <w:jc w:val="center"/>
        <w:tblLayout w:type="fixed"/>
        <w:tblLook w:firstColumn="1" w:firstRow="1" w:lastColumn="0" w:lastRow="0" w:noHBand="0" w:noVBand="1" w:val="04A0"/>
        <w:tblInd w:w="120" w:type="dxa"/>
      </w:tblPr>
      <w:tblGrid>
        <w:gridCol w:w="1600"/>
        <w:gridCol w:w="4300"/>
        <w:gridCol w:w="3460"/>
      </w:tblGrid>
      <w:tr>
        <w:trPr>
          <w:tblHeader w:val="true"/>
          <w:cantSplit/>
        </w:trPr>
        <w:tc>
          <w:tcPr>
            <w:tcW w:type="dxa" w:w="1600"/>
            <w:shd w:fill="F4F6F9"/>
            <w:tcMar>
              <w:top w:w="80" w:type="dxa"/>
              <w:start w:w="120" w:type="dxa"/>
              <w:bottom w:w="80" w:type="dxa"/>
              <w:end w:w="120" w:type="dxa"/>
            </w:tcMar>
            <w:vAlign w:val="center"/>
          </w:tcPr>
          <w:p>
            <w:pPr>
              <w:spacing w:after="0"/>
              <w:jc w:val="center"/>
            </w:pPr>
            <w:r/>
            <w:r>
              <w:rPr>
                <w:rFonts w:ascii="Calibri" w:hAnsi="Calibri" w:eastAsia="Microsoft JhengHei"/>
                <w:b/>
                <w:color w:val="0B2545"/>
                <w:sz w:val="19"/>
              </w:rPr>
              <w:t>比較模式</w:t>
            </w:r>
          </w:p>
        </w:tc>
        <w:tc>
          <w:tcPr>
            <w:tcW w:type="dxa" w:w="4300"/>
            <w:shd w:fill="F4F6F9"/>
            <w:tcMar>
              <w:top w:w="80" w:type="dxa"/>
              <w:start w:w="120" w:type="dxa"/>
              <w:bottom w:w="80" w:type="dxa"/>
              <w:end w:w="120" w:type="dxa"/>
            </w:tcMar>
            <w:vAlign w:val="center"/>
          </w:tcPr>
          <w:p>
            <w:pPr>
              <w:spacing w:after="0"/>
              <w:jc w:val="center"/>
            </w:pPr>
            <w:r/>
            <w:r>
              <w:rPr>
                <w:rFonts w:ascii="Calibri" w:hAnsi="Calibri" w:eastAsia="Microsoft JhengHei"/>
                <w:b/>
                <w:color w:val="0B2545"/>
                <w:sz w:val="19"/>
              </w:rPr>
              <w:t>說明</w:t>
            </w:r>
          </w:p>
        </w:tc>
        <w:tc>
          <w:tcPr>
            <w:tcW w:type="dxa" w:w="3460"/>
            <w:shd w:fill="F4F6F9"/>
            <w:tcMar>
              <w:top w:w="80" w:type="dxa"/>
              <w:start w:w="120" w:type="dxa"/>
              <w:bottom w:w="80" w:type="dxa"/>
              <w:end w:w="120" w:type="dxa"/>
            </w:tcMar>
            <w:vAlign w:val="center"/>
          </w:tcPr>
          <w:p>
            <w:pPr>
              <w:spacing w:after="0"/>
              <w:jc w:val="center"/>
            </w:pPr>
            <w:r/>
            <w:r>
              <w:rPr>
                <w:rFonts w:ascii="Calibri" w:hAnsi="Calibri" w:eastAsia="Microsoft JhengHei"/>
                <w:b/>
                <w:color w:val="0B2545"/>
                <w:sz w:val="19"/>
              </w:rPr>
              <w:t>目的</w:t>
            </w:r>
          </w:p>
        </w:tc>
      </w:tr>
      <w:tr>
        <w:trPr>
          <w:cantSplit/>
        </w:trPr>
        <w:tc>
          <w:tcPr>
            <w:tcW w:type="dxa" w:w="16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無輔助</w:t>
            </w:r>
          </w:p>
        </w:tc>
        <w:tc>
          <w:tcPr>
            <w:tcW w:type="dxa" w:w="43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只量測，不輸出馬達</w:t>
            </w:r>
          </w:p>
        </w:tc>
        <w:tc>
          <w:tcPr>
            <w:tcW w:type="dxa" w:w="346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取得自主／外加擾動基準</w:t>
            </w:r>
          </w:p>
        </w:tc>
      </w:tr>
      <w:tr>
        <w:trPr>
          <w:cantSplit/>
        </w:trPr>
        <w:tc>
          <w:tcPr>
            <w:tcW w:type="dxa" w:w="16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全程 PID</w:t>
            </w:r>
          </w:p>
        </w:tc>
        <w:tc>
          <w:tcPr>
            <w:tcW w:type="dxa" w:w="43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誤差存在即完整介入</w:t>
            </w:r>
          </w:p>
        </w:tc>
        <w:tc>
          <w:tcPr>
            <w:tcW w:type="dxa" w:w="346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代表固定軌跡輔助</w:t>
            </w:r>
          </w:p>
        </w:tc>
      </w:tr>
      <w:tr>
        <w:trPr>
          <w:cantSplit/>
        </w:trPr>
        <w:tc>
          <w:tcPr>
            <w:tcW w:type="dxa" w:w="16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AAN</w:t>
            </w:r>
          </w:p>
        </w:tc>
        <w:tc>
          <w:tcPr>
            <w:tcW w:type="dxa" w:w="43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4° 啟動／2° 解除＋延遲積分</w:t>
            </w:r>
          </w:p>
        </w:tc>
        <w:tc>
          <w:tcPr>
            <w:tcW w:type="dxa" w:w="346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檢驗減少不必要輔助</w:t>
            </w:r>
          </w:p>
        </w:tc>
      </w:tr>
    </w:tbl>
    <w:p>
      <w:pPr>
        <w:spacing w:after="40"/>
      </w:pPr>
    </w:p>
    <w:p>
      <w:pPr>
        <w:keepLines/>
      </w:pPr>
      <w:r>
        <w:rPr>
          <w:rFonts w:ascii="Calibri" w:hAnsi="Calibri" w:eastAsia="Microsoft JhengHei"/>
          <w:color w:val="000000"/>
        </w:rPr>
        <w:t>本階段以可重複之外力、配重或軟體誤差注入建立可跟隨、短暫偏差與持續偏差三類測試條件，不以人體主動能力作為未經驗證的替代模型。主要比較 RMSE、完成率、控制作用時間比例、平均絕對 PWM、峰值 PWM 與介入延遲。表現式 AAN 的工程驗收重點，是在追蹤誤差不超過預先設定的容許劣化範圍時降低控制投入；若重複數不足，僅報告差值與效果量，不使用『顯著降低』等統計推論措辭。</w:t>
      </w:r>
    </w:p>
    <w:p>
      <w:pPr>
        <w:pStyle w:val="Heading2"/>
        <w:keepNext/>
      </w:pPr>
      <w:r>
        <w:t>6.8 實驗七：下位節點故障反應</w:t>
      </w:r>
    </w:p>
    <w:p>
      <w:pPr>
        <w:keepLines/>
      </w:pPr>
      <w:r>
        <w:rPr>
          <w:rFonts w:ascii="Calibri" w:hAnsi="Calibri" w:eastAsia="Microsoft JhengHei"/>
          <w:color w:val="000000"/>
        </w:rPr>
        <w:t>依序測試未 ARM 命令、正常 ARM、300 ms 逾時、STOP、ESTOP、CLEAR、非法 PWM、超範圍 PWM 及正負方向反轉。每個事件記錄命令時間、狀態回覆、目標 PWM、實際 PWM 與歸零時間。所有故障注入均在無人體負載及低電源限制下執行。</w:t>
      </w:r>
    </w:p>
    <w:p>
      <w:pPr>
        <w:pStyle w:val="Heading2"/>
        <w:keepNext/>
      </w:pPr>
      <w:r>
        <w:t>6.9 統計與訊號分析原則</w:t>
      </w:r>
    </w:p>
    <w:p>
      <w:pPr>
        <w:keepLines/>
      </w:pPr>
      <w:r>
        <w:rPr>
          <w:rFonts w:ascii="Calibri" w:hAnsi="Calibri" w:eastAsia="Microsoft JhengHei"/>
          <w:color w:val="000000"/>
        </w:rPr>
        <w:t>連續型指標以平均值、標準差、中位數與範圍呈現，並保留逐回合資料點。ROM 先檢查軸向與方向判定一致率，再分析角度範圍的偏差、MAE 與重複性；感測器與控制模式之成對比較，在重複數足夠且分布假設合理時採成對檢定並報告 95% 信賴區間與效果量。若樣本數不足，則以描述統計與個別試次曲線為主，不以顯著性檢定支持廣泛推論。所有濾波、排除與時間窗規則應於分析前固定；六軸原始資料欄位完成後，原始資料、處理後資料及參數設定分開保存，以確保分析可追溯。</w:t>
      </w:r>
    </w:p>
    <w:p>
      <w:pPr>
        <w:pStyle w:val="Heading2"/>
        <w:keepNext/>
      </w:pPr>
      <w:r>
        <w:t>6.10 指標與公式</w:t>
      </w:r>
    </w:p>
    <w:p>
      <w:pPr>
        <w:spacing w:before="80" w:after="160"/>
        <w:jc w:val="center"/>
      </w:pPr>
      <w:r>
        <w:rPr>
          <w:rFonts w:ascii="Calibri" w:hAnsi="Calibri" w:eastAsia="Microsoft JhengHei"/>
          <w:i/>
          <w:color w:val="0B2545"/>
          <w:sz w:val="22"/>
        </w:rPr>
        <w:t>MAE = (1/N) Σ |θ_ref,i − θ_meas,i|</w:t>
      </w:r>
    </w:p>
    <w:p>
      <w:pPr>
        <w:spacing w:before="80" w:after="160"/>
        <w:jc w:val="center"/>
      </w:pPr>
      <w:r>
        <w:rPr>
          <w:rFonts w:ascii="Calibri" w:hAnsi="Calibri" w:eastAsia="Microsoft JhengHei"/>
          <w:i/>
          <w:color w:val="0B2545"/>
          <w:sz w:val="22"/>
        </w:rPr>
        <w:t>RMSE = √[(1/N) Σ (θ_target,i − θ_measured,i)²]</w:t>
      </w:r>
    </w:p>
    <w:p>
      <w:pPr>
        <w:spacing w:before="80" w:after="160"/>
        <w:jc w:val="center"/>
      </w:pPr>
      <w:r>
        <w:rPr>
          <w:rFonts w:ascii="Calibri" w:hAnsi="Calibri" w:eastAsia="Microsoft JhengHei"/>
          <w:i/>
          <w:color w:val="0B2545"/>
          <w:sz w:val="22"/>
        </w:rPr>
        <w:t>控制作用時間比例 = N(|PWM| &gt; 0) / N_total × 100%</w:t>
      </w:r>
    </w:p>
    <w:p>
      <w:pPr>
        <w:spacing w:before="80" w:after="160"/>
        <w:jc w:val="center"/>
      </w:pPr>
      <w:r>
        <w:rPr>
          <w:rFonts w:ascii="Calibri" w:hAnsi="Calibri" w:eastAsia="Microsoft JhengHei"/>
          <w:i/>
          <w:color w:val="0B2545"/>
          <w:sz w:val="22"/>
        </w:rPr>
        <w:t>平均絕對控制輸出 = (1/N) Σ |PWM_i|</w:t>
      </w:r>
    </w:p>
    <w:p>
      <w:pPr>
        <w:spacing w:before="80" w:after="160"/>
        <w:jc w:val="center"/>
      </w:pPr>
      <w:r>
        <w:rPr>
          <w:rFonts w:ascii="Calibri" w:hAnsi="Calibri" w:eastAsia="Microsoft JhengHei"/>
          <w:i/>
          <w:color w:val="0B2545"/>
          <w:sz w:val="22"/>
        </w:rPr>
        <w:t>累積絕對控制輸出 = Σ |PWM_i| Δt_i</w:t>
      </w:r>
    </w:p>
    <w:p>
      <w:pPr>
        <w:keepLines/>
      </w:pPr>
      <w:r>
        <w:rPr>
          <w:rFonts w:ascii="Calibri" w:hAnsi="Calibri" w:eastAsia="Microsoft JhengHei"/>
          <w:color w:val="000000"/>
        </w:rPr>
        <w:t>phase lag 以目標與量測訊號的互相關或同頻相位差估計；jerk 由角加速度的一階差分取得，但需固定取樣頻率並先處理雜訊。所有結果呈現平均值、標準差與各次試驗散布，不只報告單一最佳曲線。</w:t>
      </w:r>
    </w:p>
    <w:p>
      <w:pPr>
        <w:pStyle w:val="Heading2"/>
        <w:keepNext/>
      </w:pPr>
      <w:r>
        <w:t>6.11 預定成功標準</w:t>
      </w:r>
    </w:p>
    <w:tbl>
      <w:tblPr>
        <w:tblStyle w:val="TableGrid"/>
        <w:tblW w:type="dxa" w:w="9360"/>
        <w:jc w:val="center"/>
        <w:tblLayout w:type="fixed"/>
        <w:tblLook w:firstColumn="1" w:firstRow="1" w:lastColumn="0" w:lastRow="0" w:noHBand="0" w:noVBand="1" w:val="04A0"/>
        <w:tblInd w:w="120" w:type="dxa"/>
      </w:tblPr>
      <w:tblGrid>
        <w:gridCol w:w="1800"/>
        <w:gridCol w:w="5200"/>
        <w:gridCol w:w="2360"/>
      </w:tblGrid>
      <w:tr>
        <w:trPr>
          <w:tblHeader w:val="true"/>
          <w:cantSplit/>
        </w:trPr>
        <w:tc>
          <w:tcPr>
            <w:tcW w:type="dxa" w:w="1800"/>
            <w:shd w:fill="F4F6F9"/>
            <w:tcMar>
              <w:top w:w="80" w:type="dxa"/>
              <w:start w:w="120" w:type="dxa"/>
              <w:bottom w:w="80" w:type="dxa"/>
              <w:end w:w="120" w:type="dxa"/>
            </w:tcMar>
            <w:vAlign w:val="center"/>
          </w:tcPr>
          <w:p>
            <w:pPr>
              <w:spacing w:after="0"/>
              <w:jc w:val="center"/>
            </w:pPr>
            <w:r/>
            <w:r>
              <w:rPr>
                <w:rFonts w:ascii="Calibri" w:hAnsi="Calibri" w:eastAsia="Microsoft JhengHei"/>
                <w:b/>
                <w:color w:val="0B2545"/>
                <w:sz w:val="19"/>
              </w:rPr>
              <w:t>驗證面向</w:t>
            </w:r>
          </w:p>
        </w:tc>
        <w:tc>
          <w:tcPr>
            <w:tcW w:type="dxa" w:w="5200"/>
            <w:shd w:fill="F4F6F9"/>
            <w:tcMar>
              <w:top w:w="80" w:type="dxa"/>
              <w:start w:w="120" w:type="dxa"/>
              <w:bottom w:w="80" w:type="dxa"/>
              <w:end w:w="120" w:type="dxa"/>
            </w:tcMar>
            <w:vAlign w:val="center"/>
          </w:tcPr>
          <w:p>
            <w:pPr>
              <w:spacing w:after="0"/>
              <w:jc w:val="center"/>
            </w:pPr>
            <w:r/>
            <w:r>
              <w:rPr>
                <w:rFonts w:ascii="Calibri" w:hAnsi="Calibri" w:eastAsia="Microsoft JhengHei"/>
                <w:b/>
                <w:color w:val="0B2545"/>
                <w:sz w:val="19"/>
              </w:rPr>
              <w:t>暫定工程驗收標準</w:t>
            </w:r>
          </w:p>
        </w:tc>
        <w:tc>
          <w:tcPr>
            <w:tcW w:type="dxa" w:w="2360"/>
            <w:shd w:fill="F4F6F9"/>
            <w:tcMar>
              <w:top w:w="80" w:type="dxa"/>
              <w:start w:w="120" w:type="dxa"/>
              <w:bottom w:w="80" w:type="dxa"/>
              <w:end w:w="120" w:type="dxa"/>
            </w:tcMar>
            <w:vAlign w:val="center"/>
          </w:tcPr>
          <w:p>
            <w:pPr>
              <w:spacing w:after="0"/>
              <w:jc w:val="center"/>
            </w:pPr>
            <w:r/>
            <w:r>
              <w:rPr>
                <w:rFonts w:ascii="Calibri" w:hAnsi="Calibri" w:eastAsia="Microsoft JhengHei"/>
                <w:b/>
                <w:color w:val="0B2545"/>
                <w:sz w:val="19"/>
              </w:rPr>
              <w:t>備註</w:t>
            </w:r>
          </w:p>
        </w:tc>
      </w:tr>
      <w:tr>
        <w:trPr>
          <w:cantSplit/>
        </w:trPr>
        <w:tc>
          <w:tcPr>
            <w:tcW w:type="dxa" w:w="18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靜態肘角</w:t>
            </w:r>
          </w:p>
        </w:tc>
        <w:tc>
          <w:tcPr>
            <w:tcW w:type="dxa" w:w="52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MAE ≤ 5°，單次穩定段 SD ≤ 2°</w:t>
            </w:r>
          </w:p>
        </w:tc>
        <w:tc>
          <w:tcPr>
            <w:tcW w:type="dxa" w:w="236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依初測與參考工具精度修訂</w:t>
            </w:r>
          </w:p>
        </w:tc>
      </w:tr>
      <w:tr>
        <w:trPr>
          <w:cantSplit/>
        </w:trPr>
        <w:tc>
          <w:tcPr>
            <w:tcW w:type="dxa" w:w="18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ROM 參考參數</w:t>
            </w:r>
          </w:p>
        </w:tc>
        <w:tc>
          <w:tcPr>
            <w:tcW w:type="dxa" w:w="52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軸向／方向判定一致，重複量測差異與參考量測偏差可量化</w:t>
            </w:r>
          </w:p>
        </w:tc>
        <w:tc>
          <w:tcPr>
            <w:tcW w:type="dxa" w:w="236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門檻由先導試驗與參考工具精度決定後鎖定</w:t>
            </w:r>
          </w:p>
        </w:tc>
      </w:tr>
      <w:tr>
        <w:trPr>
          <w:cantSplit/>
        </w:trPr>
        <w:tc>
          <w:tcPr>
            <w:tcW w:type="dxa" w:w="18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階躍追蹤</w:t>
            </w:r>
          </w:p>
        </w:tc>
        <w:tc>
          <w:tcPr>
            <w:tcW w:type="dxa" w:w="52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無持續震盪；超越量與穩定時間可重複量測</w:t>
            </w:r>
          </w:p>
        </w:tc>
        <w:tc>
          <w:tcPr>
            <w:tcW w:type="dxa" w:w="236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不先承諾不切實際的 0% overshoot</w:t>
            </w:r>
          </w:p>
        </w:tc>
      </w:tr>
      <w:tr>
        <w:trPr>
          <w:cantSplit/>
        </w:trPr>
        <w:tc>
          <w:tcPr>
            <w:tcW w:type="dxa" w:w="18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週期追蹤</w:t>
            </w:r>
          </w:p>
        </w:tc>
        <w:tc>
          <w:tcPr>
            <w:tcW w:type="dxa" w:w="52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RMSE ≤ 10° 且曲線無失控</w:t>
            </w:r>
          </w:p>
        </w:tc>
        <w:tc>
          <w:tcPr>
            <w:tcW w:type="dxa" w:w="236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依負載與週期分層報告</w:t>
            </w:r>
          </w:p>
        </w:tc>
      </w:tr>
      <w:tr>
        <w:trPr>
          <w:cantSplit/>
        </w:trPr>
        <w:tc>
          <w:tcPr>
            <w:tcW w:type="dxa" w:w="18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表現式 AAN</w:t>
            </w:r>
          </w:p>
        </w:tc>
        <w:tc>
          <w:tcPr>
            <w:tcW w:type="dxa" w:w="52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相較全程 PID，平均或累積絕對 PWM 下降，且 RMSE 增幅不超過預設容許值</w:t>
            </w:r>
          </w:p>
        </w:tc>
        <w:tc>
          <w:tcPr>
            <w:tcW w:type="dxa" w:w="236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數值門檻由先導試驗決定，並於正式比較前鎖定</w:t>
            </w:r>
          </w:p>
        </w:tc>
      </w:tr>
      <w:tr>
        <w:trPr>
          <w:cantSplit/>
        </w:trPr>
        <w:tc>
          <w:tcPr>
            <w:tcW w:type="dxa" w:w="18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故障反應</w:t>
            </w:r>
          </w:p>
        </w:tc>
        <w:tc>
          <w:tcPr>
            <w:tcW w:type="dxa" w:w="52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各故障測試均進入預定狀態，輸出歸零且軟體 ESTOP 狀態可鎖定</w:t>
            </w:r>
          </w:p>
        </w:tc>
        <w:tc>
          <w:tcPr>
            <w:tcW w:type="dxa" w:w="236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另記錄反應時間；不等同醫療器材安全驗證</w:t>
            </w:r>
          </w:p>
        </w:tc>
      </w:tr>
    </w:tbl>
    <w:p>
      <w:pPr>
        <w:spacing w:after="40"/>
      </w:pPr>
    </w:p>
    <w:p>
      <w:pPr>
        <w:pStyle w:val="Heading1"/>
        <w:keepNext/>
      </w:pPr>
      <w:r>
        <w:t>七、目前進度</w:t>
      </w:r>
    </w:p>
    <w:tbl>
      <w:tblPr>
        <w:tblStyle w:val="TableGrid"/>
        <w:tblW w:type="dxa" w:w="9360"/>
        <w:jc w:val="center"/>
        <w:tblLayout w:type="fixed"/>
        <w:tblLook w:firstColumn="1" w:firstRow="1" w:lastColumn="0" w:lastRow="0" w:noHBand="0" w:noVBand="1" w:val="04A0"/>
        <w:tblInd w:w="120" w:type="dxa"/>
      </w:tblPr>
      <w:tblGrid>
        <w:gridCol w:w="1800"/>
        <w:gridCol w:w="2200"/>
        <w:gridCol w:w="5360"/>
      </w:tblGrid>
      <w:tr>
        <w:trPr>
          <w:tblHeader w:val="true"/>
          <w:cantSplit/>
        </w:trPr>
        <w:tc>
          <w:tcPr>
            <w:tcW w:type="dxa" w:w="1800"/>
            <w:shd w:fill="F4F6F9"/>
            <w:tcMar>
              <w:top w:w="80" w:type="dxa"/>
              <w:start w:w="120" w:type="dxa"/>
              <w:bottom w:w="80" w:type="dxa"/>
              <w:end w:w="120" w:type="dxa"/>
            </w:tcMar>
            <w:vAlign w:val="center"/>
          </w:tcPr>
          <w:p>
            <w:pPr>
              <w:spacing w:after="0"/>
              <w:jc w:val="center"/>
            </w:pPr>
            <w:r/>
            <w:r>
              <w:rPr>
                <w:rFonts w:ascii="Calibri" w:hAnsi="Calibri" w:eastAsia="Microsoft JhengHei"/>
                <w:b/>
                <w:color w:val="0B2545"/>
                <w:sz w:val="19"/>
              </w:rPr>
              <w:t>模組</w:t>
            </w:r>
          </w:p>
        </w:tc>
        <w:tc>
          <w:tcPr>
            <w:tcW w:type="dxa" w:w="2200"/>
            <w:shd w:fill="F4F6F9"/>
            <w:tcMar>
              <w:top w:w="80" w:type="dxa"/>
              <w:start w:w="120" w:type="dxa"/>
              <w:bottom w:w="80" w:type="dxa"/>
              <w:end w:w="120" w:type="dxa"/>
            </w:tcMar>
            <w:vAlign w:val="center"/>
          </w:tcPr>
          <w:p>
            <w:pPr>
              <w:spacing w:after="0"/>
              <w:jc w:val="center"/>
            </w:pPr>
            <w:r/>
            <w:r>
              <w:rPr>
                <w:rFonts w:ascii="Calibri" w:hAnsi="Calibri" w:eastAsia="Microsoft JhengHei"/>
                <w:b/>
                <w:color w:val="0B2545"/>
                <w:sz w:val="19"/>
              </w:rPr>
              <w:t>目前狀態</w:t>
            </w:r>
          </w:p>
        </w:tc>
        <w:tc>
          <w:tcPr>
            <w:tcW w:type="dxa" w:w="5360"/>
            <w:shd w:fill="F4F6F9"/>
            <w:tcMar>
              <w:top w:w="80" w:type="dxa"/>
              <w:start w:w="120" w:type="dxa"/>
              <w:bottom w:w="80" w:type="dxa"/>
              <w:end w:w="120" w:type="dxa"/>
            </w:tcMar>
            <w:vAlign w:val="center"/>
          </w:tcPr>
          <w:p>
            <w:pPr>
              <w:spacing w:after="0"/>
              <w:jc w:val="center"/>
            </w:pPr>
            <w:r/>
            <w:r>
              <w:rPr>
                <w:rFonts w:ascii="Calibri" w:hAnsi="Calibri" w:eastAsia="Microsoft JhengHei"/>
                <w:b/>
                <w:color w:val="0B2545"/>
                <w:sz w:val="19"/>
              </w:rPr>
              <w:t>證據／待辦</w:t>
            </w:r>
          </w:p>
        </w:tc>
      </w:tr>
      <w:tr>
        <w:trPr>
          <w:cantSplit/>
        </w:trPr>
        <w:tc>
          <w:tcPr>
            <w:tcW w:type="dxa" w:w="18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IMU 與 GUI</w:t>
            </w:r>
          </w:p>
        </w:tc>
        <w:tc>
          <w:tcPr>
            <w:tcW w:type="dxa" w:w="22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已完成主要程式</w:t>
            </w:r>
          </w:p>
        </w:tc>
        <w:tc>
          <w:tcPr>
            <w:tcW w:type="dxa" w:w="536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可校正、顯示肘／肩角、軌跡與 CSV；待實體精度驗證</w:t>
            </w:r>
          </w:p>
        </w:tc>
      </w:tr>
      <w:tr>
        <w:trPr>
          <w:cantSplit/>
        </w:trPr>
        <w:tc>
          <w:tcPr>
            <w:tcW w:type="dxa" w:w="18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個人化 ROM</w:t>
            </w:r>
          </w:p>
        </w:tc>
        <w:tc>
          <w:tcPr>
            <w:tcW w:type="dxa" w:w="22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已納入正式專題並完成軟體流程</w:t>
            </w:r>
          </w:p>
        </w:tc>
        <w:tc>
          <w:tcPr>
            <w:tcW w:type="dxa" w:w="536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四階段校正、軸向／方向判定與 90% 目標映射已實作；ROM 單元測試 3 項通過，待參考量測與重複性驗證</w:t>
            </w:r>
          </w:p>
        </w:tc>
      </w:tr>
      <w:tr>
        <w:trPr>
          <w:cantSplit/>
        </w:trPr>
        <w:tc>
          <w:tcPr>
            <w:tcW w:type="dxa" w:w="18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目標軌跡</w:t>
            </w:r>
          </w:p>
        </w:tc>
        <w:tc>
          <w:tcPr>
            <w:tcW w:type="dxa" w:w="22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已實作</w:t>
            </w:r>
          </w:p>
        </w:tc>
        <w:tc>
          <w:tcPr>
            <w:tcW w:type="dxa" w:w="536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正弦與階躍模式可調；待固定測試協定</w:t>
            </w:r>
          </w:p>
        </w:tc>
      </w:tr>
      <w:tr>
        <w:trPr>
          <w:cantSplit/>
        </w:trPr>
        <w:tc>
          <w:tcPr>
            <w:tcW w:type="dxa" w:w="18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控制器</w:t>
            </w:r>
          </w:p>
        </w:tc>
        <w:tc>
          <w:tcPr>
            <w:tcW w:type="dxa" w:w="22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已實作初版</w:t>
            </w:r>
          </w:p>
        </w:tc>
        <w:tc>
          <w:tcPr>
            <w:tcW w:type="dxa" w:w="536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P／PI／PID／AAN、4°／2° 遲滯、delay、條件積分、導數低通與輸出限幅；待正式調參</w:t>
            </w:r>
          </w:p>
        </w:tc>
      </w:tr>
      <w:tr>
        <w:trPr>
          <w:cantSplit/>
        </w:trPr>
        <w:tc>
          <w:tcPr>
            <w:tcW w:type="dxa" w:w="18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三路致動分配</w:t>
            </w:r>
          </w:p>
        </w:tc>
        <w:tc>
          <w:tcPr>
            <w:tcW w:type="dxa" w:w="22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已可實際輸出控制</w:t>
            </w:r>
          </w:p>
        </w:tc>
        <w:tc>
          <w:tcPr>
            <w:tcW w:type="dxa" w:w="536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肘屈曲／肘伸展／肩部三路命令與馬達輸出已可操作；待重複啟停、反轉、方向、負載與閉迴路性能驗證</w:t>
            </w:r>
          </w:p>
        </w:tc>
      </w:tr>
      <w:tr>
        <w:trPr>
          <w:cantSplit/>
        </w:trPr>
        <w:tc>
          <w:tcPr>
            <w:tcW w:type="dxa" w:w="18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ESP32 下位節點</w:t>
            </w:r>
          </w:p>
        </w:tc>
        <w:tc>
          <w:tcPr>
            <w:tcW w:type="dxa" w:w="22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韌體已完成初版</w:t>
            </w:r>
          </w:p>
        </w:tc>
        <w:tc>
          <w:tcPr>
            <w:tcW w:type="dxa" w:w="536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ARM、timeout、ramp、反轉歸零、軟體 ESTOP；待台架測試</w:t>
            </w:r>
          </w:p>
        </w:tc>
      </w:tr>
      <w:tr>
        <w:trPr>
          <w:cantSplit/>
        </w:trPr>
        <w:tc>
          <w:tcPr>
            <w:tcW w:type="dxa" w:w="18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硬體可靠性</w:t>
            </w:r>
          </w:p>
        </w:tc>
        <w:tc>
          <w:tcPr>
            <w:tcW w:type="dxa" w:w="22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已恢復基本運轉，驗證未完成</w:t>
            </w:r>
          </w:p>
        </w:tc>
        <w:tc>
          <w:tcPr>
            <w:tcW w:type="dxa" w:w="536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三路馬達可輸出控制；仍須完成重複啟停、反轉、溫升、長時間運轉及供電保護測試</w:t>
            </w:r>
          </w:p>
        </w:tc>
      </w:tr>
      <w:tr>
        <w:trPr>
          <w:cantSplit/>
        </w:trPr>
        <w:tc>
          <w:tcPr>
            <w:tcW w:type="dxa" w:w="18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資料紀錄</w:t>
            </w:r>
          </w:p>
        </w:tc>
        <w:tc>
          <w:tcPr>
            <w:tcW w:type="dxa" w:w="22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處理後資料已可記錄</w:t>
            </w:r>
          </w:p>
        </w:tc>
        <w:tc>
          <w:tcPr>
            <w:tcW w:type="dxa" w:w="536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已有角度、控制器與 PWM 欄位；正式實驗前補上六軸原始 IMU 與校正版本</w:t>
            </w:r>
          </w:p>
        </w:tc>
      </w:tr>
      <w:tr>
        <w:trPr>
          <w:cantSplit/>
        </w:trPr>
        <w:tc>
          <w:tcPr>
            <w:tcW w:type="dxa" w:w="18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性能實驗</w:t>
            </w:r>
          </w:p>
        </w:tc>
        <w:tc>
          <w:tcPr>
            <w:tcW w:type="dxa" w:w="22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尚未完成</w:t>
            </w:r>
          </w:p>
        </w:tc>
        <w:tc>
          <w:tcPr>
            <w:tcW w:type="dxa" w:w="536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需依第六章完成重複試驗與圖表</w:t>
            </w:r>
          </w:p>
        </w:tc>
      </w:tr>
    </w:tbl>
    <w:p>
      <w:pPr>
        <w:spacing w:after="40"/>
      </w:pPr>
    </w:p>
    <w:p>
      <w:pPr>
        <w:pStyle w:val="Heading1"/>
        <w:keepNext/>
      </w:pPr>
      <w:r>
        <w:t>八、預期成果與創新貢獻</w:t>
      </w:r>
    </w:p>
    <w:p>
      <w:pPr>
        <w:pStyle w:val="Heading2"/>
        <w:keepNext/>
      </w:pPr>
      <w:r>
        <w:t>8.1 預期成果</w:t>
      </w:r>
    </w:p>
    <w:p>
      <w:pPr>
        <w:pStyle w:val="ListBullet"/>
      </w:pPr>
      <w:r>
        <w:rPr>
          <w:rFonts w:ascii="Calibri" w:hAnsi="Calibri" w:eastAsia="Microsoft JhengHei"/>
          <w:color w:val="000000"/>
        </w:rPr>
        <w:t>可即時顯示與記錄上臂、前臂及肘關節角度的雙 IMU 量測模組。</w:t>
      </w:r>
    </w:p>
    <w:p>
      <w:pPr>
        <w:pStyle w:val="ListBullet"/>
      </w:pPr>
      <w:r>
        <w:rPr>
          <w:rFonts w:ascii="Calibri" w:hAnsi="Calibri" w:eastAsia="Microsoft JhengHei"/>
          <w:color w:val="000000"/>
        </w:rPr>
        <w:t>可由四階段校正產生肘屈／伸與肩部前舉／側舉的個人化 ROM 參考參數，並映射為當次訓練目標範圍。</w:t>
      </w:r>
    </w:p>
    <w:p>
      <w:pPr>
        <w:pStyle w:val="ListBullet"/>
      </w:pPr>
      <w:r>
        <w:rPr>
          <w:rFonts w:ascii="Calibri" w:hAnsi="Calibri" w:eastAsia="Microsoft JhengHei"/>
          <w:color w:val="000000"/>
        </w:rPr>
        <w:t>可設定階躍／正弦軌跡、P／PI／PID／AAN 及故障反應參數的 Web GUI。</w:t>
      </w:r>
    </w:p>
    <w:p>
      <w:pPr>
        <w:pStyle w:val="ListBullet"/>
      </w:pPr>
      <w:r>
        <w:rPr>
          <w:rFonts w:ascii="Calibri" w:hAnsi="Calibri" w:eastAsia="Microsoft JhengHei"/>
          <w:color w:val="000000"/>
        </w:rPr>
        <w:t>可依軌跡落後程度啟閉或調整介入的分層式 AAN 控制雛形。</w:t>
      </w:r>
    </w:p>
    <w:p>
      <w:pPr>
        <w:pStyle w:val="ListBullet"/>
      </w:pPr>
      <w:r>
        <w:rPr>
          <w:rFonts w:ascii="Calibri" w:hAnsi="Calibri" w:eastAsia="Microsoft JhengHei"/>
          <w:color w:val="000000"/>
        </w:rPr>
        <w:t>具上電禁能、命令授權、通訊逾時、PWM 漸變、反轉保護及鎖定急停的 ESP32 節點。</w:t>
      </w:r>
    </w:p>
    <w:p>
      <w:pPr>
        <w:pStyle w:val="ListBullet"/>
      </w:pPr>
      <w:r>
        <w:rPr>
          <w:rFonts w:ascii="Calibri" w:hAnsi="Calibri" w:eastAsia="Microsoft JhengHei"/>
          <w:color w:val="000000"/>
        </w:rPr>
        <w:t>包含感測準確度、控制性能、AAN 控制投入及故障狀態的完整數據與圖表。</w:t>
      </w:r>
    </w:p>
    <w:p>
      <w:pPr>
        <w:pStyle w:val="Heading2"/>
        <w:keepNext/>
      </w:pPr>
      <w:r>
        <w:t>8.2 創新與貢獻定位</w:t>
      </w:r>
    </w:p>
    <w:p>
      <w:pPr>
        <w:keepLines/>
      </w:pPr>
      <w:r>
        <w:rPr>
          <w:rFonts w:ascii="Calibri" w:hAnsi="Calibri" w:eastAsia="Microsoft JhengHei"/>
          <w:color w:val="000000"/>
        </w:rPr>
        <w:t>本專題之貢獻定位為可驗證的醫學電子系統整合，而非宣稱雙 IMU、PID、ROM 或 AAN 演算法本身為首創。第一，建立由慣性訊號擷取、校正、融合至相對關節角度與動作衍生量的處理流程；第二，把四階段個人化 ROM 校正轉換為可直接設定目標軌跡的參考參數，使訓練範圍不再完全依賴固定角度；第三，將表現式輔助規則與底層 PID 分層，以 4°／2° 遲滯、持續時間、條件積分與輸出限制形成可解釋的介入邏輯；第四，以追蹤誤差、介入時間及平均／累積絕對 PWM 共同評估輔助行為；第五，以 ESP32 下位節點驗證通訊逾時、輸出漸變、反轉歸零及鎖定式軟體急停等故障反應。其價值在於形成『個人化參數設定—即時回授—按需控制—資料追溯』的完整原型；不等同生理參與量測、醫療器材安全驗證或臨床有效性。</w:t>
      </w:r>
    </w:p>
    <w:p>
      <w:pPr>
        <w:pStyle w:val="Heading2"/>
        <w:keepNext/>
      </w:pPr>
      <w:r>
        <w:t>8.3 預期價值與影響</w:t>
      </w:r>
    </w:p>
    <w:tbl>
      <w:tblPr>
        <w:tblStyle w:val="TableGrid"/>
        <w:tblW w:type="dxa" w:w="9360"/>
        <w:jc w:val="center"/>
        <w:tblLayout w:type="fixed"/>
        <w:tblLook w:firstColumn="1" w:firstRow="1" w:lastColumn="0" w:lastRow="0" w:noHBand="0" w:noVBand="1" w:val="04A0"/>
        <w:tblInd w:w="120" w:type="dxa"/>
      </w:tblPr>
      <w:tblGrid>
        <w:gridCol w:w="1700"/>
        <w:gridCol w:w="5000"/>
        <w:gridCol w:w="2660"/>
      </w:tblGrid>
      <w:tr>
        <w:trPr>
          <w:tblHeader w:val="true"/>
          <w:cantSplit/>
        </w:trPr>
        <w:tc>
          <w:tcPr>
            <w:tcW w:type="dxa" w:w="1700"/>
            <w:shd w:fill="F4F6F9"/>
            <w:tcMar>
              <w:top w:w="80" w:type="dxa"/>
              <w:start w:w="120" w:type="dxa"/>
              <w:bottom w:w="80" w:type="dxa"/>
              <w:end w:w="120" w:type="dxa"/>
            </w:tcMar>
            <w:vAlign w:val="center"/>
          </w:tcPr>
          <w:p>
            <w:pPr>
              <w:spacing w:after="0"/>
              <w:jc w:val="center"/>
            </w:pPr>
            <w:r/>
            <w:r>
              <w:rPr>
                <w:rFonts w:ascii="Calibri" w:hAnsi="Calibri" w:eastAsia="Microsoft JhengHei"/>
                <w:b/>
                <w:color w:val="0B2545"/>
                <w:sz w:val="19"/>
              </w:rPr>
              <w:t>層面</w:t>
            </w:r>
          </w:p>
        </w:tc>
        <w:tc>
          <w:tcPr>
            <w:tcW w:type="dxa" w:w="5000"/>
            <w:shd w:fill="F4F6F9"/>
            <w:tcMar>
              <w:top w:w="80" w:type="dxa"/>
              <w:start w:w="120" w:type="dxa"/>
              <w:bottom w:w="80" w:type="dxa"/>
              <w:end w:w="120" w:type="dxa"/>
            </w:tcMar>
            <w:vAlign w:val="center"/>
          </w:tcPr>
          <w:p>
            <w:pPr>
              <w:spacing w:after="0"/>
              <w:jc w:val="center"/>
            </w:pPr>
            <w:r/>
            <w:r>
              <w:rPr>
                <w:rFonts w:ascii="Calibri" w:hAnsi="Calibri" w:eastAsia="Microsoft JhengHei"/>
                <w:b/>
                <w:color w:val="0B2545"/>
                <w:sz w:val="19"/>
              </w:rPr>
              <w:t>本研究可帶來的價值</w:t>
            </w:r>
          </w:p>
        </w:tc>
        <w:tc>
          <w:tcPr>
            <w:tcW w:type="dxa" w:w="2660"/>
            <w:shd w:fill="F4F6F9"/>
            <w:tcMar>
              <w:top w:w="80" w:type="dxa"/>
              <w:start w:w="120" w:type="dxa"/>
              <w:bottom w:w="80" w:type="dxa"/>
              <w:end w:w="120" w:type="dxa"/>
            </w:tcMar>
            <w:vAlign w:val="center"/>
          </w:tcPr>
          <w:p>
            <w:pPr>
              <w:spacing w:after="0"/>
              <w:jc w:val="center"/>
            </w:pPr>
            <w:r/>
            <w:r>
              <w:rPr>
                <w:rFonts w:ascii="Calibri" w:hAnsi="Calibri" w:eastAsia="Microsoft JhengHei"/>
                <w:b/>
                <w:color w:val="0B2545"/>
                <w:sz w:val="19"/>
              </w:rPr>
              <w:t>合理邊界</w:t>
            </w:r>
          </w:p>
        </w:tc>
      </w:tr>
      <w:tr>
        <w:trPr>
          <w:cantSplit/>
        </w:trPr>
        <w:tc>
          <w:tcPr>
            <w:tcW w:type="dxa" w:w="17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量測方法</w:t>
            </w:r>
          </w:p>
        </w:tc>
        <w:tc>
          <w:tcPr>
            <w:tcW w:type="dxa" w:w="50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建立穿戴式慣性訊號至肘關節相對角度的可重複處理與驗證流程。</w:t>
            </w:r>
          </w:p>
        </w:tc>
        <w:tc>
          <w:tcPr>
            <w:tcW w:type="dxa" w:w="266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不視為醫療級動作擷取或臨床評估工具。</w:t>
            </w:r>
          </w:p>
        </w:tc>
      </w:tr>
      <w:tr>
        <w:trPr>
          <w:cantSplit/>
        </w:trPr>
        <w:tc>
          <w:tcPr>
            <w:tcW w:type="dxa" w:w="17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個人化參數</w:t>
            </w:r>
          </w:p>
        </w:tc>
        <w:tc>
          <w:tcPr>
            <w:tcW w:type="dxa" w:w="50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將當次肘／肩可達範圍轉成目標軌跡參考，支援依個別能力設定訓練。</w:t>
            </w:r>
          </w:p>
        </w:tc>
        <w:tc>
          <w:tcPr>
            <w:tcW w:type="dxa" w:w="266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目前為工程參考參數，不是臨床診斷或療效指標。</w:t>
            </w:r>
          </w:p>
        </w:tc>
      </w:tr>
      <w:tr>
        <w:trPr>
          <w:cantSplit/>
        </w:trPr>
        <w:tc>
          <w:tcPr>
            <w:tcW w:type="dxa" w:w="17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控制研究</w:t>
            </w:r>
          </w:p>
        </w:tc>
        <w:tc>
          <w:tcPr>
            <w:tcW w:type="dxa" w:w="50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同時保存角度、誤差、控制輸出及故障事件，使表現式輔助行為可追溯與比較。</w:t>
            </w:r>
          </w:p>
        </w:tc>
        <w:tc>
          <w:tcPr>
            <w:tcW w:type="dxa" w:w="266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未量測互動力或 EMG，不能直接解釋自主參與。</w:t>
            </w:r>
          </w:p>
        </w:tc>
      </w:tr>
      <w:tr>
        <w:trPr>
          <w:cantSplit/>
        </w:trPr>
        <w:tc>
          <w:tcPr>
            <w:tcW w:type="dxa" w:w="17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醫學電子系統</w:t>
            </w:r>
          </w:p>
        </w:tc>
        <w:tc>
          <w:tcPr>
            <w:tcW w:type="dxa" w:w="50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以嵌入式感測、分層控制與下位故障反應節點建立可重複測試的閉迴路平台。</w:t>
            </w:r>
          </w:p>
        </w:tc>
        <w:tc>
          <w:tcPr>
            <w:tcW w:type="dxa" w:w="266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硬體保護、耐久度與人體工學仍須完成。</w:t>
            </w:r>
          </w:p>
        </w:tc>
      </w:tr>
      <w:tr>
        <w:trPr>
          <w:cantSplit/>
        </w:trPr>
        <w:tc>
          <w:tcPr>
            <w:tcW w:type="dxa" w:w="17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後續發展</w:t>
            </w:r>
          </w:p>
        </w:tc>
        <w:tc>
          <w:tcPr>
            <w:tcW w:type="dxa" w:w="50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提供加入 EMG、力矩感測、個人能力估測與自適應控制的共同平台。</w:t>
            </w:r>
          </w:p>
        </w:tc>
        <w:tc>
          <w:tcPr>
            <w:tcW w:type="dxa" w:w="266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本階段不把追蹤誤差直接等同主動參與。</w:t>
            </w:r>
          </w:p>
        </w:tc>
      </w:tr>
    </w:tbl>
    <w:p>
      <w:pPr>
        <w:spacing w:after="40"/>
      </w:pPr>
    </w:p>
    <w:p>
      <w:pPr>
        <w:pStyle w:val="Heading1"/>
        <w:keepNext/>
      </w:pPr>
      <w:r>
        <w:t>九、工作時程與里程碑</w:t>
      </w:r>
    </w:p>
    <w:tbl>
      <w:tblPr>
        <w:tblStyle w:val="TableGrid"/>
        <w:tblW w:type="dxa" w:w="9360"/>
        <w:jc w:val="center"/>
        <w:tblLayout w:type="fixed"/>
        <w:tblLook w:firstColumn="1" w:firstRow="1" w:lastColumn="0" w:lastRow="0" w:noHBand="0" w:noVBand="1" w:val="04A0"/>
        <w:tblInd w:w="120" w:type="dxa"/>
      </w:tblPr>
      <w:tblGrid>
        <w:gridCol w:w="1500"/>
        <w:gridCol w:w="5000"/>
        <w:gridCol w:w="2860"/>
      </w:tblGrid>
      <w:tr>
        <w:trPr>
          <w:tblHeader w:val="true"/>
          <w:cantSplit/>
        </w:trPr>
        <w:tc>
          <w:tcPr>
            <w:tcW w:type="dxa" w:w="1500"/>
            <w:shd w:fill="F4F6F9"/>
            <w:tcMar>
              <w:top w:w="80" w:type="dxa"/>
              <w:start w:w="120" w:type="dxa"/>
              <w:bottom w:w="80" w:type="dxa"/>
              <w:end w:w="120" w:type="dxa"/>
            </w:tcMar>
            <w:vAlign w:val="center"/>
          </w:tcPr>
          <w:p>
            <w:pPr>
              <w:spacing w:after="0"/>
              <w:jc w:val="center"/>
            </w:pPr>
            <w:r/>
            <w:r>
              <w:rPr>
                <w:rFonts w:ascii="Calibri" w:hAnsi="Calibri" w:eastAsia="Microsoft JhengHei"/>
                <w:b/>
                <w:color w:val="0B2545"/>
                <w:sz w:val="19"/>
              </w:rPr>
              <w:t>階段</w:t>
            </w:r>
          </w:p>
        </w:tc>
        <w:tc>
          <w:tcPr>
            <w:tcW w:type="dxa" w:w="5000"/>
            <w:shd w:fill="F4F6F9"/>
            <w:tcMar>
              <w:top w:w="80" w:type="dxa"/>
              <w:start w:w="120" w:type="dxa"/>
              <w:bottom w:w="80" w:type="dxa"/>
              <w:end w:w="120" w:type="dxa"/>
            </w:tcMar>
            <w:vAlign w:val="center"/>
          </w:tcPr>
          <w:p>
            <w:pPr>
              <w:spacing w:after="0"/>
              <w:jc w:val="center"/>
            </w:pPr>
            <w:r/>
            <w:r>
              <w:rPr>
                <w:rFonts w:ascii="Calibri" w:hAnsi="Calibri" w:eastAsia="Microsoft JhengHei"/>
                <w:b/>
                <w:color w:val="0B2545"/>
                <w:sz w:val="19"/>
              </w:rPr>
              <w:t>工作內容</w:t>
            </w:r>
          </w:p>
        </w:tc>
        <w:tc>
          <w:tcPr>
            <w:tcW w:type="dxa" w:w="2860"/>
            <w:shd w:fill="F4F6F9"/>
            <w:tcMar>
              <w:top w:w="80" w:type="dxa"/>
              <w:start w:w="120" w:type="dxa"/>
              <w:bottom w:w="80" w:type="dxa"/>
              <w:end w:w="120" w:type="dxa"/>
            </w:tcMar>
            <w:vAlign w:val="center"/>
          </w:tcPr>
          <w:p>
            <w:pPr>
              <w:spacing w:after="0"/>
              <w:jc w:val="center"/>
            </w:pPr>
            <w:r/>
            <w:r>
              <w:rPr>
                <w:rFonts w:ascii="Calibri" w:hAnsi="Calibri" w:eastAsia="Microsoft JhengHei"/>
                <w:b/>
                <w:color w:val="0B2545"/>
                <w:sz w:val="19"/>
              </w:rPr>
              <w:t>可交付成果</w:t>
            </w:r>
          </w:p>
        </w:tc>
      </w:tr>
      <w:tr>
        <w:trPr>
          <w:cantSplit/>
        </w:trPr>
        <w:tc>
          <w:tcPr>
            <w:tcW w:type="dxa" w:w="15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第 1 週</w:t>
            </w:r>
          </w:p>
        </w:tc>
        <w:tc>
          <w:tcPr>
            <w:tcW w:type="dxa" w:w="50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完成馬達重複啟停、反轉、溫升與 ESP32 故障反應台架測試</w:t>
            </w:r>
          </w:p>
        </w:tc>
        <w:tc>
          <w:tcPr>
            <w:tcW w:type="dxa" w:w="286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故障測試紀錄、接線圖、可靠性紀錄</w:t>
            </w:r>
          </w:p>
        </w:tc>
      </w:tr>
      <w:tr>
        <w:trPr>
          <w:cantSplit/>
        </w:trPr>
        <w:tc>
          <w:tcPr>
            <w:tcW w:type="dxa" w:w="15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第 2 週</w:t>
            </w:r>
          </w:p>
        </w:tc>
        <w:tc>
          <w:tcPr>
            <w:tcW w:type="dxa" w:w="50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完成 CSV 六軸原始資料與校正版本欄位，鎖定軟體基線</w:t>
            </w:r>
          </w:p>
        </w:tc>
        <w:tc>
          <w:tcPr>
            <w:tcW w:type="dxa" w:w="286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欄位定義、版本紀錄與試錄資料</w:t>
            </w:r>
          </w:p>
        </w:tc>
      </w:tr>
      <w:tr>
        <w:trPr>
          <w:cantSplit/>
        </w:trPr>
        <w:tc>
          <w:tcPr>
            <w:tcW w:type="dxa" w:w="15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第 3 週</w:t>
            </w:r>
          </w:p>
        </w:tc>
        <w:tc>
          <w:tcPr>
            <w:tcW w:type="dxa" w:w="50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完成雙 IMU 固定／動態角度及個人化 ROM 重複性驗證</w:t>
            </w:r>
          </w:p>
        </w:tc>
        <w:tc>
          <w:tcPr>
            <w:tcW w:type="dxa" w:w="286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誤差表、濾波圖、ROM 一致性表</w:t>
            </w:r>
          </w:p>
        </w:tc>
      </w:tr>
      <w:tr>
        <w:trPr>
          <w:cantSplit/>
        </w:trPr>
        <w:tc>
          <w:tcPr>
            <w:tcW w:type="dxa" w:w="15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第 4 週</w:t>
            </w:r>
          </w:p>
        </w:tc>
        <w:tc>
          <w:tcPr>
            <w:tcW w:type="dxa" w:w="50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完成機構無負載階躍追蹤與 PID 調參</w:t>
            </w:r>
          </w:p>
        </w:tc>
        <w:tc>
          <w:tcPr>
            <w:tcW w:type="dxa" w:w="286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P／PI／PID 曲線與指標</w:t>
            </w:r>
          </w:p>
        </w:tc>
      </w:tr>
      <w:tr>
        <w:trPr>
          <w:cantSplit/>
        </w:trPr>
        <w:tc>
          <w:tcPr>
            <w:tcW w:type="dxa" w:w="15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第 5 週</w:t>
            </w:r>
          </w:p>
        </w:tc>
        <w:tc>
          <w:tcPr>
            <w:tcW w:type="dxa" w:w="50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完成週期軌跡與不同負載測試</w:t>
            </w:r>
          </w:p>
        </w:tc>
        <w:tc>
          <w:tcPr>
            <w:tcW w:type="dxa" w:w="286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RMSE、phase lag、jerk 與 PWM 圖</w:t>
            </w:r>
          </w:p>
        </w:tc>
      </w:tr>
      <w:tr>
        <w:trPr>
          <w:cantSplit/>
        </w:trPr>
        <w:tc>
          <w:tcPr>
            <w:tcW w:type="dxa" w:w="15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第 6 週</w:t>
            </w:r>
          </w:p>
        </w:tc>
        <w:tc>
          <w:tcPr>
            <w:tcW w:type="dxa" w:w="50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完成無控制／全程 PID／表現式 AAN 比較</w:t>
            </w:r>
          </w:p>
        </w:tc>
        <w:tc>
          <w:tcPr>
            <w:tcW w:type="dxa" w:w="286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控制投入與追蹤性能比較</w:t>
            </w:r>
          </w:p>
        </w:tc>
      </w:tr>
      <w:tr>
        <w:trPr>
          <w:cantSplit/>
        </w:trPr>
        <w:tc>
          <w:tcPr>
            <w:tcW w:type="dxa" w:w="15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第 7 週</w:t>
            </w:r>
          </w:p>
        </w:tc>
        <w:tc>
          <w:tcPr>
            <w:tcW w:type="dxa" w:w="50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重複試驗、補測、整理限制與結論</w:t>
            </w:r>
          </w:p>
        </w:tc>
        <w:tc>
          <w:tcPr>
            <w:tcW w:type="dxa" w:w="286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統計表與可重現資料</w:t>
            </w:r>
          </w:p>
        </w:tc>
      </w:tr>
      <w:tr>
        <w:trPr>
          <w:cantSplit/>
        </w:trPr>
        <w:tc>
          <w:tcPr>
            <w:tcW w:type="dxa" w:w="15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第 8 週</w:t>
            </w:r>
          </w:p>
        </w:tc>
        <w:tc>
          <w:tcPr>
            <w:tcW w:type="dxa" w:w="50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完成海報、3-4 張 Pitch Talk 投影片與口頭演練</w:t>
            </w:r>
          </w:p>
        </w:tc>
        <w:tc>
          <w:tcPr>
            <w:tcW w:type="dxa" w:w="286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正式海報、簡報、3 分鐘講稿</w:t>
            </w:r>
          </w:p>
        </w:tc>
      </w:tr>
    </w:tbl>
    <w:p>
      <w:pPr>
        <w:spacing w:after="40"/>
      </w:pPr>
    </w:p>
    <w:p>
      <w:pPr>
        <w:pStyle w:val="Heading1"/>
        <w:keepNext/>
      </w:pPr>
      <w:r>
        <w:t>十、風險管理與備案</w:t>
      </w:r>
    </w:p>
    <w:tbl>
      <w:tblPr>
        <w:tblStyle w:val="TableGrid"/>
        <w:tblW w:type="dxa" w:w="9360"/>
        <w:jc w:val="center"/>
        <w:tblLayout w:type="fixed"/>
        <w:tblLook w:firstColumn="1" w:firstRow="1" w:lastColumn="0" w:lastRow="0" w:noHBand="0" w:noVBand="1" w:val="04A0"/>
        <w:tblInd w:w="120" w:type="dxa"/>
      </w:tblPr>
      <w:tblGrid>
        <w:gridCol w:w="2000"/>
        <w:gridCol w:w="2500"/>
        <w:gridCol w:w="4860"/>
      </w:tblGrid>
      <w:tr>
        <w:trPr>
          <w:tblHeader w:val="true"/>
          <w:cantSplit/>
        </w:trPr>
        <w:tc>
          <w:tcPr>
            <w:tcW w:type="dxa" w:w="2000"/>
            <w:shd w:fill="F4F6F9"/>
            <w:tcMar>
              <w:top w:w="80" w:type="dxa"/>
              <w:start w:w="120" w:type="dxa"/>
              <w:bottom w:w="80" w:type="dxa"/>
              <w:end w:w="120" w:type="dxa"/>
            </w:tcMar>
            <w:vAlign w:val="center"/>
          </w:tcPr>
          <w:p>
            <w:pPr>
              <w:spacing w:after="0"/>
              <w:jc w:val="center"/>
            </w:pPr>
            <w:r/>
            <w:r>
              <w:rPr>
                <w:rFonts w:ascii="Calibri" w:hAnsi="Calibri" w:eastAsia="Microsoft JhengHei"/>
                <w:b/>
                <w:color w:val="0B2545"/>
                <w:sz w:val="19"/>
              </w:rPr>
              <w:t>風險</w:t>
            </w:r>
          </w:p>
        </w:tc>
        <w:tc>
          <w:tcPr>
            <w:tcW w:type="dxa" w:w="2500"/>
            <w:shd w:fill="F4F6F9"/>
            <w:tcMar>
              <w:top w:w="80" w:type="dxa"/>
              <w:start w:w="120" w:type="dxa"/>
              <w:bottom w:w="80" w:type="dxa"/>
              <w:end w:w="120" w:type="dxa"/>
            </w:tcMar>
            <w:vAlign w:val="center"/>
          </w:tcPr>
          <w:p>
            <w:pPr>
              <w:spacing w:after="0"/>
              <w:jc w:val="center"/>
            </w:pPr>
            <w:r/>
            <w:r>
              <w:rPr>
                <w:rFonts w:ascii="Calibri" w:hAnsi="Calibri" w:eastAsia="Microsoft JhengHei"/>
                <w:b/>
                <w:color w:val="0B2545"/>
                <w:sz w:val="19"/>
              </w:rPr>
              <w:t>影響</w:t>
            </w:r>
          </w:p>
        </w:tc>
        <w:tc>
          <w:tcPr>
            <w:tcW w:type="dxa" w:w="4860"/>
            <w:shd w:fill="F4F6F9"/>
            <w:tcMar>
              <w:top w:w="80" w:type="dxa"/>
              <w:start w:w="120" w:type="dxa"/>
              <w:bottom w:w="80" w:type="dxa"/>
              <w:end w:w="120" w:type="dxa"/>
            </w:tcMar>
            <w:vAlign w:val="center"/>
          </w:tcPr>
          <w:p>
            <w:pPr>
              <w:spacing w:after="0"/>
              <w:jc w:val="center"/>
            </w:pPr>
            <w:r/>
            <w:r>
              <w:rPr>
                <w:rFonts w:ascii="Calibri" w:hAnsi="Calibri" w:eastAsia="Microsoft JhengHei"/>
                <w:b/>
                <w:color w:val="0B2545"/>
                <w:sz w:val="19"/>
              </w:rPr>
              <w:t>處理與備案</w:t>
            </w:r>
          </w:p>
        </w:tc>
      </w:tr>
      <w:tr>
        <w:trPr>
          <w:cantSplit/>
        </w:trPr>
        <w:tc>
          <w:tcPr>
            <w:tcW w:type="dxa" w:w="20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ESP32／驅動器過熱或燒毀</w:t>
            </w:r>
          </w:p>
        </w:tc>
        <w:tc>
          <w:tcPr>
            <w:tcW w:type="dxa" w:w="25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硬體停擺與安全疑慮</w:t>
            </w:r>
          </w:p>
        </w:tc>
        <w:tc>
          <w:tcPr>
            <w:tcW w:type="dxa" w:w="486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先用限流電源；確認共地、邏輯隔離、續流與反電動勢；低 PWM 單馬達逐步測試</w:t>
            </w:r>
          </w:p>
        </w:tc>
      </w:tr>
      <w:tr>
        <w:trPr>
          <w:cantSplit/>
        </w:trPr>
        <w:tc>
          <w:tcPr>
            <w:tcW w:type="dxa" w:w="20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馬達反轉突波</w:t>
            </w:r>
          </w:p>
        </w:tc>
        <w:tc>
          <w:tcPr>
            <w:tcW w:type="dxa" w:w="25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重啟、損壞或機構衝擊</w:t>
            </w:r>
          </w:p>
        </w:tc>
        <w:tc>
          <w:tcPr>
            <w:tcW w:type="dxa" w:w="486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ESP32 反轉先歸零、PWM ramp；硬體端增加保護元件並驗證</w:t>
            </w:r>
          </w:p>
        </w:tc>
      </w:tr>
      <w:tr>
        <w:trPr>
          <w:cantSplit/>
        </w:trPr>
        <w:tc>
          <w:tcPr>
            <w:tcW w:type="dxa" w:w="20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IMU 漂移／安裝誤差</w:t>
            </w:r>
          </w:p>
        </w:tc>
        <w:tc>
          <w:tcPr>
            <w:tcW w:type="dxa" w:w="25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角度與追蹤指標失真</w:t>
            </w:r>
          </w:p>
        </w:tc>
        <w:tc>
          <w:tcPr>
            <w:tcW w:type="dxa" w:w="486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固定治具、每回合校正、縮短試驗、感測融合、參考真值比較</w:t>
            </w:r>
          </w:p>
        </w:tc>
      </w:tr>
      <w:tr>
        <w:trPr>
          <w:cantSplit/>
        </w:trPr>
        <w:tc>
          <w:tcPr>
            <w:tcW w:type="dxa" w:w="20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導數雜訊</w:t>
            </w:r>
          </w:p>
        </w:tc>
        <w:tc>
          <w:tcPr>
            <w:tcW w:type="dxa" w:w="25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PWM 抖動</w:t>
            </w:r>
          </w:p>
        </w:tc>
        <w:tc>
          <w:tcPr>
            <w:tcW w:type="dxa" w:w="486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導數低通、限制 Kd、固定取樣時間、比較不用 D 的結果</w:t>
            </w:r>
          </w:p>
        </w:tc>
      </w:tr>
      <w:tr>
        <w:trPr>
          <w:cantSplit/>
        </w:trPr>
        <w:tc>
          <w:tcPr>
            <w:tcW w:type="dxa" w:w="20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積分 windup</w:t>
            </w:r>
          </w:p>
        </w:tc>
        <w:tc>
          <w:tcPr>
            <w:tcW w:type="dxa" w:w="25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超越與安全風險</w:t>
            </w:r>
          </w:p>
        </w:tc>
        <w:tc>
          <w:tcPr>
            <w:tcW w:type="dxa" w:w="486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integral clamp、deadband 內衰減、輸出飽和時條件積分</w:t>
            </w:r>
          </w:p>
        </w:tc>
      </w:tr>
      <w:tr>
        <w:trPr>
          <w:cantSplit/>
        </w:trPr>
        <w:tc>
          <w:tcPr>
            <w:tcW w:type="dxa" w:w="20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機構未完成</w:t>
            </w:r>
          </w:p>
        </w:tc>
        <w:tc>
          <w:tcPr>
            <w:tcW w:type="dxa" w:w="25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無法完成穿戴式整合驗證</w:t>
            </w:r>
          </w:p>
        </w:tc>
        <w:tc>
          <w:tcPr>
            <w:tcW w:type="dxa" w:w="486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改用固定式肘關節桿件或負載台，聚焦感測、閉迴路控制與故障反應</w:t>
            </w:r>
          </w:p>
        </w:tc>
      </w:tr>
      <w:tr>
        <w:trPr>
          <w:cantSplit/>
        </w:trPr>
        <w:tc>
          <w:tcPr>
            <w:tcW w:type="dxa" w:w="20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無法進行人體測試</w:t>
            </w:r>
          </w:p>
        </w:tc>
        <w:tc>
          <w:tcPr>
            <w:tcW w:type="dxa" w:w="25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不能呈現真實主動出力</w:t>
            </w:r>
          </w:p>
        </w:tc>
        <w:tc>
          <w:tcPr>
            <w:tcW w:type="dxa" w:w="486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以可重複擾動、配重或軟體誤差注入驗證 AAN，不宣稱臨床參與</w:t>
            </w:r>
          </w:p>
        </w:tc>
      </w:tr>
      <w:tr>
        <w:trPr>
          <w:cantSplit/>
        </w:trPr>
        <w:tc>
          <w:tcPr>
            <w:tcW w:type="dxa" w:w="20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時程不足</w:t>
            </w:r>
          </w:p>
        </w:tc>
        <w:tc>
          <w:tcPr>
            <w:tcW w:type="dxa" w:w="25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資料不完整</w:t>
            </w:r>
          </w:p>
        </w:tc>
        <w:tc>
          <w:tcPr>
            <w:tcW w:type="dxa" w:w="486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優先完成肘關節、雙 IMU、個人化 ROM、表現式 AAN 與故障反應；EMG、AI 與肩部閉迴路性能移至未來工作</w:t>
            </w:r>
          </w:p>
        </w:tc>
      </w:tr>
    </w:tbl>
    <w:p>
      <w:pPr>
        <w:spacing w:after="40"/>
      </w:pPr>
    </w:p>
    <w:p>
      <w:pPr>
        <w:pStyle w:val="Heading1"/>
        <w:keepNext/>
      </w:pPr>
      <w:r>
        <w:t>十一、研究倫理、安全與限制</w:t>
      </w:r>
    </w:p>
    <w:p>
      <w:pPr>
        <w:keepLines/>
      </w:pPr>
      <w:r>
        <w:rPr>
          <w:rFonts w:ascii="Calibri" w:hAnsi="Calibri" w:eastAsia="Microsoft JhengHei"/>
          <w:color w:val="000000"/>
        </w:rPr>
        <w:t>本研究現階段屬工程雛形與控制性能驗證，不進行病患治療，不宣稱具有臨床療效或醫療器材資格。個人化 ROM 的設計目的，是作為未來患者訓練目標設定的參考參數；在完成臨床效度、安全性與倫理審查前，不應直接用於醫療決策。任何人體接觸前均須完成無負載、假肢段與低輸出安全測試；若後續招募健康受試者或患者，須依學校及合作醫療機構規定完成研究倫理審查、知情同意、風險告知與停止條件。</w:t>
      </w:r>
    </w:p>
    <w:p>
      <w:pPr>
        <w:keepLines/>
      </w:pPr>
      <w:r>
        <w:rPr>
          <w:rFonts w:ascii="Calibri" w:hAnsi="Calibri" w:eastAsia="Microsoft JhengHei"/>
          <w:color w:val="000000"/>
        </w:rPr>
        <w:t>主要限制包括：肘角差分方法假設感測器軸線一致與近似單平面運動；MPU6050 無磁力計，無法可靠提供長時間絕對 yaw；AAN 以軌跡誤差推估需求，未直接量測肌力、互動力或意圖；現有馬達回授編碼器尚未完成；成功標準屬工程驗收而非臨床最小重要差異。上述限制將在成果中明確揭露。</w:t>
      </w:r>
    </w:p>
    <w:p>
      <w:pPr>
        <w:pStyle w:val="Heading1"/>
        <w:keepNext/>
      </w:pPr>
      <w:r>
        <w:t>十二、結論</w:t>
      </w:r>
    </w:p>
    <w:p>
      <w:pPr>
        <w:keepLines/>
      </w:pPr>
      <w:r>
        <w:rPr>
          <w:rFonts w:ascii="Calibri" w:hAnsi="Calibri" w:eastAsia="Microsoft JhengHei"/>
          <w:color w:val="000000"/>
        </w:rPr>
        <w:t>本計畫由穿戴式運動訊號量測與人機閉迴路控制觀點，提出雙 IMU 相對姿態回授、個人化 ROM 參考參數、目標軌跡導引及表現式按需輔助之整合架構。研究將依序驗證慣性訊號校正與濾波、肘關節角度估測、ROM 參數重複性、軌跡追蹤、控制投入量及通訊故障反應。Raspberry Pi 負責訊號處理與控制決策；三路致動通道目前已可執行肘屈、肘伸與肩部方向輸出，但其重複性、負載與閉迴路性能仍待正式試驗；Web GUI 負責 ROM、參數設定與資料紀錄，ESP32 則執行下位命令與故障反應。現行紀錄已涵蓋處理後角度、控制器與 PWM 欄位，六軸原始 IMU 欄位將於正式資料收集前補齊。研究成果定位為非臨床醫學電子工程雛形，可作為後續患者參考參數驗證、EMG、互動力與自適應控制研究的基礎。</w:t>
      </w:r>
    </w:p>
    <w:p>
      <w:pPr>
        <w:pStyle w:val="Heading1"/>
        <w:keepNext/>
      </w:pPr>
      <w:r>
        <w:t>參考文獻</w:t>
      </w:r>
    </w:p>
    <w:p>
      <w:pPr>
        <w:spacing w:after="100" w:line="276" w:lineRule="auto"/>
        <w:ind w:left="360" w:hanging="360"/>
      </w:pPr>
      <w:r>
        <w:rPr>
          <w:rFonts w:ascii="Calibri" w:hAnsi="Calibri" w:eastAsia="Microsoft JhengHei"/>
          <w:color w:val="000000"/>
          <w:sz w:val="19"/>
        </w:rPr>
        <w:t>[1] A. Cieza, K. Causey, K. Kamenov, S. W. Hanson, S. Chatterji, and T. Vos, ‘Global estimates of the need for rehabilitation based on the Global Burden of Disease study 2019,’ The Lancet, vol. 396, no. 10267, pp. 2006-2017, 2020. doi: 10.1016/S0140-6736(20)32340-0.</w:t>
      </w:r>
    </w:p>
    <w:p>
      <w:pPr>
        <w:spacing w:after="100" w:line="276" w:lineRule="auto"/>
        <w:ind w:left="360" w:hanging="360"/>
      </w:pPr>
      <w:r>
        <w:rPr>
          <w:rFonts w:ascii="Calibri" w:hAnsi="Calibri" w:eastAsia="Microsoft JhengHei"/>
          <w:color w:val="000000"/>
          <w:sz w:val="19"/>
        </w:rPr>
        <w:t>[2] X. Yang, X. Shi, X. Xue, and Z. Deng, ‘Efficacy of robot-assisted training on rehabilitation of upper limb function in patients with stroke,’ Archives of Physical Medicine and Rehabilitation, vol. 104, no. 9, pp. 1498-1513, 2023. doi: 10.1016/j.apmr.2023.02.004.</w:t>
      </w:r>
    </w:p>
    <w:p>
      <w:pPr>
        <w:spacing w:after="100" w:line="276" w:lineRule="auto"/>
        <w:ind w:left="360" w:hanging="360"/>
      </w:pPr>
      <w:r>
        <w:rPr>
          <w:rFonts w:ascii="Calibri" w:hAnsi="Calibri" w:eastAsia="Microsoft JhengHei"/>
          <w:color w:val="000000"/>
          <w:sz w:val="19"/>
        </w:rPr>
        <w:t>[3] E. T. Wolbrecht, V. Chan, D. J. Reinkensmeyer, and J. E. Bobrow, ‘Optimizing compliant, model-based robotic assistance to promote neurorehabilitation,’ IEEE Transactions on Neural Systems and Rehabilitation Engineering, vol. 16, no. 3, pp. 286-297, 2008. doi: 10.1109/TNSRE.2008.918389.</w:t>
      </w:r>
    </w:p>
    <w:p>
      <w:pPr>
        <w:spacing w:after="100" w:line="276" w:lineRule="auto"/>
        <w:ind w:left="360" w:hanging="360"/>
      </w:pPr>
      <w:r>
        <w:rPr>
          <w:rFonts w:ascii="Calibri" w:hAnsi="Calibri" w:eastAsia="Microsoft JhengHei"/>
          <w:color w:val="000000"/>
          <w:sz w:val="19"/>
        </w:rPr>
        <w:t>[4] L. Marchal-Crespo and D. J. Reinkensmeyer, ‘Review of control strategies for robotic movement training after neurologic injury,’ Journal of NeuroEngineering and Rehabilitation, vol. 6, article 20, 2009. doi: 10.1186/1743-0003-6-20.</w:t>
      </w:r>
    </w:p>
    <w:p>
      <w:pPr>
        <w:spacing w:after="100" w:line="276" w:lineRule="auto"/>
        <w:ind w:left="360" w:hanging="360"/>
      </w:pPr>
      <w:r>
        <w:rPr>
          <w:rFonts w:ascii="Calibri" w:hAnsi="Calibri" w:eastAsia="Microsoft JhengHei"/>
          <w:color w:val="000000"/>
          <w:sz w:val="19"/>
        </w:rPr>
        <w:t>[5] A. A. Blank, J. A. French, A. U. Pehlivan, and M. K. O’Malley, ‘Current trends in robot-assisted upper-limb stroke rehabilitation: Promoting patient engagement in therapy,’ Current Physical Medicine and Rehabilitation Reports, vol. 2, pp. 184-195, 2014. doi: 10.1007/s40141-014-0056-z.</w:t>
      </w:r>
    </w:p>
    <w:p>
      <w:pPr>
        <w:spacing w:after="100" w:line="276" w:lineRule="auto"/>
        <w:ind w:left="360" w:hanging="360"/>
      </w:pPr>
      <w:r>
        <w:rPr>
          <w:rFonts w:ascii="Calibri" w:hAnsi="Calibri" w:eastAsia="Microsoft JhengHei"/>
          <w:color w:val="000000"/>
          <w:sz w:val="19"/>
        </w:rPr>
        <w:t>[6] L. E. Kahn, M. L. Zygman, W. Z. Rymer, and D. J. Reinkensmeyer, ‘Robot-assisted reaching exercise promotes arm movement recovery in chronic hemiparetic stroke,’ Journal of NeuroEngineering and Rehabilitation, vol. 3, article 12, 2006. doi: 10.1186/1743-0003-3-12.</w:t>
      </w:r>
    </w:p>
    <w:p>
      <w:pPr>
        <w:spacing w:after="100" w:line="276" w:lineRule="auto"/>
        <w:ind w:left="360" w:hanging="360"/>
      </w:pPr>
      <w:r>
        <w:rPr>
          <w:rFonts w:ascii="Calibri" w:hAnsi="Calibri" w:eastAsia="Microsoft JhengHei"/>
          <w:color w:val="000000"/>
          <w:sz w:val="19"/>
        </w:rPr>
        <w:t>[7] I. Aprile, M. Germanotta, A. Cruciani, et al., ‘Upper limb robotic rehabilitation after stroke: A multicenter, randomized clinical trial,’ Journal of Neurologic Physical Therapy, vol. 44, no. 1, pp. 3-14, 2020. doi: 10.1097/NPT.0000000000000295.</w:t>
      </w:r>
    </w:p>
    <w:p>
      <w:pPr>
        <w:spacing w:after="100" w:line="276" w:lineRule="auto"/>
        <w:ind w:left="360" w:hanging="360"/>
      </w:pPr>
      <w:r>
        <w:rPr>
          <w:rFonts w:ascii="Calibri" w:hAnsi="Calibri" w:eastAsia="Microsoft JhengHei"/>
          <w:color w:val="000000"/>
          <w:sz w:val="19"/>
        </w:rPr>
        <w:t>[8] S. Y. Jeon, M. Ki, and J.-H. Shin, ‘Resistive versus active assisted robotic training for the upper limb after a stroke,’ Annals of Physical and Rehabilitation Medicine, vol. 67, no. 1, article 101789, 2024. doi: 10.1016/j.rehab.2023.101789.</w:t>
      </w:r>
    </w:p>
    <w:p>
      <w:pPr>
        <w:spacing w:after="100" w:line="276" w:lineRule="auto"/>
        <w:ind w:left="360" w:hanging="360"/>
      </w:pPr>
      <w:r>
        <w:rPr>
          <w:rFonts w:ascii="Calibri" w:hAnsi="Calibri" w:eastAsia="Microsoft JhengHei"/>
          <w:color w:val="000000"/>
          <w:sz w:val="19"/>
        </w:rPr>
        <w:t>[9] C. Kim, Y. Moon, and J. Choi, ‘Model predictive control-based assist-as-needed strategy for reducing motor slacking in robot-assisted rehabilitation,’ Sensors, vol. 26, no. 9, article 2740, 2026. doi: 10.3390/s26092740.</w:t>
      </w:r>
    </w:p>
    <w:p>
      <w:pPr>
        <w:spacing w:after="100" w:line="276" w:lineRule="auto"/>
        <w:ind w:left="360" w:hanging="360"/>
      </w:pPr>
      <w:r>
        <w:rPr>
          <w:rFonts w:ascii="Calibri" w:hAnsi="Calibri" w:eastAsia="Microsoft JhengHei"/>
          <w:color w:val="000000"/>
          <w:sz w:val="19"/>
        </w:rPr>
        <w:t>[10] Z. Fang, S. Woodford, D. Senanayake, and D. Ackland, ‘Conversion of upper-limb inertial measurement unit data to joint angles: A systematic review,’ Sensors, vol. 23, no. 14, article 6535, 2023. doi: 10.3390/s23146535.</w:t>
      </w:r>
    </w:p>
    <w:p>
      <w:pPr>
        <w:spacing w:after="100" w:line="276" w:lineRule="auto"/>
        <w:ind w:left="360" w:hanging="360"/>
      </w:pPr>
      <w:r>
        <w:rPr>
          <w:rFonts w:ascii="Calibri" w:hAnsi="Calibri" w:eastAsia="Microsoft JhengHei"/>
          <w:color w:val="000000"/>
          <w:sz w:val="19"/>
        </w:rPr>
        <w:t>[11] M. El-Gohary and J. McNames, ‘Shoulder and elbow joint angle tracking with inertial sensors,’ IEEE Transactions on Biomedical Engineering, vol. 59, no. 9, pp. 2635-2641, 2012. doi: 10.1109/TBME.2012.2208750.</w:t>
      </w:r>
    </w:p>
    <w:p>
      <w:pPr>
        <w:spacing w:after="100" w:line="276" w:lineRule="auto"/>
        <w:ind w:left="360" w:hanging="360"/>
      </w:pPr>
      <w:r>
        <w:rPr>
          <w:rFonts w:ascii="Calibri" w:hAnsi="Calibri" w:eastAsia="Microsoft JhengHei"/>
          <w:color w:val="000000"/>
          <w:sz w:val="19"/>
        </w:rPr>
        <w:t>[12] P. Müller, M.-A. Bégin, T. Schauer, and T. Seel, ‘Alignment-free, self-calibrating elbow angles measurement using inertial sensors,’ IEEE Journal of Biomedical and Health Informatics, vol. 21, no. 2, pp. 312-319, 2017. doi: 10.1109/JBHI.2016.2639537.</w:t>
      </w:r>
    </w:p>
    <w:p>
      <w:pPr>
        <w:spacing w:after="100" w:line="276" w:lineRule="auto"/>
        <w:ind w:left="360" w:hanging="360"/>
      </w:pPr>
      <w:r>
        <w:rPr>
          <w:rFonts w:ascii="Calibri" w:hAnsi="Calibri" w:eastAsia="Microsoft JhengHei"/>
          <w:color w:val="000000"/>
          <w:sz w:val="19"/>
        </w:rPr>
        <w:t>[13] M. M. B. Morrow, B. Lowndes, E. Fortune, K. R. Kaufman, and M. S. Hallbeck, ‘Validation of inertial measurement units for upper body kinematics,’ Journal of Applied Biomechanics, vol. 33, no. 3, pp. 227-232, 2017. doi: 10.1123/jab.2016-0120.</w:t>
      </w:r>
    </w:p>
    <w:p>
      <w:pPr>
        <w:spacing w:after="100" w:line="276" w:lineRule="auto"/>
        <w:ind w:left="360" w:hanging="360"/>
      </w:pPr>
      <w:r>
        <w:rPr>
          <w:rFonts w:ascii="Calibri" w:hAnsi="Calibri" w:eastAsia="Microsoft JhengHei"/>
          <w:color w:val="000000"/>
          <w:sz w:val="19"/>
        </w:rPr>
        <w:t>[14] F. Karadeniz, Ö. E. Aydoğan, E. A. Kazancı, and E. Akdoğan, ‘Design of a 4-DOF grounded exoskeletal robot for shoulder and elbow rehabilitation,’ Sustainable Engineering and Innovation, vol. 2, no. 1, pp. 41-65, 2020. doi: 10.37868/sei.v2i1.106.</w:t>
      </w:r>
    </w:p>
    <w:p>
      <w:pPr>
        <w:spacing w:after="100" w:line="276" w:lineRule="auto"/>
        <w:ind w:left="360" w:hanging="360"/>
      </w:pPr>
      <w:r>
        <w:rPr>
          <w:rFonts w:ascii="Calibri" w:hAnsi="Calibri" w:eastAsia="Microsoft JhengHei"/>
          <w:color w:val="000000"/>
          <w:sz w:val="19"/>
        </w:rPr>
        <w:t>[15] L. Zhang, S. Guo, and Q. Sun, ‘Development and assist-as-needed control of an end-effector upper limb rehabilitation robot,’ Applied Sciences, vol. 10, no. 19, article 6684, 2020. doi: 10.3390/app10196684.</w:t>
      </w:r>
    </w:p>
    <w:p>
      <w:pPr>
        <w:spacing w:after="100" w:line="276" w:lineRule="auto"/>
        <w:ind w:left="360" w:hanging="360"/>
      </w:pPr>
      <w:r>
        <w:rPr>
          <w:rFonts w:ascii="Calibri" w:hAnsi="Calibri" w:eastAsia="Microsoft JhengHei"/>
          <w:color w:val="000000"/>
          <w:sz w:val="19"/>
        </w:rPr>
        <w:t>[16] L. Zhang, S. Guo, and F. Xi, ‘Performance-based assistance control for robot-mediated upper-limbs rehabilitation,’ Mechatronics, vol. 89, article 102919, 2023. doi: 10.1016/j.mechatronics.2022.102919.</w:t>
      </w:r>
    </w:p>
    <w:p>
      <w:pPr>
        <w:spacing w:after="100" w:line="276" w:lineRule="auto"/>
        <w:ind w:left="360" w:hanging="360"/>
      </w:pPr>
      <w:r>
        <w:rPr>
          <w:rFonts w:ascii="Calibri" w:hAnsi="Calibri" w:eastAsia="Microsoft JhengHei"/>
          <w:color w:val="000000"/>
          <w:sz w:val="19"/>
        </w:rPr>
        <w:t>[17] T. Ahmed, M. R. Islam, B. Brahmi, and M. H. Rahman, ‘Robustness and tracking performance evaluation of PID motion control of 7 DoF anthropomorphic exoskeleton robot assisted upper limb rehabilitation,’ Sensors, vol. 22, no. 10, article 3747, 2022. doi: 10.3390/s22103747.</w:t>
      </w:r>
    </w:p>
    <w:p>
      <w:pPr>
        <w:spacing w:after="100" w:line="276" w:lineRule="auto"/>
        <w:ind w:left="360" w:hanging="360"/>
      </w:pPr>
      <w:r>
        <w:rPr>
          <w:rFonts w:ascii="Calibri" w:hAnsi="Calibri" w:eastAsia="Microsoft JhengHei"/>
          <w:color w:val="000000"/>
          <w:sz w:val="19"/>
        </w:rPr>
        <w:t>[18] T. Song, K. Zhang, Z. Yan, Y. Li, S. Guo, and X. Li, ‘Research on upper limb motion intention classification and rehabilitation robot control based on sEMG,’ Sensors, vol. 25, no. 4, article 1057, 2025. doi: 10.3390/s25041057.（未來延伸。）</w:t>
      </w:r>
    </w:p>
    <w:p>
      <w:pPr>
        <w:spacing w:after="100" w:line="276" w:lineRule="auto"/>
        <w:ind w:left="360" w:hanging="360"/>
      </w:pPr>
      <w:r>
        <w:rPr>
          <w:rFonts w:ascii="Calibri" w:hAnsi="Calibri" w:eastAsia="Microsoft JhengHei"/>
          <w:color w:val="000000"/>
          <w:sz w:val="19"/>
        </w:rPr>
        <w:t>[19] World Health Organization, ‘Ensuring access to rehabilitation for all,’ 2023. Available: https://www.who.int/news-room/feature-stories/detail/ensuring-access-to-rehabilitation-for-all</w:t>
      </w:r>
    </w:p>
    <w:p>
      <w:pPr>
        <w:spacing w:after="100" w:line="276" w:lineRule="auto"/>
        <w:ind w:left="360" w:hanging="360"/>
      </w:pPr>
      <w:r>
        <w:rPr>
          <w:rFonts w:ascii="Calibri" w:hAnsi="Calibri" w:eastAsia="Microsoft JhengHei"/>
          <w:color w:val="000000"/>
          <w:sz w:val="19"/>
        </w:rPr>
        <w:t>[20] K. Boardsworth, U. Rashid, S. Olsen, et al., ‘Upper limb robotic rehabilitation following stroke: A systematic review and meta-analysis investigating efficacy and the influence of device features and program parameters,’ Journal of NeuroEngineering and Rehabilitation, vol. 22, article 164, 2025. doi: 10.1186/s12984-025-01662-4.</w:t>
      </w:r>
    </w:p>
    <w:p>
      <w:pPr>
        <w:spacing w:after="100" w:line="276" w:lineRule="auto"/>
        <w:ind w:left="360" w:hanging="360"/>
      </w:pPr>
      <w:r>
        <w:rPr>
          <w:rFonts w:ascii="Calibri" w:hAnsi="Calibri" w:eastAsia="Microsoft JhengHei"/>
          <w:color w:val="000000"/>
          <w:sz w:val="19"/>
        </w:rPr>
        <w:t>[21] A. U. Pehlivan, D. P. Losey, and M. K. O’Malley, ‘Minimal assist-as-needed controller for upper limb robotic rehabilitation,’ IEEE Transactions on Robotics, vol. 32, no. 1, pp. 113-124, 2016. doi: 10.1109/TRO.2015.2503726.</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Microsoft JhengHei"/>
        <w:color w:val="5E6B75"/>
        <w:sz w:val="18"/>
      </w:rPr>
      <w:t xml:space="preserve">第 </w:t>
    </w:r>
    <w:fldSimple w:instr="PAGE"/>
    <w:r>
      <w:rPr>
        <w:rFonts w:ascii="Calibri" w:hAnsi="Calibri" w:eastAsia="Microsoft JhengHei"/>
        <w:color w:val="5E6B75"/>
        <w:sz w:val="18"/>
      </w:rPr>
      <w:t xml:space="preserve"> 頁</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eastAsia="Microsoft JhengHei"/>
        <w:color w:val="5E6B75"/>
        <w:sz w:val="17"/>
      </w:rPr>
      <w:t>國立成功大學生物醫學工程學系畢業專題｜上肢動作量測與按需輔助控制</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320" w:lineRule="auto"/>
      <w:jc w:val="both"/>
    </w:pPr>
    <w:rPr>
      <w:rFonts w:ascii="Calibri" w:hAnsi="Calibri" w:eastAsia="Microsoft JhengHe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Microsoft JhengHe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Microsoft JhengHe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Microsoft JhengHe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90" w:lineRule="auto"/>
      <w:ind w:left="540" w:hanging="279"/>
      <w:contextualSpacing/>
    </w:pPr>
    <w:rPr>
      <w:rFonts w:ascii="Calibri" w:hAnsi="Calibri" w:eastAsia="Microsoft JhengHe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90" w:lineRule="auto"/>
      <w:ind w:left="540" w:hanging="279"/>
      <w:contextualSpacing/>
    </w:pPr>
    <w:rPr>
      <w:rFonts w:ascii="Calibri" w:hAnsi="Calibri" w:eastAsia="Microsoft JhengHe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80" w:after="160"/>
      <w:jc w:val="center"/>
    </w:pPr>
    <w:rPr>
      <w:rFonts w:ascii="Calibri" w:hAnsi="Calibri" w:eastAsia="Microsoft JhengHei"/>
      <w:b/>
      <w:bCs/>
      <w:color w:val="5E6B75"/>
      <w:sz w:val="19"/>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基於雙 IMU 回授與目標軌跡導引之上肢復健按需輔助控制系統設計：非臨床工程驗證</dc:title>
  <dc:subject>畢業專題正式研究計畫書</dc:subject>
  <dc:creator>[學生姓名待填]；指導教授：陳家進</dc:creator>
  <cp:keywords>上肢運動量測, 雙IMU, 個人化ROM, performance-based Assist-as-Needed, PID, 嵌入式故障反應</cp:keywords>
  <dc:description>generated by python-docx</dc:description>
  <cp:lastModifiedBy/>
  <cp:revision>1</cp:revision>
  <dcterms:created xsi:type="dcterms:W3CDTF">2013-12-23T23:15:00Z</dcterms:created>
  <dcterms:modified xsi:type="dcterms:W3CDTF">2013-12-23T23:15:00Z</dcterms:modified>
  <cp:category/>
</cp:coreProperties>
</file>