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C9F0" w14:textId="77777777" w:rsidR="00CD46E8" w:rsidRPr="0082128C" w:rsidRDefault="00000000">
      <w:pPr>
        <w:pStyle w:val="aa"/>
        <w:keepNext/>
        <w:ind w:firstLine="0"/>
        <w:jc w:val="center"/>
        <w:rPr>
          <w:rFonts w:ascii="Times New Roman" w:eastAsia="標楷體" w:hAnsi="Times New Roman" w:cs="Times New Roman"/>
          <w:lang w:eastAsia="zh-TW"/>
        </w:rPr>
      </w:pPr>
      <w:r w:rsidRPr="0082128C">
        <w:rPr>
          <w:rFonts w:ascii="Times New Roman" w:eastAsia="標楷體" w:hAnsi="Times New Roman" w:cs="Times New Roman"/>
          <w:b/>
          <w:color w:val="000000"/>
          <w:sz w:val="36"/>
          <w:lang w:eastAsia="zh-TW"/>
        </w:rPr>
        <w:t>具訊號品質感知之</w:t>
      </w:r>
      <w:r w:rsidRPr="0082128C">
        <w:rPr>
          <w:rFonts w:ascii="Times New Roman" w:eastAsia="標楷體" w:hAnsi="Times New Roman" w:cs="Times New Roman"/>
          <w:b/>
          <w:color w:val="000000"/>
          <w:sz w:val="36"/>
          <w:lang w:eastAsia="zh-TW"/>
        </w:rPr>
        <w:t xml:space="preserve"> IMU </w:t>
      </w:r>
      <w:r w:rsidRPr="0082128C">
        <w:rPr>
          <w:rFonts w:ascii="Times New Roman" w:eastAsia="標楷體" w:hAnsi="Times New Roman" w:cs="Times New Roman"/>
          <w:b/>
          <w:color w:val="000000"/>
          <w:sz w:val="36"/>
          <w:lang w:eastAsia="zh-TW"/>
        </w:rPr>
        <w:t>與表面肌電多模態動作意圖辨識及低功耗可硬體化架構</w:t>
      </w:r>
    </w:p>
    <w:p w14:paraId="68A9A279" w14:textId="77777777" w:rsidR="00CD46E8" w:rsidRPr="0082128C" w:rsidRDefault="00000000">
      <w:pPr>
        <w:spacing w:after="60" w:line="288" w:lineRule="auto"/>
        <w:ind w:firstLine="0"/>
        <w:jc w:val="center"/>
        <w:rPr>
          <w:rFonts w:eastAsia="標楷體"/>
          <w:lang w:eastAsia="zh-TW"/>
        </w:rPr>
      </w:pPr>
      <w:r>
        <w:rPr>
          <w:rFonts w:ascii="Times New Roman" w:hAnsi="Times New Roman" w:eastAsia="標楷體" w:cs="Times New Roman"/>
          <w:b w:val="0"/>
          <w:color w:val="000000"/>
          <w:sz w:val="22"/>
        </w:rPr>
        <w:t>成大醫工醫學電子組　神經肌肉訊號處理、穿戴式生醫電子與嵌入式系統</w:t>
      </w:r>
    </w:p>
    <w:p w14:paraId="4ECAF531" w14:textId="77777777" w:rsidR="00CD46E8" w:rsidRPr="0082128C" w:rsidRDefault="00000000">
      <w:pPr>
        <w:spacing w:after="60" w:line="288" w:lineRule="auto"/>
        <w:ind w:firstLine="0"/>
        <w:jc w:val="center"/>
        <w:rPr>
          <w:rFonts w:eastAsia="標楷體"/>
          <w:lang w:eastAsia="zh-TW"/>
        </w:rPr>
      </w:pPr>
      <w:r>
        <w:rPr>
          <w:rFonts w:ascii="Times New Roman" w:hAnsi="Times New Roman" w:eastAsia="標楷體" w:cs="Times New Roman"/>
          <w:b w:val="0"/>
          <w:color w:val="000000"/>
          <w:sz w:val="21"/>
        </w:rPr>
        <w:t>申請人：郭于綸</w:t>
      </w:r>
    </w:p>
    <w:p w14:paraId="5B2D4598"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8"/>
          <w:lang w:eastAsia="zh-TW"/>
        </w:rPr>
        <w:t>摘要</w:t>
      </w:r>
    </w:p>
    <w:p w14:paraId="72D3CE87"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標楷體" w:cs="Times New Roman"/>
          <w:color w:val="000000"/>
          <w:sz w:val="24"/>
        </w:rPr>
        <w:t>穿戴式生醫電子若要長時間應用於神經復健、動作輔助與居家健康照護，除了辨識準確率，還必須兼顧訊號可靠度、即時性與能源消耗。表面肌電（sEMG）是反映運動單元募集與肌肉活化的非侵入式周邊神經肌肉訊號，可在肢體產生明顯位移前提供動作意圖資訊，但容易受到電極位移、皮膚接觸、肌肉疲勞與動作偽影影響；慣性量測單元（IMU）則描述實際肢體運動，可提供互補的動作學資訊。既有研究已證明 sEMG 與慣性感測融合能改善動作辨識 [1–2]，也分別探討跨次量測變異 [3–4]、自適應取樣 [5–6] 與低功耗硬體辨識 [7–8]，但較少在同一個穿戴式系統中，將即時訊號品質、多模態融合與硬體運算負擔共同納入設計。本研究擬建立同步 IMU–sEMG 穿戴式量測平台，以可解釋的訊號品質指標動態調整融合權重與系統運作模式，再將演算法定點化並部署於低功耗 MCU 或 FPGA，建立可延伸至神經肌肉人機介面、醫療量測系統與穿戴式生醫電子的實作架構。</w:t>
      </w:r>
    </w:p>
    <w:p w14:paraId="42A709FA"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8"/>
          <w:lang w:eastAsia="zh-TW"/>
        </w:rPr>
        <w:t>一、研究動機與個人基礎</w:t>
      </w:r>
    </w:p>
    <w:p w14:paraId="1D369C41" w14:textId="77777777" w:rsidR="00CD46E8" w:rsidRPr="0082128C" w:rsidRDefault="00000000">
      <w:pPr>
        <w:spacing w:line="360" w:lineRule="auto" w:after="80"/>
        <w:ind w:firstLine="480"/>
        <w:jc w:val="both"/>
        <w:rPr>
          <w:rFonts w:eastAsia="標楷體"/>
          <w:lang w:eastAsia="zh-TW"/>
        </w:rPr>
      </w:pPr>
      <w:r w:rsidRPr="0082128C">
        <w:rPr>
          <w:rFonts w:eastAsia="標楷體" w:ascii="Times New Roman" w:hAnsi="Times New Roman" w:cs="Times New Roman"/>
          <w:color w:val="000000"/>
          <w:sz w:val="24"/>
          <w:lang w:eastAsia="zh-TW"/>
        </w:rPr>
        <w:t>穿戴式生醫系統真正困難之處，並不是在乾淨資料上取得一次高準確率，而是感測器被日常使用者重複穿戴、移動與長時間操作後，仍能判斷目前資料是否可信。</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的振幅微弱，電極位置或接觸狀況稍有改變，就可能造成特徵分布與辨識結果漂移；若系統仍以固定模型與固定運算模式處理，不僅容易產生錯誤判斷，也會持續消耗穿戴裝置有限的電力。相反地，若裝置能先辨識訊號品質，再決定應信任哪一種感測資訊、需要多少運算精度以及何時進入完整辨識模式，便可能同時提高可靠度與能源效率。這正是從生醫訊號演算法走向實際穿戴電子時必須補上的環節。</w:t>
      </w:r>
    </w:p>
    <w:p w14:paraId="53153AAF"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標楷體" w:cs="Times New Roman"/>
          <w:color w:val="000000"/>
          <w:sz w:val="24"/>
        </w:rPr>
        <w:t>我目前就讀成功大學生物醫學工程學系四年級，並在生醫訊號與神經工程實驗室進行雙 IMU 上肢復健輔助系統專題，整合人體動作感測、Raspberry Pi 軟體、ESP32 韌體、Web 介面、馬達控制、通訊與安全狀態機。除了 IMU 系統，我亦進行 sEMG 動作偵測與分類、前端放大電路、PCB 製作及 SPI 資料傳輸，並實際分析訊號品質與模型泛化問題。這些經驗使我從神經工程與動作輔助需求出發，逐步建立從微弱生理訊號、類比前端、數位演算法到嵌入式系統的整合能力，也讓我理解：若忽略取樣同步、電極狀態、封包遺失、運算延遲與硬體限制，即使離線模型表現良好，也不一定能成為可靠的醫療電子系統。未來我希望深化生醫訊號演算法、嵌入式即時系統與穿戴式生醫電子三項能力，並朝韌體工程與醫療電子系統開發方向發展。</w:t>
      </w:r>
    </w:p>
    <w:p w14:paraId="707939F1"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8"/>
          <w:lang w:eastAsia="zh-TW"/>
        </w:rPr>
        <w:t>二、文獻現況與研究缺口</w:t>
      </w:r>
    </w:p>
    <w:p w14:paraId="75B0C1BE"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4"/>
          <w:lang w:eastAsia="zh-TW"/>
        </w:rPr>
        <w:t xml:space="preserve">2.1 </w:t>
      </w:r>
      <w:r w:rsidRPr="0082128C">
        <w:rPr>
          <w:rFonts w:ascii="Times New Roman" w:eastAsia="標楷體" w:hAnsi="Times New Roman" w:cs="Times New Roman"/>
          <w:b/>
          <w:color w:val="000000"/>
          <w:sz w:val="24"/>
          <w:lang w:eastAsia="zh-TW"/>
        </w:rPr>
        <w:t>周邊神經肌肉訊號與</w:t>
      </w:r>
      <w:r w:rsidRPr="0082128C">
        <w:rPr>
          <w:rFonts w:ascii="Times New Roman" w:eastAsia="標楷體" w:hAnsi="Times New Roman" w:cs="Times New Roman"/>
          <w:b/>
          <w:color w:val="000000"/>
          <w:sz w:val="24"/>
          <w:lang w:eastAsia="zh-TW"/>
        </w:rPr>
        <w:t xml:space="preserve"> IMU </w:t>
      </w:r>
      <w:r w:rsidRPr="0082128C">
        <w:rPr>
          <w:rFonts w:ascii="Times New Roman" w:eastAsia="標楷體" w:hAnsi="Times New Roman" w:cs="Times New Roman"/>
          <w:b/>
          <w:color w:val="000000"/>
          <w:sz w:val="24"/>
          <w:lang w:eastAsia="zh-TW"/>
        </w:rPr>
        <w:t>具有互補性</w:t>
      </w:r>
    </w:p>
    <w:p w14:paraId="19058525" w14:textId="77777777" w:rsidR="00CD46E8" w:rsidRPr="0082128C" w:rsidRDefault="00000000">
      <w:pPr>
        <w:spacing w:line="360" w:lineRule="auto" w:after="80"/>
        <w:ind w:firstLine="480"/>
        <w:jc w:val="both"/>
        <w:rPr>
          <w:rFonts w:eastAsia="標楷體"/>
          <w:lang w:eastAsia="zh-TW"/>
        </w:rPr>
      </w:pP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量測肌肉纖維動作電位的疊加結果，可間接反映運動神經驅動、運動單元募集與肌肉活化，因此是神經工程中常用的非侵入式周邊神經肌肉介面。研究顯示，肌電與慣性感測的共同使用可改善義肢或上肢動作辨識，因為</w:t>
      </w:r>
      <w:r w:rsidRPr="0082128C">
        <w:rPr>
          <w:rFonts w:eastAsia="標楷體" w:ascii="Times New Roman" w:hAnsi="Times New Roman" w:cs="Times New Roman"/>
          <w:color w:val="000000"/>
          <w:sz w:val="24"/>
          <w:lang w:eastAsia="zh-TW"/>
        </w:rPr>
        <w:t xml:space="preserve"> </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提供動作產生前後的肌肉活化資訊，慣性感測則描述實際肢體姿態與運動</w:t>
      </w:r>
      <w:r w:rsidRPr="0082128C">
        <w:rPr>
          <w:rFonts w:eastAsia="標楷體" w:ascii="Times New Roman" w:hAnsi="Times New Roman" w:cs="Times New Roman"/>
          <w:color w:val="000000"/>
          <w:sz w:val="24"/>
          <w:lang w:eastAsia="zh-TW"/>
        </w:rPr>
        <w:t xml:space="preserve"> [1]</w:t>
      </w:r>
      <w:r w:rsidRPr="0082128C">
        <w:rPr>
          <w:rFonts w:eastAsia="標楷體" w:ascii="Times New Roman" w:hAnsi="Times New Roman" w:cs="Times New Roman"/>
          <w:color w:val="000000"/>
          <w:sz w:val="24"/>
          <w:lang w:eastAsia="zh-TW"/>
        </w:rPr>
        <w:t>。多模態穿戴式系統也已證明，有限數量的</w:t>
      </w:r>
      <w:r w:rsidRPr="0082128C">
        <w:rPr>
          <w:rFonts w:eastAsia="標楷體" w:ascii="Times New Roman" w:hAnsi="Times New Roman" w:cs="Times New Roman"/>
          <w:color w:val="000000"/>
          <w:sz w:val="24"/>
          <w:lang w:eastAsia="zh-TW"/>
        </w:rPr>
        <w:t xml:space="preserve"> IMU </w:t>
      </w:r>
      <w:r w:rsidRPr="0082128C">
        <w:rPr>
          <w:rFonts w:eastAsia="標楷體" w:ascii="Times New Roman" w:hAnsi="Times New Roman" w:cs="Times New Roman"/>
          <w:color w:val="000000"/>
          <w:sz w:val="24"/>
          <w:lang w:eastAsia="zh-TW"/>
        </w:rPr>
        <w:t>與</w:t>
      </w:r>
      <w:r w:rsidRPr="0082128C">
        <w:rPr>
          <w:rFonts w:eastAsia="標楷體" w:ascii="Times New Roman" w:hAnsi="Times New Roman" w:cs="Times New Roman"/>
          <w:color w:val="000000"/>
          <w:sz w:val="24"/>
          <w:lang w:eastAsia="zh-TW"/>
        </w:rPr>
        <w:t xml:space="preserve"> </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可共同追蹤上肢運動學與肌肉活動</w:t>
      </w:r>
      <w:r w:rsidRPr="0082128C">
        <w:rPr>
          <w:rFonts w:eastAsia="標楷體" w:ascii="Times New Roman" w:hAnsi="Times New Roman" w:cs="Times New Roman"/>
          <w:color w:val="000000"/>
          <w:sz w:val="24"/>
          <w:lang w:eastAsia="zh-TW"/>
        </w:rPr>
        <w:t xml:space="preserve"> [2]</w:t>
      </w:r>
      <w:r w:rsidRPr="0082128C">
        <w:rPr>
          <w:rFonts w:eastAsia="標楷體" w:ascii="Times New Roman" w:hAnsi="Times New Roman" w:cs="Times New Roman"/>
          <w:color w:val="000000"/>
          <w:sz w:val="24"/>
          <w:lang w:eastAsia="zh-TW"/>
        </w:rPr>
        <w:t>。因此，本研究利用兩者在神經肌肉活化與動作結果上的互補性，而非單純增加感測器數量。</w:t>
      </w:r>
    </w:p>
    <w:p w14:paraId="03D19E4F"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4"/>
          <w:lang w:eastAsia="zh-TW"/>
        </w:rPr>
        <w:t xml:space="preserve">2.2 </w:t>
      </w:r>
      <w:r w:rsidRPr="0082128C">
        <w:rPr>
          <w:rFonts w:ascii="Times New Roman" w:eastAsia="標楷體" w:hAnsi="Times New Roman" w:cs="Times New Roman"/>
          <w:b/>
          <w:color w:val="000000"/>
          <w:sz w:val="24"/>
          <w:lang w:eastAsia="zh-TW"/>
        </w:rPr>
        <w:t>日常穿戴造成的分布漂移仍是主要問題</w:t>
      </w:r>
    </w:p>
    <w:p w14:paraId="1BB2E337" w14:textId="77777777" w:rsidR="00CD46E8" w:rsidRPr="0082128C" w:rsidRDefault="00000000">
      <w:pPr>
        <w:spacing w:line="360" w:lineRule="auto" w:after="80"/>
        <w:ind w:firstLine="480"/>
        <w:jc w:val="both"/>
        <w:rPr>
          <w:rFonts w:eastAsia="標楷體"/>
          <w:lang w:eastAsia="zh-TW"/>
        </w:rPr>
      </w:pP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動作辨識在跨日、重複穿戴、電極位移、疲勞與個體差異下容易衰退；相關回顧指出，這些因素會增加使用者反覆校正的負擔</w:t>
      </w:r>
      <w:r w:rsidRPr="0082128C">
        <w:rPr>
          <w:rFonts w:eastAsia="標楷體" w:ascii="Times New Roman" w:hAnsi="Times New Roman" w:cs="Times New Roman"/>
          <w:color w:val="000000"/>
          <w:sz w:val="24"/>
          <w:lang w:eastAsia="zh-TW"/>
        </w:rPr>
        <w:t xml:space="preserve"> [3]</w:t>
      </w:r>
      <w:r w:rsidRPr="0082128C">
        <w:rPr>
          <w:rFonts w:eastAsia="標楷體" w:ascii="Times New Roman" w:hAnsi="Times New Roman" w:cs="Times New Roman"/>
          <w:color w:val="000000"/>
          <w:sz w:val="24"/>
          <w:lang w:eastAsia="zh-TW"/>
        </w:rPr>
        <w:t>。實驗研究亦顯示，電極位移會改變特徵與分類表現</w:t>
      </w:r>
      <w:r w:rsidRPr="0082128C">
        <w:rPr>
          <w:rFonts w:eastAsia="標楷體" w:ascii="Times New Roman" w:hAnsi="Times New Roman" w:cs="Times New Roman"/>
          <w:color w:val="000000"/>
          <w:sz w:val="24"/>
          <w:lang w:eastAsia="zh-TW"/>
        </w:rPr>
        <w:t xml:space="preserve"> [4]</w:t>
      </w:r>
      <w:r w:rsidRPr="0082128C">
        <w:rPr>
          <w:rFonts w:eastAsia="標楷體" w:ascii="Times New Roman" w:hAnsi="Times New Roman" w:cs="Times New Roman"/>
          <w:color w:val="000000"/>
          <w:sz w:val="24"/>
          <w:lang w:eastAsia="zh-TW"/>
        </w:rPr>
        <w:t>。相較於只增加模型複雜度，本研究希望先估測資料品質與異常來源，讓系統能降低不可信通道的權重、要求重新校正，或退回較保守的輸出。</w:t>
      </w:r>
    </w:p>
    <w:p w14:paraId="38C37665"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4"/>
          <w:lang w:eastAsia="zh-TW"/>
        </w:rPr>
        <w:t xml:space="preserve">2.3 </w:t>
      </w:r>
      <w:r w:rsidRPr="0082128C">
        <w:rPr>
          <w:rFonts w:ascii="Times New Roman" w:eastAsia="標楷體" w:hAnsi="Times New Roman" w:cs="Times New Roman"/>
          <w:b/>
          <w:color w:val="000000"/>
          <w:sz w:val="24"/>
          <w:lang w:eastAsia="zh-TW"/>
        </w:rPr>
        <w:t>低功耗研究多集中於取樣或推論的單一環節</w:t>
      </w:r>
    </w:p>
    <w:p w14:paraId="3DA1CA1F" w14:textId="77777777" w:rsidR="00CD46E8" w:rsidRPr="0082128C" w:rsidRDefault="00000000">
      <w:pPr>
        <w:spacing w:line="360" w:lineRule="auto" w:after="80"/>
        <w:ind w:firstLine="480"/>
        <w:jc w:val="both"/>
        <w:rPr>
          <w:rFonts w:eastAsia="標楷體"/>
          <w:lang w:eastAsia="zh-TW"/>
        </w:rPr>
      </w:pPr>
      <w:r w:rsidRPr="0082128C">
        <w:rPr>
          <w:rFonts w:eastAsia="標楷體" w:ascii="Times New Roman" w:hAnsi="Times New Roman" w:cs="Times New Roman"/>
          <w:color w:val="000000"/>
          <w:sz w:val="24"/>
          <w:lang w:eastAsia="zh-TW"/>
        </w:rPr>
        <w:t>自適應取樣研究已證明，可依資料內容調整取樣頻率，在辨識效能與能源間取得平衡</w:t>
      </w:r>
      <w:r w:rsidRPr="0082128C">
        <w:rPr>
          <w:rFonts w:eastAsia="標楷體" w:ascii="Times New Roman" w:hAnsi="Times New Roman" w:cs="Times New Roman"/>
          <w:color w:val="000000"/>
          <w:sz w:val="24"/>
          <w:lang w:eastAsia="zh-TW"/>
        </w:rPr>
        <w:t xml:space="preserve"> [5]</w:t>
      </w:r>
      <w:r w:rsidRPr="0082128C">
        <w:rPr>
          <w:rFonts w:eastAsia="標楷體" w:ascii="Times New Roman" w:hAnsi="Times New Roman" w:cs="Times New Roman"/>
          <w:color w:val="000000"/>
          <w:sz w:val="24"/>
          <w:lang w:eastAsia="zh-TW"/>
        </w:rPr>
        <w:t>；非均勻生醫訊號取樣亦可減少</w:t>
      </w:r>
      <w:r w:rsidRPr="0082128C">
        <w:rPr>
          <w:rFonts w:eastAsia="標楷體" w:ascii="Times New Roman" w:hAnsi="Times New Roman" w:cs="Times New Roman"/>
          <w:color w:val="000000"/>
          <w:sz w:val="24"/>
          <w:lang w:eastAsia="zh-TW"/>
        </w:rPr>
        <w:t xml:space="preserve"> EMG</w:t>
      </w:r>
      <w:r w:rsidRPr="0082128C">
        <w:rPr>
          <w:rFonts w:eastAsia="標楷體" w:ascii="Times New Roman" w:hAnsi="Times New Roman" w:cs="Times New Roman"/>
          <w:color w:val="000000"/>
          <w:sz w:val="24"/>
          <w:lang w:eastAsia="zh-TW"/>
        </w:rPr>
        <w:t>、</w:t>
      </w:r>
      <w:r w:rsidRPr="0082128C">
        <w:rPr>
          <w:rFonts w:eastAsia="標楷體" w:ascii="Times New Roman" w:hAnsi="Times New Roman" w:cs="Times New Roman"/>
          <w:color w:val="000000"/>
          <w:sz w:val="24"/>
          <w:lang w:eastAsia="zh-TW"/>
        </w:rPr>
        <w:t>ECG</w:t>
      </w:r>
      <w:r w:rsidRPr="0082128C">
        <w:rPr>
          <w:rFonts w:eastAsia="標楷體" w:ascii="Times New Roman" w:hAnsi="Times New Roman" w:cs="Times New Roman"/>
          <w:color w:val="000000"/>
          <w:sz w:val="24"/>
          <w:lang w:eastAsia="zh-TW"/>
        </w:rPr>
        <w:t>、</w:t>
      </w:r>
      <w:r w:rsidRPr="0082128C">
        <w:rPr>
          <w:rFonts w:eastAsia="標楷體" w:ascii="Times New Roman" w:hAnsi="Times New Roman" w:cs="Times New Roman"/>
          <w:color w:val="000000"/>
          <w:sz w:val="24"/>
          <w:lang w:eastAsia="zh-TW"/>
        </w:rPr>
        <w:t xml:space="preserve">EEG </w:t>
      </w:r>
      <w:r w:rsidRPr="0082128C">
        <w:rPr>
          <w:rFonts w:eastAsia="標楷體" w:ascii="Times New Roman" w:hAnsi="Times New Roman" w:cs="Times New Roman"/>
          <w:color w:val="000000"/>
          <w:sz w:val="24"/>
          <w:lang w:eastAsia="zh-TW"/>
        </w:rPr>
        <w:t>與加速度資料的取樣及傳輸負擔</w:t>
      </w:r>
      <w:r w:rsidRPr="0082128C">
        <w:rPr>
          <w:rFonts w:eastAsia="標楷體" w:ascii="Times New Roman" w:hAnsi="Times New Roman" w:cs="Times New Roman"/>
          <w:color w:val="000000"/>
          <w:sz w:val="24"/>
          <w:lang w:eastAsia="zh-TW"/>
        </w:rPr>
        <w:t xml:space="preserve"> [6]</w:t>
      </w:r>
      <w:r w:rsidRPr="0082128C">
        <w:rPr>
          <w:rFonts w:eastAsia="標楷體" w:ascii="Times New Roman" w:hAnsi="Times New Roman" w:cs="Times New Roman"/>
          <w:color w:val="000000"/>
          <w:sz w:val="24"/>
          <w:lang w:eastAsia="zh-TW"/>
        </w:rPr>
        <w:t>。另一方面，</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的二值化神經網路已可在</w:t>
      </w:r>
      <w:r w:rsidRPr="0082128C">
        <w:rPr>
          <w:rFonts w:eastAsia="標楷體" w:ascii="Times New Roman" w:hAnsi="Times New Roman" w:cs="Times New Roman"/>
          <w:color w:val="000000"/>
          <w:sz w:val="24"/>
          <w:lang w:eastAsia="zh-TW"/>
        </w:rPr>
        <w:t xml:space="preserve"> FPGA </w:t>
      </w:r>
      <w:r w:rsidRPr="0082128C">
        <w:rPr>
          <w:rFonts w:eastAsia="標楷體" w:ascii="Times New Roman" w:hAnsi="Times New Roman" w:cs="Times New Roman"/>
          <w:color w:val="000000"/>
          <w:sz w:val="24"/>
          <w:lang w:eastAsia="zh-TW"/>
        </w:rPr>
        <w:t>上完成低延遲推論</w:t>
      </w:r>
      <w:r w:rsidRPr="0082128C">
        <w:rPr>
          <w:rFonts w:eastAsia="標楷體" w:ascii="Times New Roman" w:hAnsi="Times New Roman" w:cs="Times New Roman"/>
          <w:color w:val="000000"/>
          <w:sz w:val="24"/>
          <w:lang w:eastAsia="zh-TW"/>
        </w:rPr>
        <w:t xml:space="preserve"> [7]</w:t>
      </w:r>
      <w:r w:rsidRPr="0082128C">
        <w:rPr>
          <w:rFonts w:eastAsia="標楷體" w:ascii="Times New Roman" w:hAnsi="Times New Roman" w:cs="Times New Roman"/>
          <w:color w:val="000000"/>
          <w:sz w:val="24"/>
          <w:lang w:eastAsia="zh-TW"/>
        </w:rPr>
        <w:t>，輕量化</w:t>
      </w:r>
      <w:r w:rsidRPr="0082128C">
        <w:rPr>
          <w:rFonts w:eastAsia="標楷體" w:ascii="Times New Roman" w:hAnsi="Times New Roman" w:cs="Times New Roman"/>
          <w:color w:val="000000"/>
          <w:sz w:val="24"/>
          <w:lang w:eastAsia="zh-TW"/>
        </w:rPr>
        <w:t xml:space="preserve"> </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加速器也顯示定點化與專用資料路徑的可行性</w:t>
      </w:r>
      <w:r w:rsidRPr="0082128C">
        <w:rPr>
          <w:rFonts w:eastAsia="標楷體" w:ascii="Times New Roman" w:hAnsi="Times New Roman" w:cs="Times New Roman"/>
          <w:color w:val="000000"/>
          <w:sz w:val="24"/>
          <w:lang w:eastAsia="zh-TW"/>
        </w:rPr>
        <w:t xml:space="preserve"> [8]</w:t>
      </w:r>
      <w:r w:rsidRPr="0082128C">
        <w:rPr>
          <w:rFonts w:eastAsia="標楷體" w:ascii="Times New Roman" w:hAnsi="Times New Roman" w:cs="Times New Roman"/>
          <w:color w:val="000000"/>
          <w:sz w:val="24"/>
          <w:lang w:eastAsia="zh-TW"/>
        </w:rPr>
        <w:t>。然而，訊號品質判斷、感測融合和硬體工作量通常分開最佳化，尚缺乏由同一個品質指標共同驅動融合策略與運算模式的系統性比較。</w:t>
      </w:r>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1814"/>
        <w:gridCol w:w="3628"/>
        <w:gridCol w:w="3628"/>
      </w:tblGrid>
      <w:tr w:rsidR="00CD46E8" w:rsidRPr="0082128C" w14:paraId="39CC48EC" w14:textId="77777777">
        <w:trPr>
          <w:cantSplit/>
          <w:jc w:val="center"/>
        </w:trPr>
        <w:tc>
          <w:tcPr>
            <w:tcW w:w="1814" w:type="dxa"/>
            <w:shd w:val="clear" w:color="auto" w:fill="D9E2F3"/>
            <w:tcMar>
              <w:top w:w="90" w:type="dxa"/>
              <w:left w:w="110" w:type="dxa"/>
              <w:bottom w:w="90" w:type="dxa"/>
              <w:right w:w="110" w:type="dxa"/>
              <w:start w:w="110" w:type="dxa"/>
              <w:end w:w="110" w:type="dxa"/>
            </w:tcMar>
            <w:vAlign w:val="center"/>
          </w:tcPr>
          <w:p w14:paraId="02D3E168" w14:textId="77777777" w:rsidR="00CD46E8" w:rsidRPr="0082128C" w:rsidRDefault="00000000">
            <w:pPr>
              <w:spacing w:before="20" w:after="20" w:line="276" w:lineRule="auto"/>
              <w:ind w:firstLine="0"/>
              <w:jc w:val="center"/>
              <w:rPr>
                <w:rFonts w:eastAsia="標楷體"/>
              </w:rPr>
            </w:pPr>
            <w:proofErr w:type="spellStart"/>
            <w:r w:rsidRPr="0082128C">
              <w:rPr>
                <w:rFonts w:eastAsia="標楷體" w:ascii="Times New Roman" w:hAnsi="Times New Roman" w:cs="Times New Roman"/>
                <w:b/>
                <w:color w:val="000000"/>
                <w:sz w:val="20"/>
              </w:rPr>
              <w:lastRenderedPageBreak/>
              <w:t>研究方向</w:t>
            </w:r>
            <w:proofErr w:type="spellEnd"/>
          </w:p>
        </w:tc>
        <w:tc>
          <w:tcPr>
            <w:tcW w:w="3628" w:type="dxa"/>
            <w:shd w:val="clear" w:color="auto" w:fill="D9E2F3"/>
            <w:tcMar>
              <w:top w:w="90" w:type="dxa"/>
              <w:left w:w="110" w:type="dxa"/>
              <w:bottom w:w="90" w:type="dxa"/>
              <w:right w:w="110" w:type="dxa"/>
              <w:start w:w="110" w:type="dxa"/>
              <w:end w:w="110" w:type="dxa"/>
            </w:tcMar>
            <w:vAlign w:val="center"/>
          </w:tcPr>
          <w:p w14:paraId="157AF39A"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既有基礎</w:t>
            </w:r>
          </w:p>
        </w:tc>
        <w:tc>
          <w:tcPr>
            <w:tcW w:w="3628" w:type="dxa"/>
            <w:shd w:val="clear" w:color="auto" w:fill="D9E2F3"/>
            <w:tcMar>
              <w:top w:w="90" w:type="dxa"/>
              <w:left w:w="110" w:type="dxa"/>
              <w:bottom w:w="90" w:type="dxa"/>
              <w:right w:w="110" w:type="dxa"/>
              <w:start w:w="110" w:type="dxa"/>
              <w:end w:w="110" w:type="dxa"/>
            </w:tcMar>
            <w:vAlign w:val="center"/>
          </w:tcPr>
          <w:p w14:paraId="28E023DB"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本研究承接問題</w:t>
            </w:r>
          </w:p>
        </w:tc>
      </w:tr>
      <w:tr w:rsidR="00CD46E8" w:rsidRPr="0082128C" w14:paraId="4DEC8462" w14:textId="77777777">
        <w:trPr>
          <w:cantSplit/>
          <w:jc w:val="center"/>
        </w:trPr>
        <w:tc>
          <w:tcPr>
            <w:tcW w:w="1814" w:type="dxa"/>
            <w:shd w:val="clear" w:color="auto" w:fill="FFFFFF"/>
            <w:tcMar>
              <w:top w:w="90" w:type="dxa"/>
              <w:left w:w="110" w:type="dxa"/>
              <w:bottom w:w="90" w:type="dxa"/>
              <w:right w:w="110" w:type="dxa"/>
              <w:start w:w="110" w:type="dxa"/>
              <w:end w:w="110" w:type="dxa"/>
            </w:tcMar>
            <w:vAlign w:val="center"/>
          </w:tcPr>
          <w:p w14:paraId="6D1660B2" w14:textId="77777777" w:rsidR="00CD46E8" w:rsidRPr="0082128C" w:rsidRDefault="00000000">
            <w:pPr>
              <w:spacing w:before="20" w:after="20" w:line="276" w:lineRule="auto"/>
              <w:ind w:firstLine="0"/>
              <w:jc w:val="left"/>
              <w:rPr>
                <w:rFonts w:eastAsia="標楷體"/>
              </w:rPr>
            </w:pPr>
            <w:r w:rsidRPr="0082128C">
              <w:rPr>
                <w:rFonts w:eastAsia="標楷體" w:ascii="Times New Roman" w:hAnsi="Times New Roman" w:cs="Times New Roman"/>
                <w:b w:val="0"/>
                <w:color w:val="000000"/>
                <w:sz w:val="20"/>
              </w:rPr>
              <w:t>多模態辨識</w:t>
            </w:r>
            <w:r w:rsidRPr="0082128C">
              <w:rPr>
                <w:rFonts w:eastAsia="標楷體" w:ascii="Times New Roman" w:hAnsi="Times New Roman" w:cs="Times New Roman"/>
                <w:b w:val="0"/>
                <w:color w:val="000000"/>
                <w:sz w:val="20"/>
              </w:rPr>
              <w:t xml:space="preserve"> [1–2]</w:t>
            </w:r>
          </w:p>
        </w:tc>
        <w:tc>
          <w:tcPr>
            <w:tcW w:w="3628" w:type="dxa"/>
            <w:shd w:val="clear" w:color="auto" w:fill="FFFFFF"/>
            <w:tcMar>
              <w:top w:w="90" w:type="dxa"/>
              <w:left w:w="110" w:type="dxa"/>
              <w:bottom w:w="90" w:type="dxa"/>
              <w:right w:w="110" w:type="dxa"/>
              <w:start w:w="110" w:type="dxa"/>
              <w:end w:w="110" w:type="dxa"/>
            </w:tcMar>
            <w:vAlign w:val="center"/>
          </w:tcPr>
          <w:p w14:paraId="0E887A23"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 xml:space="preserve">IMU </w:t>
            </w:r>
            <w:r w:rsidRPr="0082128C">
              <w:rPr>
                <w:rFonts w:eastAsia="標楷體" w:ascii="Times New Roman" w:hAnsi="Times New Roman" w:cs="Times New Roman"/>
                <w:b w:val="0"/>
                <w:color w:val="000000"/>
                <w:sz w:val="20"/>
                <w:lang w:eastAsia="zh-TW"/>
              </w:rPr>
              <w:t>與</w:t>
            </w:r>
            <w:r w:rsidRPr="0082128C">
              <w:rPr>
                <w:rFonts w:eastAsia="標楷體" w:ascii="Times New Roman" w:hAnsi="Times New Roman" w:cs="Times New Roman"/>
                <w:b w:val="0"/>
                <w:color w:val="000000"/>
                <w:sz w:val="20"/>
                <w:lang w:eastAsia="zh-TW"/>
              </w:rPr>
              <w:t xml:space="preserve"> </w:t>
            </w:r>
            <w:proofErr w:type="spellStart"/>
            <w:r w:rsidRPr="0082128C">
              <w:rPr>
                <w:rFonts w:eastAsia="標楷體" w:ascii="Times New Roman" w:hAnsi="Times New Roman" w:cs="Times New Roman"/>
                <w:b w:val="0"/>
                <w:color w:val="000000"/>
                <w:sz w:val="20"/>
                <w:lang w:eastAsia="zh-TW"/>
              </w:rPr>
              <w:t>sEMG</w:t>
            </w:r>
            <w:proofErr w:type="spellEnd"/>
            <w:r w:rsidRPr="0082128C">
              <w:rPr>
                <w:rFonts w:eastAsia="標楷體" w:ascii="Times New Roman" w:hAnsi="Times New Roman" w:cs="Times New Roman"/>
                <w:b w:val="0"/>
                <w:color w:val="000000"/>
                <w:sz w:val="20"/>
                <w:lang w:eastAsia="zh-TW"/>
              </w:rPr>
              <w:t xml:space="preserve"> </w:t>
            </w:r>
            <w:r w:rsidRPr="0082128C">
              <w:rPr>
                <w:rFonts w:eastAsia="標楷體" w:ascii="Times New Roman" w:hAnsi="Times New Roman" w:cs="Times New Roman"/>
                <w:b w:val="0"/>
                <w:color w:val="000000"/>
                <w:sz w:val="20"/>
                <w:lang w:eastAsia="zh-TW"/>
              </w:rPr>
              <w:t>融合可提供互補資訊。</w:t>
            </w:r>
          </w:p>
        </w:tc>
        <w:tc>
          <w:tcPr>
            <w:tcW w:w="3628" w:type="dxa"/>
            <w:shd w:val="clear" w:color="auto" w:fill="FFFFFF"/>
            <w:tcMar>
              <w:top w:w="90" w:type="dxa"/>
              <w:left w:w="110" w:type="dxa"/>
              <w:bottom w:w="90" w:type="dxa"/>
              <w:right w:w="110" w:type="dxa"/>
              <w:start w:w="110" w:type="dxa"/>
              <w:end w:w="110" w:type="dxa"/>
            </w:tcMar>
            <w:vAlign w:val="center"/>
          </w:tcPr>
          <w:p w14:paraId="24C252BB"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在訊號品質變動時，融合權重是否仍應固定？</w:t>
            </w:r>
          </w:p>
        </w:tc>
      </w:tr>
      <w:tr w:rsidR="00CD46E8" w:rsidRPr="0082128C" w14:paraId="3715C638" w14:textId="77777777">
        <w:trPr>
          <w:cantSplit/>
          <w:jc w:val="center"/>
        </w:trPr>
        <w:tc>
          <w:tcPr>
            <w:tcW w:w="1814" w:type="dxa"/>
            <w:shd w:val="clear" w:color="auto" w:fill="F7F7F7"/>
            <w:tcMar>
              <w:top w:w="90" w:type="dxa"/>
              <w:left w:w="110" w:type="dxa"/>
              <w:bottom w:w="90" w:type="dxa"/>
              <w:right w:w="110" w:type="dxa"/>
              <w:start w:w="110" w:type="dxa"/>
              <w:end w:w="110" w:type="dxa"/>
            </w:tcMar>
            <w:vAlign w:val="center"/>
          </w:tcPr>
          <w:p w14:paraId="059F8324"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跨次與電極位移</w:t>
            </w:r>
            <w:proofErr w:type="spellEnd"/>
            <w:r w:rsidRPr="0082128C">
              <w:rPr>
                <w:rFonts w:eastAsia="標楷體" w:ascii="Times New Roman" w:hAnsi="Times New Roman" w:cs="Times New Roman"/>
                <w:b w:val="0"/>
                <w:color w:val="000000"/>
                <w:sz w:val="20"/>
              </w:rPr>
              <w:t xml:space="preserve"> [3–4]</w:t>
            </w:r>
          </w:p>
        </w:tc>
        <w:tc>
          <w:tcPr>
            <w:tcW w:w="3628" w:type="dxa"/>
            <w:shd w:val="clear" w:color="auto" w:fill="F7F7F7"/>
            <w:tcMar>
              <w:top w:w="90" w:type="dxa"/>
              <w:left w:w="110" w:type="dxa"/>
              <w:bottom w:w="90" w:type="dxa"/>
              <w:right w:w="110" w:type="dxa"/>
              <w:start w:w="110" w:type="dxa"/>
              <w:end w:w="110" w:type="dxa"/>
            </w:tcMar>
            <w:vAlign w:val="center"/>
          </w:tcPr>
          <w:p w14:paraId="53769FE5"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已確認重複穿戴會降低</w:t>
            </w:r>
            <w:r w:rsidRPr="0082128C">
              <w:rPr>
                <w:rFonts w:eastAsia="標楷體" w:ascii="Times New Roman" w:hAnsi="Times New Roman" w:cs="Times New Roman"/>
                <w:b w:val="0"/>
                <w:color w:val="000000"/>
                <w:sz w:val="20"/>
                <w:lang w:eastAsia="zh-TW"/>
              </w:rPr>
              <w:t xml:space="preserve"> </w:t>
            </w:r>
            <w:proofErr w:type="spellStart"/>
            <w:r w:rsidRPr="0082128C">
              <w:rPr>
                <w:rFonts w:eastAsia="標楷體" w:ascii="Times New Roman" w:hAnsi="Times New Roman" w:cs="Times New Roman"/>
                <w:b w:val="0"/>
                <w:color w:val="000000"/>
                <w:sz w:val="20"/>
                <w:lang w:eastAsia="zh-TW"/>
              </w:rPr>
              <w:t>sEMG</w:t>
            </w:r>
            <w:proofErr w:type="spellEnd"/>
            <w:r w:rsidRPr="0082128C">
              <w:rPr>
                <w:rFonts w:eastAsia="標楷體" w:ascii="Times New Roman" w:hAnsi="Times New Roman" w:cs="Times New Roman"/>
                <w:b w:val="0"/>
                <w:color w:val="000000"/>
                <w:sz w:val="20"/>
                <w:lang w:eastAsia="zh-TW"/>
              </w:rPr>
              <w:t xml:space="preserve"> </w:t>
            </w:r>
            <w:r w:rsidRPr="0082128C">
              <w:rPr>
                <w:rFonts w:eastAsia="標楷體" w:ascii="Times New Roman" w:hAnsi="Times New Roman" w:cs="Times New Roman"/>
                <w:b w:val="0"/>
                <w:color w:val="000000"/>
                <w:sz w:val="20"/>
                <w:lang w:eastAsia="zh-TW"/>
              </w:rPr>
              <w:t>模型穩定度。</w:t>
            </w:r>
          </w:p>
        </w:tc>
        <w:tc>
          <w:tcPr>
            <w:tcW w:w="3628" w:type="dxa"/>
            <w:shd w:val="clear" w:color="auto" w:fill="F7F7F7"/>
            <w:tcMar>
              <w:top w:w="90" w:type="dxa"/>
              <w:left w:w="110" w:type="dxa"/>
              <w:bottom w:w="90" w:type="dxa"/>
              <w:right w:w="110" w:type="dxa"/>
              <w:start w:w="110" w:type="dxa"/>
              <w:end w:w="110" w:type="dxa"/>
            </w:tcMar>
            <w:vAlign w:val="center"/>
          </w:tcPr>
          <w:p w14:paraId="08E0E74A"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能否即時偵測品質下降並採取可解釋的降級策略？</w:t>
            </w:r>
          </w:p>
        </w:tc>
      </w:tr>
      <w:tr w:rsidR="00CD46E8" w:rsidRPr="0082128C" w14:paraId="21E2ACD5" w14:textId="77777777">
        <w:trPr>
          <w:cantSplit/>
          <w:jc w:val="center"/>
        </w:trPr>
        <w:tc>
          <w:tcPr>
            <w:tcW w:w="1814" w:type="dxa"/>
            <w:shd w:val="clear" w:color="auto" w:fill="FFFFFF"/>
            <w:tcMar>
              <w:top w:w="90" w:type="dxa"/>
              <w:left w:w="110" w:type="dxa"/>
              <w:bottom w:w="90" w:type="dxa"/>
              <w:right w:w="110" w:type="dxa"/>
              <w:start w:w="110" w:type="dxa"/>
              <w:end w:w="110" w:type="dxa"/>
            </w:tcMar>
            <w:vAlign w:val="center"/>
          </w:tcPr>
          <w:p w14:paraId="59621EFF"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自適應取樣</w:t>
            </w:r>
            <w:proofErr w:type="spellEnd"/>
            <w:r w:rsidRPr="0082128C">
              <w:rPr>
                <w:rFonts w:eastAsia="標楷體" w:ascii="Times New Roman" w:hAnsi="Times New Roman" w:cs="Times New Roman"/>
                <w:b w:val="0"/>
                <w:color w:val="000000"/>
                <w:sz w:val="20"/>
              </w:rPr>
              <w:t xml:space="preserve"> [5–6]</w:t>
            </w:r>
          </w:p>
        </w:tc>
        <w:tc>
          <w:tcPr>
            <w:tcW w:w="3628" w:type="dxa"/>
            <w:shd w:val="clear" w:color="auto" w:fill="FFFFFF"/>
            <w:tcMar>
              <w:top w:w="90" w:type="dxa"/>
              <w:left w:w="110" w:type="dxa"/>
              <w:bottom w:w="90" w:type="dxa"/>
              <w:right w:w="110" w:type="dxa"/>
              <w:start w:w="110" w:type="dxa"/>
              <w:end w:w="110" w:type="dxa"/>
            </w:tcMar>
            <w:vAlign w:val="center"/>
          </w:tcPr>
          <w:p w14:paraId="244BEF82"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依訊號活動度調整取樣可降低資料與傳輸負擔。</w:t>
            </w:r>
          </w:p>
        </w:tc>
        <w:tc>
          <w:tcPr>
            <w:tcW w:w="3628" w:type="dxa"/>
            <w:shd w:val="clear" w:color="auto" w:fill="FFFFFF"/>
            <w:tcMar>
              <w:top w:w="90" w:type="dxa"/>
              <w:left w:w="110" w:type="dxa"/>
              <w:bottom w:w="90" w:type="dxa"/>
              <w:right w:w="110" w:type="dxa"/>
              <w:start w:w="110" w:type="dxa"/>
              <w:end w:w="110" w:type="dxa"/>
            </w:tcMar>
            <w:vAlign w:val="center"/>
          </w:tcPr>
          <w:p w14:paraId="10302406"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如何避免節能策略遺失短暫的肌肉啟動資訊？</w:t>
            </w:r>
          </w:p>
        </w:tc>
      </w:tr>
      <w:tr w:rsidR="00CD46E8" w:rsidRPr="0082128C" w14:paraId="7E596BCB" w14:textId="77777777">
        <w:trPr>
          <w:cantSplit/>
          <w:jc w:val="center"/>
        </w:trPr>
        <w:tc>
          <w:tcPr>
            <w:tcW w:w="1814" w:type="dxa"/>
            <w:shd w:val="clear" w:color="auto" w:fill="F7F7F7"/>
            <w:tcMar>
              <w:top w:w="90" w:type="dxa"/>
              <w:left w:w="110" w:type="dxa"/>
              <w:bottom w:w="90" w:type="dxa"/>
              <w:right w:w="110" w:type="dxa"/>
              <w:start w:w="110" w:type="dxa"/>
              <w:end w:w="110" w:type="dxa"/>
            </w:tcMar>
            <w:vAlign w:val="center"/>
          </w:tcPr>
          <w:p w14:paraId="100D3921"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低功耗硬體</w:t>
            </w:r>
            <w:proofErr w:type="spellEnd"/>
            <w:r w:rsidRPr="0082128C">
              <w:rPr>
                <w:rFonts w:eastAsia="標楷體" w:ascii="Times New Roman" w:hAnsi="Times New Roman" w:cs="Times New Roman"/>
                <w:b w:val="0"/>
                <w:color w:val="000000"/>
                <w:sz w:val="20"/>
              </w:rPr>
              <w:t xml:space="preserve"> [7–8]</w:t>
            </w:r>
          </w:p>
        </w:tc>
        <w:tc>
          <w:tcPr>
            <w:tcW w:w="3628" w:type="dxa"/>
            <w:shd w:val="clear" w:color="auto" w:fill="F7F7F7"/>
            <w:tcMar>
              <w:top w:w="90" w:type="dxa"/>
              <w:left w:w="110" w:type="dxa"/>
              <w:bottom w:w="90" w:type="dxa"/>
              <w:right w:w="110" w:type="dxa"/>
              <w:start w:w="110" w:type="dxa"/>
              <w:end w:w="110" w:type="dxa"/>
            </w:tcMar>
            <w:vAlign w:val="center"/>
          </w:tcPr>
          <w:p w14:paraId="665560FB"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定點化與</w:t>
            </w:r>
            <w:r w:rsidRPr="0082128C">
              <w:rPr>
                <w:rFonts w:eastAsia="標楷體" w:ascii="Times New Roman" w:hAnsi="Times New Roman" w:cs="Times New Roman"/>
                <w:b w:val="0"/>
                <w:color w:val="000000"/>
                <w:sz w:val="20"/>
                <w:lang w:eastAsia="zh-TW"/>
              </w:rPr>
              <w:t xml:space="preserve"> FPGA </w:t>
            </w:r>
            <w:r w:rsidRPr="0082128C">
              <w:rPr>
                <w:rFonts w:eastAsia="標楷體" w:ascii="Times New Roman" w:hAnsi="Times New Roman" w:cs="Times New Roman"/>
                <w:b w:val="0"/>
                <w:color w:val="000000"/>
                <w:sz w:val="20"/>
                <w:lang w:eastAsia="zh-TW"/>
              </w:rPr>
              <w:t>加速可降低延遲和運算成本。</w:t>
            </w:r>
          </w:p>
        </w:tc>
        <w:tc>
          <w:tcPr>
            <w:tcW w:w="3628" w:type="dxa"/>
            <w:shd w:val="clear" w:color="auto" w:fill="F7F7F7"/>
            <w:tcMar>
              <w:top w:w="90" w:type="dxa"/>
              <w:left w:w="110" w:type="dxa"/>
              <w:bottom w:w="90" w:type="dxa"/>
              <w:right w:w="110" w:type="dxa"/>
              <w:start w:w="110" w:type="dxa"/>
              <w:end w:w="110" w:type="dxa"/>
            </w:tcMar>
            <w:vAlign w:val="center"/>
          </w:tcPr>
          <w:p w14:paraId="74766DA6"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融合與品質估測加入後，準確率、資源及能耗如何共同權衡？</w:t>
            </w:r>
          </w:p>
        </w:tc>
      </w:tr>
    </w:tbl>
    <w:p w14:paraId="47893991" w14:textId="77777777" w:rsidR="00CD46E8" w:rsidRPr="0082128C" w:rsidRDefault="00CD46E8">
      <w:pPr>
        <w:spacing w:line="360" w:lineRule="auto" w:after="80"/>
        <w:ind w:firstLine="480"/>
        <w:jc w:val="both"/>
        <w:rPr>
          <w:rFonts w:eastAsia="標楷體"/>
          <w:lang w:eastAsia="zh-TW"/>
        </w:rPr>
      </w:pPr>
    </w:p>
    <w:p w14:paraId="76723C06" w14:textId="77777777" w:rsidR="00CD46E8" w:rsidRPr="0082128C" w:rsidRDefault="00000000">
      <w:pPr>
        <w:spacing w:line="360" w:lineRule="auto" w:after="80"/>
        <w:ind w:firstLine="480"/>
        <w:jc w:val="both"/>
        <w:rPr>
          <w:rFonts w:eastAsia="標楷體"/>
          <w:lang w:eastAsia="zh-TW"/>
        </w:rPr>
      </w:pPr>
      <w:r w:rsidRPr="0082128C">
        <w:rPr>
          <w:rFonts w:eastAsia="標楷體" w:ascii="Times New Roman" w:hAnsi="Times New Roman" w:cs="Times New Roman"/>
          <w:color w:val="000000"/>
          <w:sz w:val="24"/>
          <w:lang w:eastAsia="zh-TW"/>
        </w:rPr>
        <w:t>綜合上述文獻，本計畫不宣稱首創</w:t>
      </w:r>
      <w:r w:rsidRPr="0082128C">
        <w:rPr>
          <w:rFonts w:eastAsia="標楷體" w:ascii="Times New Roman" w:hAnsi="Times New Roman" w:cs="Times New Roman"/>
          <w:color w:val="000000"/>
          <w:sz w:val="24"/>
          <w:lang w:eastAsia="zh-TW"/>
        </w:rPr>
        <w:t xml:space="preserve"> IMU–</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融合、自適應取樣或硬體加速。較可防守的研究缺口是：既有工作多在固定感測品質下追求辨識率，或單獨改善取樣與推論效率；對於訊號品質隨穿戴狀態變動時，如何以可解釋指標同時調整多模態權重、運作模式與硬體負載，仍有整合與量化空間。本研究的貢獻將以對照實驗驗證，而非預先宣稱全面優於既有方法。</w:t>
      </w:r>
    </w:p>
    <w:p w14:paraId="1775B5E8"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8"/>
          <w:lang w:eastAsia="zh-TW"/>
        </w:rPr>
        <w:t>三、研究目的與研究問題</w:t>
      </w:r>
    </w:p>
    <w:p w14:paraId="19D04559"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t>建立同步</w:t>
      </w:r>
      <w:r w:rsidRPr="0082128C">
        <w:rPr>
          <w:rFonts w:eastAsia="標楷體" w:ascii="Times New Roman" w:hAnsi="Times New Roman" w:cs="Times New Roman"/>
          <w:color w:val="000000"/>
          <w:sz w:val="24"/>
          <w:lang w:eastAsia="zh-TW"/>
        </w:rPr>
        <w:t xml:space="preserve"> IMU–</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穿戴式訊號擷取與標記流程，量化跨次穿戴與動作偽影造成的變異。</w:t>
      </w:r>
    </w:p>
    <w:p w14:paraId="6601266B"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t>建立可即時計算的</w:t>
      </w:r>
      <w:r w:rsidRPr="0082128C">
        <w:rPr>
          <w:rFonts w:eastAsia="標楷體" w:ascii="Times New Roman" w:hAnsi="Times New Roman" w:cs="Times New Roman"/>
          <w:color w:val="000000"/>
          <w:sz w:val="24"/>
          <w:lang w:eastAsia="zh-TW"/>
        </w:rPr>
        <w:t xml:space="preserve"> </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與</w:t>
      </w:r>
      <w:r w:rsidRPr="0082128C">
        <w:rPr>
          <w:rFonts w:eastAsia="標楷體" w:ascii="Times New Roman" w:hAnsi="Times New Roman" w:cs="Times New Roman"/>
          <w:color w:val="000000"/>
          <w:sz w:val="24"/>
          <w:lang w:eastAsia="zh-TW"/>
        </w:rPr>
        <w:t xml:space="preserve"> IMU </w:t>
      </w:r>
      <w:r w:rsidRPr="0082128C">
        <w:rPr>
          <w:rFonts w:eastAsia="標楷體" w:ascii="Times New Roman" w:hAnsi="Times New Roman" w:cs="Times New Roman"/>
          <w:color w:val="000000"/>
          <w:sz w:val="24"/>
          <w:lang w:eastAsia="zh-TW"/>
        </w:rPr>
        <w:t>訊號品質指標，分析其與辨識錯誤的關係。</w:t>
      </w:r>
    </w:p>
    <w:p w14:paraId="552BD4D3"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t>比較固定融合與訊號品質感知融合，驗證後者是否能降低異常條件下的誤判。</w:t>
      </w:r>
    </w:p>
    <w:p w14:paraId="0D908975"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t>將演算法定點化並部署於</w:t>
      </w:r>
      <w:r w:rsidRPr="0082128C">
        <w:rPr>
          <w:rFonts w:eastAsia="標楷體" w:ascii="Times New Roman" w:hAnsi="Times New Roman" w:cs="Times New Roman"/>
          <w:color w:val="000000"/>
          <w:sz w:val="24"/>
          <w:lang w:eastAsia="zh-TW"/>
        </w:rPr>
        <w:t xml:space="preserve"> MCU </w:t>
      </w:r>
      <w:r w:rsidRPr="0082128C">
        <w:rPr>
          <w:rFonts w:eastAsia="標楷體" w:ascii="Times New Roman" w:hAnsi="Times New Roman" w:cs="Times New Roman"/>
          <w:color w:val="000000"/>
          <w:sz w:val="24"/>
          <w:lang w:eastAsia="zh-TW"/>
        </w:rPr>
        <w:t>或</w:t>
      </w:r>
      <w:r w:rsidRPr="0082128C">
        <w:rPr>
          <w:rFonts w:eastAsia="標楷體" w:ascii="Times New Roman" w:hAnsi="Times New Roman" w:cs="Times New Roman"/>
          <w:color w:val="000000"/>
          <w:sz w:val="24"/>
          <w:lang w:eastAsia="zh-TW"/>
        </w:rPr>
        <w:t xml:space="preserve"> FPGA</w:t>
      </w:r>
      <w:r w:rsidRPr="0082128C">
        <w:rPr>
          <w:rFonts w:eastAsia="標楷體" w:ascii="Times New Roman" w:hAnsi="Times New Roman" w:cs="Times New Roman"/>
          <w:color w:val="000000"/>
          <w:sz w:val="24"/>
          <w:lang w:eastAsia="zh-TW"/>
        </w:rPr>
        <w:t>，量化準確率、延遲、記憶體、運算量與能耗權衡。</w:t>
      </w:r>
    </w:p>
    <w:p w14:paraId="7CF60912"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t>評估此架構延伸至神經復健、動作輔助與穿戴式神經肌肉人機介面的可行性。</w:t>
      </w:r>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2494"/>
        <w:gridCol w:w="4082"/>
        <w:gridCol w:w="2494"/>
      </w:tblGrid>
      <w:tr w:rsidR="00CD46E8" w:rsidRPr="0082128C" w14:paraId="6CD7C83F" w14:textId="77777777">
        <w:trPr>
          <w:cantSplit/>
          <w:jc w:val="center"/>
        </w:trPr>
        <w:tc>
          <w:tcPr>
            <w:tcW w:w="2494" w:type="dxa"/>
            <w:shd w:val="clear" w:color="auto" w:fill="D9E2F3"/>
            <w:tcMar>
              <w:top w:w="90" w:type="dxa"/>
              <w:left w:w="110" w:type="dxa"/>
              <w:bottom w:w="90" w:type="dxa"/>
              <w:right w:w="110" w:type="dxa"/>
              <w:start w:w="110" w:type="dxa"/>
              <w:end w:w="110" w:type="dxa"/>
            </w:tcMar>
            <w:vAlign w:val="center"/>
          </w:tcPr>
          <w:p w14:paraId="05C6E0E4" w14:textId="77777777" w:rsidR="00CD46E8" w:rsidRPr="0082128C" w:rsidRDefault="00000000">
            <w:pPr>
              <w:spacing w:before="20" w:after="20" w:line="276" w:lineRule="auto"/>
              <w:ind w:firstLine="0"/>
              <w:jc w:val="center"/>
              <w:rPr>
                <w:rFonts w:eastAsia="標楷體"/>
              </w:rPr>
            </w:pPr>
            <w:proofErr w:type="spellStart"/>
            <w:r w:rsidRPr="0082128C">
              <w:rPr>
                <w:rFonts w:eastAsia="標楷體" w:ascii="Times New Roman" w:hAnsi="Times New Roman" w:cs="Times New Roman"/>
                <w:b/>
                <w:color w:val="000000"/>
                <w:sz w:val="20"/>
              </w:rPr>
              <w:t>研究問題</w:t>
            </w:r>
            <w:proofErr w:type="spellEnd"/>
          </w:p>
        </w:tc>
        <w:tc>
          <w:tcPr>
            <w:tcW w:w="4082" w:type="dxa"/>
            <w:shd w:val="clear" w:color="auto" w:fill="D9E2F3"/>
            <w:tcMar>
              <w:top w:w="90" w:type="dxa"/>
              <w:left w:w="110" w:type="dxa"/>
              <w:bottom w:w="90" w:type="dxa"/>
              <w:right w:w="110" w:type="dxa"/>
              <w:start w:w="110" w:type="dxa"/>
              <w:end w:w="110" w:type="dxa"/>
            </w:tcMar>
            <w:vAlign w:val="center"/>
          </w:tcPr>
          <w:p w14:paraId="39AE4D4A"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可檢驗假設</w:t>
            </w:r>
          </w:p>
        </w:tc>
        <w:tc>
          <w:tcPr>
            <w:tcW w:w="2494" w:type="dxa"/>
            <w:shd w:val="clear" w:color="auto" w:fill="D9E2F3"/>
            <w:tcMar>
              <w:top w:w="90" w:type="dxa"/>
              <w:left w:w="110" w:type="dxa"/>
              <w:bottom w:w="90" w:type="dxa"/>
              <w:right w:w="110" w:type="dxa"/>
              <w:start w:w="110" w:type="dxa"/>
              <w:end w:w="110" w:type="dxa"/>
            </w:tcMar>
            <w:vAlign w:val="center"/>
          </w:tcPr>
          <w:p w14:paraId="6ED7EE24"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主要指標</w:t>
            </w:r>
          </w:p>
        </w:tc>
      </w:tr>
      <w:tr w:rsidR="00CD46E8" w:rsidRPr="0082128C" w14:paraId="00C556DA" w14:textId="77777777">
        <w:trPr>
          <w:cantSplit/>
          <w:jc w:val="center"/>
        </w:trPr>
        <w:tc>
          <w:tcPr>
            <w:tcW w:w="2494" w:type="dxa"/>
            <w:shd w:val="clear" w:color="auto" w:fill="FFFFFF"/>
            <w:tcMar>
              <w:top w:w="90" w:type="dxa"/>
              <w:left w:w="110" w:type="dxa"/>
              <w:bottom w:w="90" w:type="dxa"/>
              <w:right w:w="110" w:type="dxa"/>
              <w:start w:w="110" w:type="dxa"/>
              <w:end w:w="110" w:type="dxa"/>
            </w:tcMar>
            <w:vAlign w:val="center"/>
          </w:tcPr>
          <w:p w14:paraId="2D2A0BC1"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RQ1</w:t>
            </w:r>
            <w:r w:rsidRPr="0082128C">
              <w:rPr>
                <w:rFonts w:eastAsia="標楷體" w:ascii="Times New Roman" w:hAnsi="Times New Roman" w:cs="Times New Roman"/>
                <w:b w:val="0"/>
                <w:color w:val="000000"/>
                <w:sz w:val="20"/>
                <w:lang w:eastAsia="zh-TW"/>
              </w:rPr>
              <w:t>：多模態是否改善意圖辨識？</w:t>
            </w:r>
          </w:p>
        </w:tc>
        <w:tc>
          <w:tcPr>
            <w:tcW w:w="4082" w:type="dxa"/>
            <w:shd w:val="clear" w:color="auto" w:fill="FFFFFF"/>
            <w:tcMar>
              <w:top w:w="90" w:type="dxa"/>
              <w:left w:w="110" w:type="dxa"/>
              <w:bottom w:w="90" w:type="dxa"/>
              <w:right w:w="110" w:type="dxa"/>
              <w:start w:w="110" w:type="dxa"/>
              <w:end w:w="110" w:type="dxa"/>
            </w:tcMar>
            <w:vAlign w:val="center"/>
          </w:tcPr>
          <w:p w14:paraId="4111B01F"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相較單一感測，融合可改善動作起始、方向與狀態辨識。</w:t>
            </w:r>
          </w:p>
        </w:tc>
        <w:tc>
          <w:tcPr>
            <w:tcW w:w="2494" w:type="dxa"/>
            <w:shd w:val="clear" w:color="auto" w:fill="FFFFFF"/>
            <w:tcMar>
              <w:top w:w="90" w:type="dxa"/>
              <w:left w:w="110" w:type="dxa"/>
              <w:bottom w:w="90" w:type="dxa"/>
              <w:right w:w="110" w:type="dxa"/>
              <w:start w:w="110" w:type="dxa"/>
              <w:end w:w="110" w:type="dxa"/>
            </w:tcMar>
            <w:vAlign w:val="center"/>
          </w:tcPr>
          <w:p w14:paraId="5E9E7A43" w14:textId="77777777" w:rsidR="00CD46E8" w:rsidRPr="0082128C" w:rsidRDefault="00000000">
            <w:pPr>
              <w:spacing w:before="20" w:after="20" w:line="276" w:lineRule="auto"/>
              <w:ind w:firstLine="0"/>
              <w:jc w:val="left"/>
              <w:rPr>
                <w:rFonts w:eastAsia="標楷體"/>
              </w:rPr>
            </w:pPr>
            <w:r w:rsidRPr="0082128C">
              <w:rPr>
                <w:rFonts w:eastAsia="標楷體" w:ascii="Times New Roman" w:hAnsi="Times New Roman" w:cs="Times New Roman"/>
                <w:b w:val="0"/>
                <w:color w:val="000000"/>
                <w:sz w:val="20"/>
              </w:rPr>
              <w:t>F1-score</w:t>
            </w:r>
            <w:r w:rsidRPr="0082128C">
              <w:rPr>
                <w:rFonts w:eastAsia="標楷體" w:ascii="Times New Roman" w:hAnsi="Times New Roman" w:cs="Times New Roman"/>
                <w:b w:val="0"/>
                <w:color w:val="000000"/>
                <w:sz w:val="20"/>
              </w:rPr>
              <w:t>、錯誤率、起始延遲</w:t>
            </w:r>
          </w:p>
        </w:tc>
      </w:tr>
      <w:tr w:rsidR="00CD46E8" w:rsidRPr="0082128C" w14:paraId="128A1549" w14:textId="77777777">
        <w:trPr>
          <w:cantSplit/>
          <w:jc w:val="center"/>
        </w:trPr>
        <w:tc>
          <w:tcPr>
            <w:tcW w:w="2494" w:type="dxa"/>
            <w:shd w:val="clear" w:color="auto" w:fill="F7F7F7"/>
            <w:tcMar>
              <w:top w:w="90" w:type="dxa"/>
              <w:left w:w="110" w:type="dxa"/>
              <w:bottom w:w="90" w:type="dxa"/>
              <w:right w:w="110" w:type="dxa"/>
              <w:start w:w="110" w:type="dxa"/>
              <w:end w:w="110" w:type="dxa"/>
            </w:tcMar>
            <w:vAlign w:val="center"/>
          </w:tcPr>
          <w:p w14:paraId="2DA19C00"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RQ2</w:t>
            </w:r>
            <w:r w:rsidRPr="0082128C">
              <w:rPr>
                <w:rFonts w:eastAsia="標楷體" w:ascii="Times New Roman" w:hAnsi="Times New Roman" w:cs="Times New Roman"/>
                <w:b w:val="0"/>
                <w:color w:val="000000"/>
                <w:sz w:val="20"/>
                <w:lang w:eastAsia="zh-TW"/>
              </w:rPr>
              <w:t>：品質指標能否預測錯誤？</w:t>
            </w:r>
          </w:p>
        </w:tc>
        <w:tc>
          <w:tcPr>
            <w:tcW w:w="4082" w:type="dxa"/>
            <w:shd w:val="clear" w:color="auto" w:fill="F7F7F7"/>
            <w:tcMar>
              <w:top w:w="90" w:type="dxa"/>
              <w:left w:w="110" w:type="dxa"/>
              <w:bottom w:w="90" w:type="dxa"/>
              <w:right w:w="110" w:type="dxa"/>
              <w:start w:w="110" w:type="dxa"/>
              <w:end w:w="110" w:type="dxa"/>
            </w:tcMar>
            <w:vAlign w:val="center"/>
          </w:tcPr>
          <w:p w14:paraId="2BEA6553"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飽和、基線漂移、工頻干擾、接觸變化與封包缺失會對應較高誤判率。</w:t>
            </w:r>
          </w:p>
        </w:tc>
        <w:tc>
          <w:tcPr>
            <w:tcW w:w="2494" w:type="dxa"/>
            <w:shd w:val="clear" w:color="auto" w:fill="F7F7F7"/>
            <w:tcMar>
              <w:top w:w="90" w:type="dxa"/>
              <w:left w:w="110" w:type="dxa"/>
              <w:bottom w:w="90" w:type="dxa"/>
              <w:right w:w="110" w:type="dxa"/>
              <w:start w:w="110" w:type="dxa"/>
              <w:end w:w="110" w:type="dxa"/>
            </w:tcMar>
            <w:vAlign w:val="center"/>
          </w:tcPr>
          <w:p w14:paraId="5A3DDE68"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AUROC</w:t>
            </w:r>
            <w:r w:rsidRPr="0082128C">
              <w:rPr>
                <w:rFonts w:eastAsia="標楷體" w:ascii="Times New Roman" w:hAnsi="Times New Roman" w:cs="Times New Roman"/>
                <w:b w:val="0"/>
                <w:color w:val="000000"/>
                <w:sz w:val="20"/>
              </w:rPr>
              <w:t>、偵測率、假警率</w:t>
            </w:r>
            <w:proofErr w:type="spellEnd"/>
          </w:p>
        </w:tc>
      </w:tr>
      <w:tr w:rsidR="00CD46E8" w:rsidRPr="0082128C" w14:paraId="60F54D72" w14:textId="77777777">
        <w:trPr>
          <w:cantSplit/>
          <w:jc w:val="center"/>
        </w:trPr>
        <w:tc>
          <w:tcPr>
            <w:tcW w:w="2494" w:type="dxa"/>
            <w:shd w:val="clear" w:color="auto" w:fill="FFFFFF"/>
            <w:tcMar>
              <w:top w:w="90" w:type="dxa"/>
              <w:left w:w="110" w:type="dxa"/>
              <w:bottom w:w="90" w:type="dxa"/>
              <w:right w:w="110" w:type="dxa"/>
              <w:start w:w="110" w:type="dxa"/>
              <w:end w:w="110" w:type="dxa"/>
            </w:tcMar>
            <w:vAlign w:val="center"/>
          </w:tcPr>
          <w:p w14:paraId="565F570D"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RQ3</w:t>
            </w:r>
            <w:r w:rsidRPr="0082128C">
              <w:rPr>
                <w:rFonts w:eastAsia="標楷體" w:ascii="Times New Roman" w:hAnsi="Times New Roman" w:cs="Times New Roman"/>
                <w:b w:val="0"/>
                <w:color w:val="000000"/>
                <w:sz w:val="20"/>
                <w:lang w:eastAsia="zh-TW"/>
              </w:rPr>
              <w:t>：品質感知融合是否更穩健？</w:t>
            </w:r>
          </w:p>
        </w:tc>
        <w:tc>
          <w:tcPr>
            <w:tcW w:w="4082" w:type="dxa"/>
            <w:shd w:val="clear" w:color="auto" w:fill="FFFFFF"/>
            <w:tcMar>
              <w:top w:w="90" w:type="dxa"/>
              <w:left w:w="110" w:type="dxa"/>
              <w:bottom w:w="90" w:type="dxa"/>
              <w:right w:w="110" w:type="dxa"/>
              <w:start w:w="110" w:type="dxa"/>
              <w:end w:w="110" w:type="dxa"/>
            </w:tcMar>
            <w:vAlign w:val="center"/>
          </w:tcPr>
          <w:p w14:paraId="229B7D25"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在電極位移與動作偽影下，動態權重較固定融合減少誤觸發。</w:t>
            </w:r>
          </w:p>
        </w:tc>
        <w:tc>
          <w:tcPr>
            <w:tcW w:w="2494" w:type="dxa"/>
            <w:shd w:val="clear" w:color="auto" w:fill="FFFFFF"/>
            <w:tcMar>
              <w:top w:w="90" w:type="dxa"/>
              <w:left w:w="110" w:type="dxa"/>
              <w:bottom w:w="90" w:type="dxa"/>
              <w:right w:w="110" w:type="dxa"/>
              <w:start w:w="110" w:type="dxa"/>
              <w:end w:w="110" w:type="dxa"/>
            </w:tcMar>
            <w:vAlign w:val="center"/>
          </w:tcPr>
          <w:p w14:paraId="421CABBD"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跨次</w:t>
            </w:r>
            <w:r w:rsidRPr="0082128C">
              <w:rPr>
                <w:rFonts w:eastAsia="標楷體" w:ascii="Times New Roman" w:hAnsi="Times New Roman" w:cs="Times New Roman"/>
                <w:b w:val="0"/>
                <w:color w:val="000000"/>
                <w:sz w:val="20"/>
                <w:lang w:eastAsia="zh-TW"/>
              </w:rPr>
              <w:t xml:space="preserve"> F1</w:t>
            </w:r>
            <w:r w:rsidRPr="0082128C">
              <w:rPr>
                <w:rFonts w:eastAsia="標楷體" w:ascii="Times New Roman" w:hAnsi="Times New Roman" w:cs="Times New Roman"/>
                <w:b w:val="0"/>
                <w:color w:val="000000"/>
                <w:sz w:val="20"/>
                <w:lang w:eastAsia="zh-TW"/>
              </w:rPr>
              <w:t>、誤觸發、校正需求</w:t>
            </w:r>
          </w:p>
        </w:tc>
      </w:tr>
      <w:tr w:rsidR="00CD46E8" w:rsidRPr="0082128C" w14:paraId="564D51CA" w14:textId="77777777">
        <w:trPr>
          <w:cantSplit/>
          <w:jc w:val="center"/>
        </w:trPr>
        <w:tc>
          <w:tcPr>
            <w:tcW w:w="2494" w:type="dxa"/>
            <w:shd w:val="clear" w:color="auto" w:fill="F7F7F7"/>
            <w:tcMar>
              <w:top w:w="90" w:type="dxa"/>
              <w:left w:w="110" w:type="dxa"/>
              <w:bottom w:w="90" w:type="dxa"/>
              <w:right w:w="110" w:type="dxa"/>
              <w:start w:w="110" w:type="dxa"/>
              <w:end w:w="110" w:type="dxa"/>
            </w:tcMar>
            <w:vAlign w:val="center"/>
          </w:tcPr>
          <w:p w14:paraId="3DA8FBCF"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lastRenderedPageBreak/>
              <w:t>RQ4</w:t>
            </w:r>
            <w:r w:rsidRPr="0082128C">
              <w:rPr>
                <w:rFonts w:eastAsia="標楷體" w:ascii="Times New Roman" w:hAnsi="Times New Roman" w:cs="Times New Roman"/>
                <w:b w:val="0"/>
                <w:color w:val="000000"/>
                <w:sz w:val="20"/>
                <w:lang w:eastAsia="zh-TW"/>
              </w:rPr>
              <w:t>：硬體化後能否維持效能？</w:t>
            </w:r>
          </w:p>
        </w:tc>
        <w:tc>
          <w:tcPr>
            <w:tcW w:w="4082" w:type="dxa"/>
            <w:shd w:val="clear" w:color="auto" w:fill="F7F7F7"/>
            <w:tcMar>
              <w:top w:w="90" w:type="dxa"/>
              <w:left w:w="110" w:type="dxa"/>
              <w:bottom w:w="90" w:type="dxa"/>
              <w:right w:w="110" w:type="dxa"/>
              <w:start w:w="110" w:type="dxa"/>
              <w:end w:w="110" w:type="dxa"/>
            </w:tcMar>
            <w:vAlign w:val="center"/>
          </w:tcPr>
          <w:p w14:paraId="16D11589"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適當字長與工作模式切換可降低能耗，且效能下降維持在可接受範圍。</w:t>
            </w:r>
          </w:p>
        </w:tc>
        <w:tc>
          <w:tcPr>
            <w:tcW w:w="2494" w:type="dxa"/>
            <w:shd w:val="clear" w:color="auto" w:fill="F7F7F7"/>
            <w:tcMar>
              <w:top w:w="90" w:type="dxa"/>
              <w:left w:w="110" w:type="dxa"/>
              <w:bottom w:w="90" w:type="dxa"/>
              <w:right w:w="110" w:type="dxa"/>
              <w:start w:w="110" w:type="dxa"/>
              <w:end w:w="110" w:type="dxa"/>
            </w:tcMar>
            <w:vAlign w:val="center"/>
          </w:tcPr>
          <w:p w14:paraId="6E33DA5F"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延遲、</w:t>
            </w:r>
            <w:r w:rsidRPr="0082128C">
              <w:rPr>
                <w:rFonts w:eastAsia="標楷體" w:ascii="Times New Roman" w:hAnsi="Times New Roman" w:cs="Times New Roman"/>
                <w:b w:val="0"/>
                <w:color w:val="000000"/>
                <w:sz w:val="20"/>
              </w:rPr>
              <w:t>RAM</w:t>
            </w:r>
            <w:r w:rsidRPr="0082128C">
              <w:rPr>
                <w:rFonts w:eastAsia="標楷體" w:ascii="Times New Roman" w:hAnsi="Times New Roman" w:cs="Times New Roman"/>
                <w:b w:val="0"/>
                <w:color w:val="000000"/>
                <w:sz w:val="20"/>
              </w:rPr>
              <w:t>、</w:t>
            </w:r>
            <w:r w:rsidRPr="0082128C">
              <w:rPr>
                <w:rFonts w:eastAsia="標楷體" w:ascii="Times New Roman" w:hAnsi="Times New Roman" w:cs="Times New Roman"/>
                <w:b w:val="0"/>
                <w:color w:val="000000"/>
                <w:sz w:val="20"/>
              </w:rPr>
              <w:t>LUT</w:t>
            </w:r>
            <w:proofErr w:type="spellEnd"/>
            <w:r w:rsidRPr="0082128C">
              <w:rPr>
                <w:rFonts w:eastAsia="標楷體" w:ascii="Times New Roman" w:hAnsi="Times New Roman" w:cs="Times New Roman"/>
                <w:b w:val="0"/>
                <w:color w:val="000000"/>
                <w:sz w:val="20"/>
              </w:rPr>
              <w:t>/</w:t>
            </w:r>
            <w:proofErr w:type="spellStart"/>
            <w:r w:rsidRPr="0082128C">
              <w:rPr>
                <w:rFonts w:eastAsia="標楷體" w:ascii="Times New Roman" w:hAnsi="Times New Roman" w:cs="Times New Roman"/>
                <w:b w:val="0"/>
                <w:color w:val="000000"/>
                <w:sz w:val="20"/>
              </w:rPr>
              <w:t>DSP</w:t>
            </w:r>
            <w:r w:rsidRPr="0082128C">
              <w:rPr>
                <w:rFonts w:eastAsia="標楷體" w:ascii="Times New Roman" w:hAnsi="Times New Roman" w:cs="Times New Roman"/>
                <w:b w:val="0"/>
                <w:color w:val="000000"/>
                <w:sz w:val="20"/>
              </w:rPr>
              <w:t>、能耗</w:t>
            </w:r>
            <w:proofErr w:type="spellEnd"/>
          </w:p>
        </w:tc>
      </w:tr>
    </w:tbl>
    <w:p w14:paraId="6F47A625" w14:textId="77777777" w:rsidR="00CD46E8" w:rsidRPr="0082128C" w:rsidRDefault="00CD46E8">
      <w:pPr>
        <w:spacing w:line="360" w:lineRule="auto" w:after="80"/>
        <w:ind w:firstLine="480"/>
        <w:jc w:val="both"/>
        <w:rPr>
          <w:rFonts w:eastAsia="標楷體"/>
        </w:rPr>
      </w:pPr>
    </w:p>
    <w:p w14:paraId="2ABDCBA2" w14:textId="77777777" w:rsidR="00CD46E8" w:rsidRPr="0082128C" w:rsidRDefault="00000000">
      <w:pPr>
        <w:pStyle w:val="1"/>
        <w:ind w:firstLine="0"/>
        <w:rPr>
          <w:rFonts w:ascii="Times New Roman" w:eastAsia="標楷體" w:hAnsi="Times New Roman" w:cs="Times New Roman"/>
        </w:rPr>
      </w:pPr>
      <w:r w:rsidRPr="0082128C">
        <w:rPr>
          <w:rFonts w:ascii="Times New Roman" w:eastAsia="標楷體" w:hAnsi="Times New Roman" w:cs="Times New Roman"/>
          <w:b/>
          <w:color w:val="000000"/>
          <w:sz w:val="28"/>
        </w:rPr>
        <w:t>四、研究方法</w:t>
      </w:r>
    </w:p>
    <w:p w14:paraId="4E39D8CC" w14:textId="77777777" w:rsidR="00CD46E8" w:rsidRPr="0082128C" w:rsidRDefault="00000000">
      <w:pPr>
        <w:pStyle w:val="21"/>
        <w:ind w:firstLine="0"/>
        <w:rPr>
          <w:rFonts w:ascii="Times New Roman" w:eastAsia="標楷體" w:hAnsi="Times New Roman" w:cs="Times New Roman"/>
        </w:rPr>
      </w:pPr>
      <w:r w:rsidRPr="0082128C">
        <w:rPr>
          <w:rFonts w:ascii="Times New Roman" w:eastAsia="標楷體" w:hAnsi="Times New Roman" w:cs="Times New Roman"/>
          <w:b/>
          <w:color w:val="000000"/>
          <w:sz w:val="24"/>
        </w:rPr>
        <w:t xml:space="preserve">4.1 </w:t>
      </w:r>
      <w:r w:rsidRPr="0082128C">
        <w:rPr>
          <w:rFonts w:ascii="Times New Roman" w:eastAsia="標楷體" w:hAnsi="Times New Roman" w:cs="Times New Roman"/>
          <w:b/>
          <w:color w:val="000000"/>
          <w:sz w:val="24"/>
        </w:rPr>
        <w:t>穿戴式感測與類比前端</w:t>
      </w:r>
    </w:p>
    <w:p w14:paraId="1C3EE6E0"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標楷體" w:cs="Times New Roman"/>
          <w:color w:val="000000"/>
          <w:sz w:val="24"/>
        </w:rPr>
        <w:t>以一至兩顆 IMU 搭配雙通道或多通道 sEMG 為基本配置。先使用商用生醫訊號前端或既有開發板建立可重複的量測基準，完成電極保護、儀表放大、帶通／陷波、ADC、共同時間戳與封包序號，並記錄增益、飽和、電極脫落與雜訊狀態。類比前端以輸入雜訊、共模拒斥比、頻寬、增益、動態範圍及功耗作為主要規格，再依量測結果評估可程式化增益、低功耗濾波或事件偵測電路，建立由系統需求回推生醫電子前端設計的流程。</w:t>
      </w:r>
    </w:p>
    <w:p w14:paraId="342BCDE8"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4"/>
          <w:lang w:eastAsia="zh-TW"/>
        </w:rPr>
        <w:t xml:space="preserve">4.2 </w:t>
      </w:r>
      <w:r w:rsidRPr="0082128C">
        <w:rPr>
          <w:rFonts w:ascii="Times New Roman" w:eastAsia="標楷體" w:hAnsi="Times New Roman" w:cs="Times New Roman"/>
          <w:b/>
          <w:color w:val="000000"/>
          <w:sz w:val="24"/>
          <w:lang w:eastAsia="zh-TW"/>
        </w:rPr>
        <w:t>訊號品質與前處理</w:t>
      </w:r>
    </w:p>
    <w:p w14:paraId="0F870F68"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標楷體" w:cs="Times New Roman"/>
          <w:color w:val="000000"/>
          <w:sz w:val="24"/>
        </w:rPr>
        <w:t>sEMG 先進行去直流、帶通／陷波、整流及時域／頻域特徵擷取，候選品質指標包含飽和比例、基線漂移、50／60 Hz 能量比、訊號變異、通道一致性與電極接觸狀態；IMU 則檢查加速度模長、角速度突變、姿態濾波殘差、時間戳與封包完整性。品質分數先以歸一化特徵及明確門檻建立可解釋基準，再比較輕量統計分類器，並以人工加入與實際產生的異常資料驗證其區辨能力。</w:t>
      </w:r>
    </w:p>
    <w:p w14:paraId="4B66BF41"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4"/>
          <w:lang w:eastAsia="zh-TW"/>
        </w:rPr>
        <w:t xml:space="preserve">4.3 </w:t>
      </w:r>
      <w:r w:rsidRPr="0082128C">
        <w:rPr>
          <w:rFonts w:ascii="Times New Roman" w:eastAsia="標楷體" w:hAnsi="Times New Roman" w:cs="Times New Roman"/>
          <w:b/>
          <w:color w:val="000000"/>
          <w:sz w:val="24"/>
          <w:lang w:eastAsia="zh-TW"/>
        </w:rPr>
        <w:t>多模態動作意圖辨識</w:t>
      </w:r>
    </w:p>
    <w:p w14:paraId="3FC3FC7A"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標楷體" w:cs="Times New Roman"/>
          <w:color w:val="000000"/>
          <w:sz w:val="24"/>
        </w:rPr>
        <w:t>研究先聚焦上肢靜止、屈曲、伸展與數種基本動作。基準方法包括閾值法、IMU-only、sEMG-only、固定 early／late fusion，以及 LDA、SVM 或輕量神經網路。主方法依兩種感測器的品質分數調整特徵或決策權重；若任一模態持續不可信，則輸出低信心、要求重新校正或暫停控制。以滑動視窗進行線上推論，分別計算動作起始偵測延遲、穩態分類效能及跨次穿戴穩定度。</w:t>
      </w:r>
    </w:p>
    <w:p w14:paraId="5CB9A252"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4"/>
          <w:lang w:eastAsia="zh-TW"/>
        </w:rPr>
        <w:t xml:space="preserve">4.4 </w:t>
      </w:r>
      <w:r w:rsidRPr="0082128C">
        <w:rPr>
          <w:rFonts w:ascii="Times New Roman" w:eastAsia="標楷體" w:hAnsi="Times New Roman" w:cs="Times New Roman"/>
          <w:b/>
          <w:color w:val="000000"/>
          <w:sz w:val="24"/>
          <w:lang w:eastAsia="zh-TW"/>
        </w:rPr>
        <w:t>嵌入式韌體與低功耗運作架構</w:t>
      </w:r>
    </w:p>
    <w:p w14:paraId="58950100" w14:textId="77777777" w:rsidR="00CD46E8" w:rsidRPr="0082128C" w:rsidRDefault="00000000">
      <w:pPr>
        <w:spacing w:line="360" w:lineRule="auto" w:after="80"/>
        <w:ind w:firstLine="480"/>
        <w:jc w:val="both"/>
        <w:rPr>
          <w:rFonts w:eastAsia="標楷體"/>
          <w:lang w:eastAsia="zh-TW"/>
        </w:rPr>
      </w:pPr>
      <w:r>
        <w:rPr>
          <w:rFonts w:ascii="Times New Roman" w:hAnsi="Times New Roman" w:eastAsia="標楷體" w:cs="Times New Roman"/>
          <w:color w:val="000000"/>
          <w:sz w:val="24"/>
        </w:rPr>
        <w:t>在 MCU 建立可量測的即時韌體基準，將感測器驅動、共同時間戳、DMA／中斷取樣、環形緩衝區、前處理、特徵擷取、融合、分類與通訊拆分為明確模組，記錄各階段執行時間、記憶體與資料遺失。低活動狀態僅維持必要的品質監測與低成本特徵；偵測到肌肉或動作活動後，再啟動完整取樣與融合。接著比較 8、12、16 位定點格式，決定乘加器、緩衝記憶體與資料路徑規格；完成 MCU 驗證後，再以 FPGA 實作重複性高的濾波、視窗、特徵與矩陣運算，評估硬體加速效益。</w:t>
      </w:r>
    </w:p>
    <w:p w14:paraId="67543557" w14:textId="77777777" w:rsidR="00CD46E8" w:rsidRPr="0082128C" w:rsidRDefault="00000000">
      <w:pPr>
        <w:pStyle w:val="2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4"/>
          <w:lang w:eastAsia="zh-TW"/>
        </w:rPr>
        <w:t xml:space="preserve">4.5 </w:t>
      </w:r>
      <w:r w:rsidRPr="0082128C">
        <w:rPr>
          <w:rFonts w:ascii="Times New Roman" w:eastAsia="標楷體" w:hAnsi="Times New Roman" w:cs="Times New Roman"/>
          <w:b/>
          <w:color w:val="000000"/>
          <w:sz w:val="24"/>
          <w:lang w:eastAsia="zh-TW"/>
        </w:rPr>
        <w:t>韌體可靠性與軟硬體協同驗證</w:t>
      </w:r>
    </w:p>
    <w:p w14:paraId="248F2A5E" w14:textId="77777777" w:rsidR="00CD46E8" w:rsidRPr="0082128C" w:rsidRDefault="00000000">
      <w:pPr>
        <w:spacing w:line="360" w:lineRule="auto" w:after="80"/>
        <w:ind w:firstLine="480"/>
        <w:jc w:val="both"/>
        <w:rPr>
          <w:rFonts w:eastAsia="標楷體"/>
          <w:lang w:eastAsia="zh-TW"/>
        </w:rPr>
      </w:pPr>
      <w:r w:rsidRPr="0082128C">
        <w:rPr>
          <w:rFonts w:eastAsia="標楷體" w:ascii="Times New Roman" w:hAnsi="Times New Roman" w:cs="Times New Roman"/>
          <w:color w:val="000000"/>
          <w:sz w:val="24"/>
          <w:lang w:eastAsia="zh-TW"/>
        </w:rPr>
        <w:t>以</w:t>
      </w:r>
      <w:r w:rsidRPr="0082128C">
        <w:rPr>
          <w:rFonts w:eastAsia="標楷體" w:ascii="Times New Roman" w:hAnsi="Times New Roman" w:cs="Times New Roman"/>
          <w:color w:val="000000"/>
          <w:sz w:val="24"/>
          <w:lang w:eastAsia="zh-TW"/>
        </w:rPr>
        <w:t xml:space="preserve"> PC </w:t>
      </w:r>
      <w:r w:rsidRPr="0082128C">
        <w:rPr>
          <w:rFonts w:eastAsia="標楷體" w:ascii="Times New Roman" w:hAnsi="Times New Roman" w:cs="Times New Roman"/>
          <w:color w:val="000000"/>
          <w:sz w:val="24"/>
          <w:lang w:eastAsia="zh-TW"/>
        </w:rPr>
        <w:t>浮點結果作功能參考，逐步比較</w:t>
      </w:r>
      <w:r w:rsidRPr="0082128C">
        <w:rPr>
          <w:rFonts w:eastAsia="標楷體" w:ascii="Times New Roman" w:hAnsi="Times New Roman" w:cs="Times New Roman"/>
          <w:color w:val="000000"/>
          <w:sz w:val="24"/>
          <w:lang w:eastAsia="zh-TW"/>
        </w:rPr>
        <w:t xml:space="preserve"> MCU </w:t>
      </w:r>
      <w:r w:rsidRPr="0082128C">
        <w:rPr>
          <w:rFonts w:eastAsia="標楷體" w:ascii="Times New Roman" w:hAnsi="Times New Roman" w:cs="Times New Roman"/>
          <w:color w:val="000000"/>
          <w:sz w:val="24"/>
          <w:lang w:eastAsia="zh-TW"/>
        </w:rPr>
        <w:t>浮點、</w:t>
      </w:r>
      <w:r w:rsidRPr="0082128C">
        <w:rPr>
          <w:rFonts w:eastAsia="標楷體" w:ascii="Times New Roman" w:hAnsi="Times New Roman" w:cs="Times New Roman"/>
          <w:color w:val="000000"/>
          <w:sz w:val="24"/>
          <w:lang w:eastAsia="zh-TW"/>
        </w:rPr>
        <w:t xml:space="preserve">MCU </w:t>
      </w:r>
      <w:r w:rsidRPr="0082128C">
        <w:rPr>
          <w:rFonts w:eastAsia="標楷體" w:ascii="Times New Roman" w:hAnsi="Times New Roman" w:cs="Times New Roman"/>
          <w:color w:val="000000"/>
          <w:sz w:val="24"/>
          <w:lang w:eastAsia="zh-TW"/>
        </w:rPr>
        <w:t>定點與</w:t>
      </w:r>
      <w:r w:rsidRPr="0082128C">
        <w:rPr>
          <w:rFonts w:eastAsia="標楷體" w:ascii="Times New Roman" w:hAnsi="Times New Roman" w:cs="Times New Roman"/>
          <w:color w:val="000000"/>
          <w:sz w:val="24"/>
          <w:lang w:eastAsia="zh-TW"/>
        </w:rPr>
        <w:t xml:space="preserve"> FPGA </w:t>
      </w:r>
      <w:r w:rsidRPr="0082128C">
        <w:rPr>
          <w:rFonts w:eastAsia="標楷體" w:ascii="Times New Roman" w:hAnsi="Times New Roman" w:cs="Times New Roman"/>
          <w:color w:val="000000"/>
          <w:sz w:val="24"/>
          <w:lang w:eastAsia="zh-TW"/>
        </w:rPr>
        <w:t>加速版本。除辨識效能外，韌體層將測試感測器逾時、封包遺失、緩衝區溢位、資料過期與模組重啟，並透過</w:t>
      </w:r>
      <w:r w:rsidRPr="0082128C">
        <w:rPr>
          <w:rFonts w:eastAsia="標楷體" w:ascii="Times New Roman" w:hAnsi="Times New Roman" w:cs="Times New Roman"/>
          <w:color w:val="000000"/>
          <w:sz w:val="24"/>
          <w:lang w:eastAsia="zh-TW"/>
        </w:rPr>
        <w:t xml:space="preserve"> watchdog</w:t>
      </w:r>
      <w:r w:rsidRPr="0082128C">
        <w:rPr>
          <w:rFonts w:eastAsia="標楷體" w:ascii="Times New Roman" w:hAnsi="Times New Roman" w:cs="Times New Roman"/>
          <w:color w:val="000000"/>
          <w:sz w:val="24"/>
          <w:lang w:eastAsia="zh-TW"/>
        </w:rPr>
        <w:t>、錯誤碼、狀態機及資料有效性旗標建立可追蹤的故障處理流程。量測端到端延遲、最壞執行時間、排程抖動、記憶體、平均功率與單次推論能耗，確認低功耗模式與錯誤恢復不會遺失重要的肌肉啟動資訊。最後形成取樣率、</w:t>
      </w:r>
      <w:r w:rsidRPr="0082128C">
        <w:rPr>
          <w:rFonts w:eastAsia="標楷體" w:ascii="Times New Roman" w:hAnsi="Times New Roman" w:cs="Times New Roman"/>
          <w:color w:val="000000"/>
          <w:sz w:val="24"/>
          <w:lang w:eastAsia="zh-TW"/>
        </w:rPr>
        <w:t xml:space="preserve">ADC </w:t>
      </w:r>
      <w:r w:rsidRPr="0082128C">
        <w:rPr>
          <w:rFonts w:eastAsia="標楷體" w:ascii="Times New Roman" w:hAnsi="Times New Roman" w:cs="Times New Roman"/>
          <w:color w:val="000000"/>
          <w:sz w:val="24"/>
          <w:lang w:eastAsia="zh-TW"/>
        </w:rPr>
        <w:t>解析度、運算字長、緩衝容量、吞吐率與韌體介面等規格，作為後續穿戴式產品或生醫訊號處理硬體的設計依據。</w:t>
      </w:r>
    </w:p>
    <w:p w14:paraId="235910DF" w14:textId="77777777" w:rsidR="00CD46E8" w:rsidRPr="0082128C" w:rsidRDefault="00000000">
      <w:pPr>
        <w:pStyle w:val="1"/>
        <w:ind w:firstLine="0"/>
        <w:rPr>
          <w:rFonts w:ascii="Times New Roman" w:eastAsia="標楷體" w:hAnsi="Times New Roman" w:cs="Times New Roman"/>
        </w:rPr>
      </w:pPr>
      <w:proofErr w:type="spellStart"/>
      <w:r w:rsidRPr="0082128C">
        <w:rPr>
          <w:rFonts w:ascii="Times New Roman" w:eastAsia="標楷體" w:hAnsi="Times New Roman" w:cs="Times New Roman"/>
          <w:b/>
          <w:color w:val="000000"/>
          <w:sz w:val="28"/>
        </w:rPr>
        <w:t>五、實驗設計與評估</w:t>
      </w:r>
      <w:proofErr w:type="spellEnd"/>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1361"/>
        <w:gridCol w:w="2835"/>
        <w:gridCol w:w="2835"/>
        <w:gridCol w:w="2041"/>
      </w:tblGrid>
      <w:tr w:rsidR="00CD46E8" w:rsidRPr="0082128C" w14:paraId="4E0B8394" w14:textId="77777777">
        <w:trPr>
          <w:cantSplit/>
          <w:jc w:val="center"/>
        </w:trPr>
        <w:tc>
          <w:tcPr>
            <w:tcW w:w="1361" w:type="dxa"/>
            <w:shd w:val="clear" w:color="auto" w:fill="D9E2F3"/>
            <w:tcMar>
              <w:top w:w="90" w:type="dxa"/>
              <w:left w:w="110" w:type="dxa"/>
              <w:bottom w:w="90" w:type="dxa"/>
              <w:right w:w="110" w:type="dxa"/>
              <w:start w:w="110" w:type="dxa"/>
              <w:end w:w="110" w:type="dxa"/>
            </w:tcMar>
            <w:vAlign w:val="center"/>
          </w:tcPr>
          <w:p w14:paraId="2AE901BF"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階段</w:t>
            </w:r>
          </w:p>
        </w:tc>
        <w:tc>
          <w:tcPr>
            <w:tcW w:w="2835" w:type="dxa"/>
            <w:shd w:val="clear" w:color="auto" w:fill="D9E2F3"/>
            <w:tcMar>
              <w:top w:w="90" w:type="dxa"/>
              <w:left w:w="110" w:type="dxa"/>
              <w:bottom w:w="90" w:type="dxa"/>
              <w:right w:w="110" w:type="dxa"/>
              <w:start w:w="110" w:type="dxa"/>
              <w:end w:w="110" w:type="dxa"/>
            </w:tcMar>
            <w:vAlign w:val="center"/>
          </w:tcPr>
          <w:p w14:paraId="47F4C1D8"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測試內容</w:t>
            </w:r>
          </w:p>
        </w:tc>
        <w:tc>
          <w:tcPr>
            <w:tcW w:w="2835" w:type="dxa"/>
            <w:shd w:val="clear" w:color="auto" w:fill="D9E2F3"/>
            <w:tcMar>
              <w:top w:w="90" w:type="dxa"/>
              <w:left w:w="110" w:type="dxa"/>
              <w:bottom w:w="90" w:type="dxa"/>
              <w:right w:w="110" w:type="dxa"/>
              <w:start w:w="110" w:type="dxa"/>
              <w:end w:w="110" w:type="dxa"/>
            </w:tcMar>
            <w:vAlign w:val="center"/>
          </w:tcPr>
          <w:p w14:paraId="13BD63EC"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比較方法</w:t>
            </w:r>
          </w:p>
        </w:tc>
        <w:tc>
          <w:tcPr>
            <w:tcW w:w="2041" w:type="dxa"/>
            <w:shd w:val="clear" w:color="auto" w:fill="D9E2F3"/>
            <w:tcMar>
              <w:top w:w="90" w:type="dxa"/>
              <w:left w:w="110" w:type="dxa"/>
              <w:bottom w:w="90" w:type="dxa"/>
              <w:right w:w="110" w:type="dxa"/>
              <w:start w:w="110" w:type="dxa"/>
              <w:end w:w="110" w:type="dxa"/>
            </w:tcMar>
            <w:vAlign w:val="center"/>
          </w:tcPr>
          <w:p w14:paraId="63AF1027"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評估指標</w:t>
            </w:r>
          </w:p>
        </w:tc>
      </w:tr>
      <w:tr w:rsidR="00CD46E8" w:rsidRPr="0082128C" w14:paraId="613C45E4" w14:textId="77777777">
        <w:trPr>
          <w:cantSplit/>
          <w:jc w:val="center"/>
        </w:trPr>
        <w:tc>
          <w:tcPr>
            <w:tcW w:w="1361" w:type="dxa"/>
            <w:shd w:val="clear" w:color="auto" w:fill="FFFFFF"/>
            <w:tcMar>
              <w:top w:w="90" w:type="dxa"/>
              <w:left w:w="110" w:type="dxa"/>
              <w:bottom w:w="90" w:type="dxa"/>
              <w:right w:w="110" w:type="dxa"/>
              <w:start w:w="110" w:type="dxa"/>
              <w:end w:w="110" w:type="dxa"/>
            </w:tcMar>
            <w:vAlign w:val="center"/>
          </w:tcPr>
          <w:p w14:paraId="2AC3B5AF" w14:textId="77777777" w:rsidR="00CD46E8" w:rsidRPr="0082128C" w:rsidRDefault="00000000">
            <w:pPr>
              <w:spacing w:before="20" w:after="20" w:line="276" w:lineRule="auto"/>
              <w:ind w:firstLine="0"/>
              <w:jc w:val="left"/>
              <w:rPr>
                <w:rFonts w:eastAsia="標楷體"/>
              </w:rPr>
            </w:pPr>
            <w:r w:rsidRPr="0082128C">
              <w:rPr>
                <w:rFonts w:eastAsia="標楷體" w:ascii="Times New Roman" w:hAnsi="Times New Roman" w:cs="Times New Roman"/>
                <w:b w:val="0"/>
                <w:color w:val="000000"/>
                <w:sz w:val="20"/>
              </w:rPr>
              <w:t>量測基準</w:t>
            </w:r>
          </w:p>
        </w:tc>
        <w:tc>
          <w:tcPr>
            <w:tcW w:w="2835" w:type="dxa"/>
            <w:shd w:val="clear" w:color="auto" w:fill="FFFFFF"/>
            <w:tcMar>
              <w:top w:w="90" w:type="dxa"/>
              <w:left w:w="110" w:type="dxa"/>
              <w:bottom w:w="90" w:type="dxa"/>
              <w:right w:w="110" w:type="dxa"/>
              <w:start w:w="110" w:type="dxa"/>
              <w:end w:w="110" w:type="dxa"/>
            </w:tcMar>
            <w:vAlign w:val="center"/>
          </w:tcPr>
          <w:p w14:paraId="311DCA26"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靜止、屈伸與基本動作；同步</w:t>
            </w:r>
            <w:r w:rsidRPr="0082128C">
              <w:rPr>
                <w:rFonts w:eastAsia="標楷體" w:ascii="Times New Roman" w:hAnsi="Times New Roman" w:cs="Times New Roman"/>
                <w:b w:val="0"/>
                <w:color w:val="000000"/>
                <w:sz w:val="20"/>
                <w:lang w:eastAsia="zh-TW"/>
              </w:rPr>
              <w:t xml:space="preserve"> IMU–</w:t>
            </w:r>
            <w:proofErr w:type="spellStart"/>
            <w:r w:rsidRPr="0082128C">
              <w:rPr>
                <w:rFonts w:eastAsia="標楷體" w:ascii="Times New Roman" w:hAnsi="Times New Roman" w:cs="Times New Roman"/>
                <w:b w:val="0"/>
                <w:color w:val="000000"/>
                <w:sz w:val="20"/>
                <w:lang w:eastAsia="zh-TW"/>
              </w:rPr>
              <w:t>sEMG</w:t>
            </w:r>
            <w:proofErr w:type="spellEnd"/>
            <w:r w:rsidRPr="0082128C">
              <w:rPr>
                <w:rFonts w:eastAsia="標楷體" w:ascii="Times New Roman" w:hAnsi="Times New Roman" w:cs="Times New Roman"/>
                <w:b w:val="0"/>
                <w:color w:val="000000"/>
                <w:sz w:val="20"/>
                <w:lang w:eastAsia="zh-TW"/>
              </w:rPr>
              <w:t>。</w:t>
            </w:r>
          </w:p>
        </w:tc>
        <w:tc>
          <w:tcPr>
            <w:tcW w:w="2835" w:type="dxa"/>
            <w:shd w:val="clear" w:color="auto" w:fill="FFFFFF"/>
            <w:tcMar>
              <w:top w:w="90" w:type="dxa"/>
              <w:left w:w="110" w:type="dxa"/>
              <w:bottom w:w="90" w:type="dxa"/>
              <w:right w:w="110" w:type="dxa"/>
              <w:start w:w="110" w:type="dxa"/>
              <w:end w:w="110" w:type="dxa"/>
            </w:tcMar>
            <w:vAlign w:val="center"/>
          </w:tcPr>
          <w:p w14:paraId="5EE0E9E5"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單一模態與融合</w:t>
            </w:r>
            <w:proofErr w:type="spellEnd"/>
          </w:p>
        </w:tc>
        <w:tc>
          <w:tcPr>
            <w:tcW w:w="2041" w:type="dxa"/>
            <w:shd w:val="clear" w:color="auto" w:fill="FFFFFF"/>
            <w:tcMar>
              <w:top w:w="90" w:type="dxa"/>
              <w:left w:w="110" w:type="dxa"/>
              <w:bottom w:w="90" w:type="dxa"/>
              <w:right w:w="110" w:type="dxa"/>
              <w:start w:w="110" w:type="dxa"/>
              <w:end w:w="110" w:type="dxa"/>
            </w:tcMar>
            <w:vAlign w:val="center"/>
          </w:tcPr>
          <w:p w14:paraId="7579EB14" w14:textId="77777777" w:rsidR="00CD46E8" w:rsidRPr="0082128C" w:rsidRDefault="00000000">
            <w:pPr>
              <w:spacing w:before="20" w:after="20" w:line="276" w:lineRule="auto"/>
              <w:ind w:firstLine="0"/>
              <w:jc w:val="left"/>
              <w:rPr>
                <w:rFonts w:eastAsia="標楷體"/>
              </w:rPr>
            </w:pPr>
            <w:r w:rsidRPr="0082128C">
              <w:rPr>
                <w:rFonts w:eastAsia="標楷體" w:ascii="Times New Roman" w:hAnsi="Times New Roman" w:cs="Times New Roman"/>
                <w:b w:val="0"/>
                <w:color w:val="000000"/>
                <w:sz w:val="20"/>
              </w:rPr>
              <w:t>SNR</w:t>
            </w:r>
            <w:r w:rsidRPr="0082128C">
              <w:rPr>
                <w:rFonts w:eastAsia="標楷體" w:ascii="Times New Roman" w:hAnsi="Times New Roman" w:cs="Times New Roman"/>
                <w:b w:val="0"/>
                <w:color w:val="000000"/>
                <w:sz w:val="20"/>
              </w:rPr>
              <w:t>、</w:t>
            </w:r>
            <w:r w:rsidRPr="0082128C">
              <w:rPr>
                <w:rFonts w:eastAsia="標楷體" w:ascii="Times New Roman" w:hAnsi="Times New Roman" w:cs="Times New Roman"/>
                <w:b w:val="0"/>
                <w:color w:val="000000"/>
                <w:sz w:val="20"/>
              </w:rPr>
              <w:t>F1</w:t>
            </w:r>
            <w:r w:rsidRPr="0082128C">
              <w:rPr>
                <w:rFonts w:eastAsia="標楷體" w:ascii="Times New Roman" w:hAnsi="Times New Roman" w:cs="Times New Roman"/>
                <w:b w:val="0"/>
                <w:color w:val="000000"/>
                <w:sz w:val="20"/>
              </w:rPr>
              <w:t>、起始延遲</w:t>
            </w:r>
          </w:p>
        </w:tc>
      </w:tr>
      <w:tr w:rsidR="00CD46E8" w:rsidRPr="0082128C" w14:paraId="28CAA828" w14:textId="77777777">
        <w:trPr>
          <w:cantSplit/>
          <w:jc w:val="center"/>
        </w:trPr>
        <w:tc>
          <w:tcPr>
            <w:tcW w:w="1361" w:type="dxa"/>
            <w:shd w:val="clear" w:color="auto" w:fill="F7F7F7"/>
            <w:tcMar>
              <w:top w:w="90" w:type="dxa"/>
              <w:left w:w="110" w:type="dxa"/>
              <w:bottom w:w="90" w:type="dxa"/>
              <w:right w:w="110" w:type="dxa"/>
              <w:start w:w="110" w:type="dxa"/>
              <w:end w:w="110" w:type="dxa"/>
            </w:tcMar>
            <w:vAlign w:val="center"/>
          </w:tcPr>
          <w:p w14:paraId="60521DC2" w14:textId="77777777" w:rsidR="00CD46E8" w:rsidRPr="0082128C" w:rsidRDefault="00000000">
            <w:pPr>
              <w:spacing w:before="20" w:after="20" w:line="276" w:lineRule="auto"/>
              <w:ind w:firstLine="0"/>
              <w:jc w:val="left"/>
              <w:rPr>
                <w:rFonts w:eastAsia="標楷體"/>
              </w:rPr>
            </w:pPr>
            <w:r w:rsidRPr="0082128C">
              <w:rPr>
                <w:rFonts w:eastAsia="標楷體" w:ascii="Times New Roman" w:hAnsi="Times New Roman" w:cs="Times New Roman"/>
                <w:b w:val="0"/>
                <w:color w:val="000000"/>
                <w:sz w:val="20"/>
              </w:rPr>
              <w:t>穿戴變異</w:t>
            </w:r>
          </w:p>
        </w:tc>
        <w:tc>
          <w:tcPr>
            <w:tcW w:w="2835" w:type="dxa"/>
            <w:shd w:val="clear" w:color="auto" w:fill="F7F7F7"/>
            <w:tcMar>
              <w:top w:w="90" w:type="dxa"/>
              <w:left w:w="110" w:type="dxa"/>
              <w:bottom w:w="90" w:type="dxa"/>
              <w:right w:w="110" w:type="dxa"/>
              <w:start w:w="110" w:type="dxa"/>
              <w:end w:w="110" w:type="dxa"/>
            </w:tcMar>
            <w:vAlign w:val="center"/>
          </w:tcPr>
          <w:p w14:paraId="494C84D3"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跨日重戴、電極平移／旋轉、不同動作速度。</w:t>
            </w:r>
          </w:p>
        </w:tc>
        <w:tc>
          <w:tcPr>
            <w:tcW w:w="2835" w:type="dxa"/>
            <w:shd w:val="clear" w:color="auto" w:fill="F7F7F7"/>
            <w:tcMar>
              <w:top w:w="90" w:type="dxa"/>
              <w:left w:w="110" w:type="dxa"/>
              <w:bottom w:w="90" w:type="dxa"/>
              <w:right w:w="110" w:type="dxa"/>
              <w:start w:w="110" w:type="dxa"/>
              <w:end w:w="110" w:type="dxa"/>
            </w:tcMar>
            <w:vAlign w:val="center"/>
          </w:tcPr>
          <w:p w14:paraId="17907B54"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固定融合與品質感知融合</w:t>
            </w:r>
          </w:p>
        </w:tc>
        <w:tc>
          <w:tcPr>
            <w:tcW w:w="2041" w:type="dxa"/>
            <w:shd w:val="clear" w:color="auto" w:fill="F7F7F7"/>
            <w:tcMar>
              <w:top w:w="90" w:type="dxa"/>
              <w:left w:w="110" w:type="dxa"/>
              <w:bottom w:w="90" w:type="dxa"/>
              <w:right w:w="110" w:type="dxa"/>
              <w:start w:w="110" w:type="dxa"/>
              <w:end w:w="110" w:type="dxa"/>
            </w:tcMar>
            <w:vAlign w:val="center"/>
          </w:tcPr>
          <w:p w14:paraId="1CD815D7"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跨次</w:t>
            </w:r>
            <w:proofErr w:type="spellEnd"/>
            <w:r w:rsidRPr="0082128C">
              <w:rPr>
                <w:rFonts w:eastAsia="標楷體" w:ascii="Times New Roman" w:hAnsi="Times New Roman" w:cs="Times New Roman"/>
                <w:b w:val="0"/>
                <w:color w:val="000000"/>
                <w:sz w:val="20"/>
              </w:rPr>
              <w:t xml:space="preserve"> F1</w:t>
            </w:r>
            <w:r w:rsidRPr="0082128C">
              <w:rPr>
                <w:rFonts w:eastAsia="標楷體" w:ascii="Times New Roman" w:hAnsi="Times New Roman" w:cs="Times New Roman"/>
                <w:b w:val="0"/>
                <w:color w:val="000000"/>
                <w:sz w:val="20"/>
              </w:rPr>
              <w:t>、校正時間</w:t>
            </w:r>
          </w:p>
        </w:tc>
      </w:tr>
      <w:tr w:rsidR="00CD46E8" w:rsidRPr="0082128C" w14:paraId="571B80BA" w14:textId="77777777">
        <w:trPr>
          <w:cantSplit/>
          <w:jc w:val="center"/>
        </w:trPr>
        <w:tc>
          <w:tcPr>
            <w:tcW w:w="1361" w:type="dxa"/>
            <w:shd w:val="clear" w:color="auto" w:fill="FFFFFF"/>
            <w:tcMar>
              <w:top w:w="90" w:type="dxa"/>
              <w:left w:w="110" w:type="dxa"/>
              <w:bottom w:w="90" w:type="dxa"/>
              <w:right w:w="110" w:type="dxa"/>
              <w:start w:w="110" w:type="dxa"/>
              <w:end w:w="110" w:type="dxa"/>
            </w:tcMar>
            <w:vAlign w:val="center"/>
          </w:tcPr>
          <w:p w14:paraId="01A1D237" w14:textId="77777777" w:rsidR="00CD46E8" w:rsidRPr="0082128C" w:rsidRDefault="00000000">
            <w:pPr>
              <w:spacing w:before="20" w:after="20" w:line="276" w:lineRule="auto"/>
              <w:ind w:firstLine="0"/>
              <w:jc w:val="left"/>
              <w:rPr>
                <w:rFonts w:eastAsia="標楷體"/>
              </w:rPr>
            </w:pPr>
            <w:r w:rsidRPr="0082128C">
              <w:rPr>
                <w:rFonts w:eastAsia="標楷體" w:ascii="Times New Roman" w:hAnsi="Times New Roman" w:cs="Times New Roman"/>
                <w:b w:val="0"/>
                <w:color w:val="000000"/>
                <w:sz w:val="20"/>
              </w:rPr>
              <w:t>異常測試</w:t>
            </w:r>
          </w:p>
        </w:tc>
        <w:tc>
          <w:tcPr>
            <w:tcW w:w="2835" w:type="dxa"/>
            <w:shd w:val="clear" w:color="auto" w:fill="FFFFFF"/>
            <w:tcMar>
              <w:top w:w="90" w:type="dxa"/>
              <w:left w:w="110" w:type="dxa"/>
              <w:bottom w:w="90" w:type="dxa"/>
              <w:right w:w="110" w:type="dxa"/>
              <w:start w:w="110" w:type="dxa"/>
              <w:end w:w="110" w:type="dxa"/>
            </w:tcMar>
            <w:vAlign w:val="center"/>
          </w:tcPr>
          <w:p w14:paraId="380A26A1"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基線漂移、飽和、工頻干擾、接觸不良與封包遺失。</w:t>
            </w:r>
          </w:p>
        </w:tc>
        <w:tc>
          <w:tcPr>
            <w:tcW w:w="2835" w:type="dxa"/>
            <w:shd w:val="clear" w:color="auto" w:fill="FFFFFF"/>
            <w:tcMar>
              <w:top w:w="90" w:type="dxa"/>
              <w:left w:w="110" w:type="dxa"/>
              <w:bottom w:w="90" w:type="dxa"/>
              <w:right w:w="110" w:type="dxa"/>
              <w:start w:w="110" w:type="dxa"/>
              <w:end w:w="110" w:type="dxa"/>
            </w:tcMar>
            <w:vAlign w:val="center"/>
          </w:tcPr>
          <w:p w14:paraId="7878AD20"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無品質管理與品質降級策略</w:t>
            </w:r>
          </w:p>
        </w:tc>
        <w:tc>
          <w:tcPr>
            <w:tcW w:w="2041" w:type="dxa"/>
            <w:shd w:val="clear" w:color="auto" w:fill="FFFFFF"/>
            <w:tcMar>
              <w:top w:w="90" w:type="dxa"/>
              <w:left w:w="110" w:type="dxa"/>
              <w:bottom w:w="90" w:type="dxa"/>
              <w:right w:w="110" w:type="dxa"/>
              <w:start w:w="110" w:type="dxa"/>
              <w:end w:w="110" w:type="dxa"/>
            </w:tcMar>
            <w:vAlign w:val="center"/>
          </w:tcPr>
          <w:p w14:paraId="4896AA99"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偵測率、假警率、誤觸發</w:t>
            </w:r>
          </w:p>
        </w:tc>
      </w:tr>
      <w:tr w:rsidR="00CD46E8" w:rsidRPr="0082128C" w14:paraId="3FD72CD8" w14:textId="77777777">
        <w:trPr>
          <w:cantSplit/>
          <w:jc w:val="center"/>
        </w:trPr>
        <w:tc>
          <w:tcPr>
            <w:tcW w:w="1361" w:type="dxa"/>
            <w:shd w:val="clear" w:color="auto" w:fill="F7F7F7"/>
            <w:tcMar>
              <w:top w:w="90" w:type="dxa"/>
              <w:left w:w="110" w:type="dxa"/>
              <w:bottom w:w="90" w:type="dxa"/>
              <w:right w:w="110" w:type="dxa"/>
              <w:start w:w="110" w:type="dxa"/>
              <w:end w:w="110" w:type="dxa"/>
            </w:tcMar>
            <w:vAlign w:val="center"/>
          </w:tcPr>
          <w:p w14:paraId="552654E8"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定點化</w:t>
            </w:r>
            <w:proofErr w:type="spellEnd"/>
          </w:p>
        </w:tc>
        <w:tc>
          <w:tcPr>
            <w:tcW w:w="2835" w:type="dxa"/>
            <w:shd w:val="clear" w:color="auto" w:fill="F7F7F7"/>
            <w:tcMar>
              <w:top w:w="90" w:type="dxa"/>
              <w:left w:w="110" w:type="dxa"/>
              <w:bottom w:w="90" w:type="dxa"/>
              <w:right w:w="110" w:type="dxa"/>
              <w:start w:w="110" w:type="dxa"/>
              <w:end w:w="110" w:type="dxa"/>
            </w:tcMar>
            <w:vAlign w:val="center"/>
          </w:tcPr>
          <w:p w14:paraId="3A94335B"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不同字長、特徵數量與模型大小。</w:t>
            </w:r>
          </w:p>
        </w:tc>
        <w:tc>
          <w:tcPr>
            <w:tcW w:w="2835" w:type="dxa"/>
            <w:shd w:val="clear" w:color="auto" w:fill="F7F7F7"/>
            <w:tcMar>
              <w:top w:w="90" w:type="dxa"/>
              <w:left w:w="110" w:type="dxa"/>
              <w:bottom w:w="90" w:type="dxa"/>
              <w:right w:w="110" w:type="dxa"/>
              <w:start w:w="110" w:type="dxa"/>
              <w:end w:w="110" w:type="dxa"/>
            </w:tcMar>
            <w:vAlign w:val="center"/>
          </w:tcPr>
          <w:p w14:paraId="6282F330"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 xml:space="preserve">PC </w:t>
            </w:r>
            <w:r w:rsidRPr="0082128C">
              <w:rPr>
                <w:rFonts w:eastAsia="標楷體" w:ascii="Times New Roman" w:hAnsi="Times New Roman" w:cs="Times New Roman"/>
                <w:b w:val="0"/>
                <w:color w:val="000000"/>
                <w:sz w:val="20"/>
                <w:lang w:eastAsia="zh-TW"/>
              </w:rPr>
              <w:t>浮點、</w:t>
            </w:r>
            <w:r w:rsidRPr="0082128C">
              <w:rPr>
                <w:rFonts w:eastAsia="標楷體" w:ascii="Times New Roman" w:hAnsi="Times New Roman" w:cs="Times New Roman"/>
                <w:b w:val="0"/>
                <w:color w:val="000000"/>
                <w:sz w:val="20"/>
                <w:lang w:eastAsia="zh-TW"/>
              </w:rPr>
              <w:t xml:space="preserve">MCU </w:t>
            </w:r>
            <w:r w:rsidRPr="0082128C">
              <w:rPr>
                <w:rFonts w:eastAsia="標楷體" w:ascii="Times New Roman" w:hAnsi="Times New Roman" w:cs="Times New Roman"/>
                <w:b w:val="0"/>
                <w:color w:val="000000"/>
                <w:sz w:val="20"/>
                <w:lang w:eastAsia="zh-TW"/>
              </w:rPr>
              <w:t>浮點／定點</w:t>
            </w:r>
          </w:p>
        </w:tc>
        <w:tc>
          <w:tcPr>
            <w:tcW w:w="2041" w:type="dxa"/>
            <w:shd w:val="clear" w:color="auto" w:fill="F7F7F7"/>
            <w:tcMar>
              <w:top w:w="90" w:type="dxa"/>
              <w:left w:w="110" w:type="dxa"/>
              <w:bottom w:w="90" w:type="dxa"/>
              <w:right w:w="110" w:type="dxa"/>
              <w:start w:w="110" w:type="dxa"/>
              <w:end w:w="110" w:type="dxa"/>
            </w:tcMar>
            <w:vAlign w:val="center"/>
          </w:tcPr>
          <w:p w14:paraId="54B85D11"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效能差、延遲、</w:t>
            </w:r>
            <w:r w:rsidRPr="0082128C">
              <w:rPr>
                <w:rFonts w:eastAsia="標楷體" w:ascii="Times New Roman" w:hAnsi="Times New Roman" w:cs="Times New Roman"/>
                <w:b w:val="0"/>
                <w:color w:val="000000"/>
                <w:sz w:val="20"/>
              </w:rPr>
              <w:t>RAM</w:t>
            </w:r>
            <w:proofErr w:type="spellEnd"/>
            <w:r w:rsidRPr="0082128C">
              <w:rPr>
                <w:rFonts w:eastAsia="標楷體" w:ascii="Times New Roman" w:hAnsi="Times New Roman" w:cs="Times New Roman"/>
                <w:b w:val="0"/>
                <w:color w:val="000000"/>
                <w:sz w:val="20"/>
              </w:rPr>
              <w:t>/Flash</w:t>
            </w:r>
          </w:p>
        </w:tc>
      </w:tr>
      <w:tr w:rsidR="00CD46E8" w:rsidRPr="0082128C" w14:paraId="433EB74B" w14:textId="77777777">
        <w:trPr>
          <w:cantSplit/>
          <w:jc w:val="center"/>
        </w:trPr>
        <w:tc>
          <w:tcPr>
            <w:tcW w:w="1361" w:type="dxa"/>
            <w:shd w:val="clear" w:color="auto" w:fill="FFFFFF"/>
            <w:tcMar>
              <w:top w:w="90" w:type="dxa"/>
              <w:left w:w="110" w:type="dxa"/>
              <w:bottom w:w="90" w:type="dxa"/>
              <w:right w:w="110" w:type="dxa"/>
              <w:start w:w="110" w:type="dxa"/>
              <w:end w:w="110" w:type="dxa"/>
            </w:tcMar>
            <w:vAlign w:val="center"/>
          </w:tcPr>
          <w:p w14:paraId="3CE021E0" w14:textId="77777777" w:rsidR="00CD46E8" w:rsidRPr="0082128C" w:rsidRDefault="00000000">
            <w:pPr>
              <w:spacing w:before="20" w:after="20" w:line="276" w:lineRule="auto"/>
              <w:ind w:firstLine="0"/>
              <w:jc w:val="left"/>
              <w:rPr>
                <w:rFonts w:eastAsia="標楷體"/>
              </w:rPr>
            </w:pPr>
            <w:r w:rsidRPr="0082128C">
              <w:rPr>
                <w:rFonts w:eastAsia="標楷體" w:ascii="Times New Roman" w:hAnsi="Times New Roman" w:cs="Times New Roman"/>
                <w:b w:val="0"/>
                <w:color w:val="000000"/>
                <w:sz w:val="20"/>
              </w:rPr>
              <w:t>硬體部署</w:t>
            </w:r>
          </w:p>
        </w:tc>
        <w:tc>
          <w:tcPr>
            <w:tcW w:w="2835" w:type="dxa"/>
            <w:shd w:val="clear" w:color="auto" w:fill="FFFFFF"/>
            <w:tcMar>
              <w:top w:w="90" w:type="dxa"/>
              <w:left w:w="110" w:type="dxa"/>
              <w:bottom w:w="90" w:type="dxa"/>
              <w:right w:w="110" w:type="dxa"/>
              <w:start w:w="110" w:type="dxa"/>
              <w:end w:w="110" w:type="dxa"/>
            </w:tcMar>
            <w:vAlign w:val="center"/>
          </w:tcPr>
          <w:p w14:paraId="7D806C2F"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常態、低活動與完整辨識模式。</w:t>
            </w:r>
          </w:p>
        </w:tc>
        <w:tc>
          <w:tcPr>
            <w:tcW w:w="2835" w:type="dxa"/>
            <w:shd w:val="clear" w:color="auto" w:fill="FFFFFF"/>
            <w:tcMar>
              <w:top w:w="90" w:type="dxa"/>
              <w:left w:w="110" w:type="dxa"/>
              <w:bottom w:w="90" w:type="dxa"/>
              <w:right w:w="110" w:type="dxa"/>
              <w:start w:w="110" w:type="dxa"/>
              <w:end w:w="110" w:type="dxa"/>
            </w:tcMar>
            <w:vAlign w:val="center"/>
          </w:tcPr>
          <w:p w14:paraId="42C330CC"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 xml:space="preserve">MCU </w:t>
            </w:r>
            <w:r w:rsidRPr="0082128C">
              <w:rPr>
                <w:rFonts w:eastAsia="標楷體" w:ascii="Times New Roman" w:hAnsi="Times New Roman" w:cs="Times New Roman"/>
                <w:b w:val="0"/>
                <w:color w:val="000000"/>
                <w:sz w:val="20"/>
                <w:lang w:eastAsia="zh-TW"/>
              </w:rPr>
              <w:t>與</w:t>
            </w:r>
            <w:r w:rsidRPr="0082128C">
              <w:rPr>
                <w:rFonts w:eastAsia="標楷體" w:ascii="Times New Roman" w:hAnsi="Times New Roman" w:cs="Times New Roman"/>
                <w:b w:val="0"/>
                <w:color w:val="000000"/>
                <w:sz w:val="20"/>
                <w:lang w:eastAsia="zh-TW"/>
              </w:rPr>
              <w:t xml:space="preserve"> FPGA</w:t>
            </w:r>
            <w:r w:rsidRPr="0082128C">
              <w:rPr>
                <w:rFonts w:eastAsia="標楷體" w:ascii="Times New Roman" w:hAnsi="Times New Roman" w:cs="Times New Roman"/>
                <w:b w:val="0"/>
                <w:color w:val="000000"/>
                <w:sz w:val="20"/>
                <w:lang w:eastAsia="zh-TW"/>
              </w:rPr>
              <w:t>（視平台）</w:t>
            </w:r>
          </w:p>
        </w:tc>
        <w:tc>
          <w:tcPr>
            <w:tcW w:w="2041" w:type="dxa"/>
            <w:shd w:val="clear" w:color="auto" w:fill="FFFFFF"/>
            <w:tcMar>
              <w:top w:w="90" w:type="dxa"/>
              <w:left w:w="110" w:type="dxa"/>
              <w:bottom w:w="90" w:type="dxa"/>
              <w:right w:w="110" w:type="dxa"/>
              <w:start w:w="110" w:type="dxa"/>
              <w:end w:w="110" w:type="dxa"/>
            </w:tcMar>
            <w:vAlign w:val="center"/>
          </w:tcPr>
          <w:p w14:paraId="5533E756"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功率、能耗、</w:t>
            </w:r>
            <w:r w:rsidRPr="0082128C">
              <w:rPr>
                <w:rFonts w:eastAsia="標楷體" w:ascii="Times New Roman" w:hAnsi="Times New Roman" w:cs="Times New Roman"/>
                <w:b w:val="0"/>
                <w:color w:val="000000"/>
                <w:sz w:val="20"/>
              </w:rPr>
              <w:t>LUT</w:t>
            </w:r>
            <w:proofErr w:type="spellEnd"/>
            <w:r w:rsidRPr="0082128C">
              <w:rPr>
                <w:rFonts w:eastAsia="標楷體" w:ascii="Times New Roman" w:hAnsi="Times New Roman" w:cs="Times New Roman"/>
                <w:b w:val="0"/>
                <w:color w:val="000000"/>
                <w:sz w:val="20"/>
              </w:rPr>
              <w:t>/DSP</w:t>
            </w:r>
            <w:r w:rsidRPr="0082128C">
              <w:rPr>
                <w:rFonts w:eastAsia="標楷體" w:ascii="Times New Roman" w:hAnsi="Times New Roman" w:cs="Times New Roman"/>
                <w:b w:val="0"/>
                <w:color w:val="000000"/>
                <w:sz w:val="20"/>
              </w:rPr>
              <w:t>、</w:t>
            </w:r>
            <w:r w:rsidRPr="0082128C">
              <w:rPr>
                <w:rFonts w:eastAsia="標楷體" w:ascii="Times New Roman" w:hAnsi="Times New Roman" w:cs="Times New Roman"/>
                <w:b w:val="0"/>
                <w:color w:val="000000"/>
                <w:sz w:val="20"/>
              </w:rPr>
              <w:t>WCET</w:t>
            </w:r>
          </w:p>
        </w:tc>
      </w:tr>
    </w:tbl>
    <w:p w14:paraId="580A850C" w14:textId="77777777" w:rsidR="00CD46E8" w:rsidRPr="0082128C" w:rsidRDefault="00CD46E8">
      <w:pPr>
        <w:spacing w:line="360" w:lineRule="auto" w:after="80"/>
        <w:ind w:firstLine="480"/>
        <w:jc w:val="both"/>
        <w:rPr>
          <w:rFonts w:eastAsia="標楷體"/>
        </w:rPr>
      </w:pPr>
    </w:p>
    <w:p w14:paraId="269EFE2B" w14:textId="77777777" w:rsidR="00CD46E8" w:rsidRPr="0082128C" w:rsidRDefault="00000000">
      <w:pPr>
        <w:spacing w:line="360" w:lineRule="auto" w:after="80"/>
        <w:ind w:firstLine="480"/>
        <w:jc w:val="both"/>
        <w:rPr>
          <w:rFonts w:eastAsia="標楷體"/>
          <w:lang w:eastAsia="zh-TW"/>
        </w:rPr>
      </w:pPr>
      <w:r w:rsidRPr="0082128C">
        <w:rPr>
          <w:rFonts w:eastAsia="標楷體" w:ascii="Times New Roman" w:hAnsi="Times New Roman" w:cs="Times New Roman"/>
          <w:color w:val="000000"/>
          <w:sz w:val="24"/>
          <w:lang w:eastAsia="zh-TW"/>
        </w:rPr>
        <w:t>初期先以公開資料集與少量健康成人工程測試驗證流程；正式人體資料收集將依校方研究倫理規範及指導教授安排辦理。統計分析除平均值外，將呈現個別受試者與跨次差異，並以重複量測或配對檢定比較基準與主方法。</w:t>
      </w:r>
    </w:p>
    <w:p w14:paraId="3C89852C" w14:textId="77777777" w:rsidR="00CD46E8" w:rsidRPr="0082128C" w:rsidRDefault="00000000">
      <w:pPr>
        <w:pStyle w:val="1"/>
        <w:ind w:firstLine="0"/>
        <w:rPr>
          <w:rFonts w:ascii="Times New Roman" w:eastAsia="標楷體" w:hAnsi="Times New Roman" w:cs="Times New Roman"/>
        </w:rPr>
      </w:pPr>
      <w:proofErr w:type="spellStart"/>
      <w:r w:rsidRPr="0082128C">
        <w:rPr>
          <w:rFonts w:ascii="Times New Roman" w:eastAsia="標楷體" w:hAnsi="Times New Roman" w:cs="Times New Roman"/>
          <w:b/>
          <w:color w:val="000000"/>
          <w:sz w:val="28"/>
        </w:rPr>
        <w:t>六、預期成果與貢獻</w:t>
      </w:r>
      <w:proofErr w:type="spellEnd"/>
    </w:p>
    <w:p w14:paraId="02C6C2C1"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t>一套具有共同時間戳、異常標記與可重現測試流程的</w:t>
      </w:r>
      <w:r w:rsidRPr="0082128C">
        <w:rPr>
          <w:rFonts w:eastAsia="標楷體" w:ascii="Times New Roman" w:hAnsi="Times New Roman" w:cs="Times New Roman"/>
          <w:color w:val="000000"/>
          <w:sz w:val="24"/>
          <w:lang w:eastAsia="zh-TW"/>
        </w:rPr>
        <w:t xml:space="preserve"> IMU–</w:t>
      </w:r>
      <w:proofErr w:type="spellStart"/>
      <w:r w:rsidRPr="0082128C">
        <w:rPr>
          <w:rFonts w:eastAsia="標楷體" w:ascii="Times New Roman" w:hAnsi="Times New Roman" w:cs="Times New Roman"/>
          <w:color w:val="000000"/>
          <w:sz w:val="24"/>
          <w:lang w:eastAsia="zh-TW"/>
        </w:rPr>
        <w:t>sEMG</w:t>
      </w:r>
      <w:proofErr w:type="spellEnd"/>
      <w:r w:rsidRPr="0082128C">
        <w:rPr>
          <w:rFonts w:eastAsia="標楷體" w:ascii="Times New Roman" w:hAnsi="Times New Roman" w:cs="Times New Roman"/>
          <w:color w:val="000000"/>
          <w:sz w:val="24"/>
          <w:lang w:eastAsia="zh-TW"/>
        </w:rPr>
        <w:t xml:space="preserve"> </w:t>
      </w:r>
      <w:r w:rsidRPr="0082128C">
        <w:rPr>
          <w:rFonts w:eastAsia="標楷體" w:ascii="Times New Roman" w:hAnsi="Times New Roman" w:cs="Times New Roman"/>
          <w:color w:val="000000"/>
          <w:sz w:val="24"/>
          <w:lang w:eastAsia="zh-TW"/>
        </w:rPr>
        <w:t>穿戴式資料平台。</w:t>
      </w:r>
    </w:p>
    <w:p w14:paraId="1E2A0A75"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lastRenderedPageBreak/>
        <w:t>一組可解釋的神經肌肉與慣性感測品質指標，以及其和動作意圖辨識錯誤之量化關係。</w:t>
      </w:r>
    </w:p>
    <w:p w14:paraId="4DDFE1A7"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t>固定融合與品質感知融合在正常、跨次及異常條件下的完整比較。</w:t>
      </w:r>
    </w:p>
    <w:p w14:paraId="20E0A886" w14:textId="77777777" w:rsidR="00CD46E8" w:rsidRPr="0082128C" w:rsidRDefault="00000000">
      <w:pPr>
        <w:pStyle w:val="a0"/>
        <w:rPr>
          <w:rFonts w:eastAsia="標楷體"/>
          <w:lang w:eastAsia="zh-TW"/>
        </w:rPr>
      </w:pPr>
      <w:r w:rsidRPr="0082128C">
        <w:rPr>
          <w:rFonts w:eastAsia="標楷體" w:ascii="Times New Roman" w:hAnsi="Times New Roman" w:cs="Times New Roman"/>
          <w:color w:val="000000"/>
          <w:sz w:val="24"/>
          <w:lang w:eastAsia="zh-TW"/>
        </w:rPr>
        <w:t>具明確模組介面、資料流、字長、記憶體、延遲、故障處理與能耗預算的嵌入式韌體及</w:t>
      </w:r>
      <w:r w:rsidRPr="0082128C">
        <w:rPr>
          <w:rFonts w:eastAsia="標楷體" w:ascii="Times New Roman" w:hAnsi="Times New Roman" w:cs="Times New Roman"/>
          <w:color w:val="000000"/>
          <w:sz w:val="24"/>
          <w:lang w:eastAsia="zh-TW"/>
        </w:rPr>
        <w:t xml:space="preserve"> MCU</w:t>
      </w:r>
      <w:r w:rsidRPr="0082128C">
        <w:rPr>
          <w:rFonts w:eastAsia="標楷體" w:ascii="Times New Roman" w:hAnsi="Times New Roman" w:cs="Times New Roman"/>
          <w:color w:val="000000"/>
          <w:sz w:val="24"/>
          <w:lang w:eastAsia="zh-TW"/>
        </w:rPr>
        <w:t>／</w:t>
      </w:r>
      <w:r w:rsidRPr="0082128C">
        <w:rPr>
          <w:rFonts w:eastAsia="標楷體" w:ascii="Times New Roman" w:hAnsi="Times New Roman" w:cs="Times New Roman"/>
          <w:color w:val="000000"/>
          <w:sz w:val="24"/>
          <w:lang w:eastAsia="zh-TW"/>
        </w:rPr>
        <w:t xml:space="preserve">FPGA </w:t>
      </w:r>
      <w:r w:rsidRPr="0082128C">
        <w:rPr>
          <w:rFonts w:eastAsia="標楷體" w:ascii="Times New Roman" w:hAnsi="Times New Roman" w:cs="Times New Roman"/>
          <w:color w:val="000000"/>
          <w:sz w:val="24"/>
          <w:lang w:eastAsia="zh-TW"/>
        </w:rPr>
        <w:t>架構。</w:t>
      </w:r>
    </w:p>
    <w:p w14:paraId="65ADE2E3" w14:textId="77777777" w:rsidR="00CD46E8" w:rsidRPr="0082128C" w:rsidRDefault="00000000">
      <w:pPr>
        <w:pStyle w:val="a0"/>
        <w:rPr>
          <w:rFonts w:eastAsia="標楷體"/>
          <w:lang w:eastAsia="zh-TW"/>
        </w:rPr>
      </w:pPr>
      <w:r>
        <w:rPr>
          <w:rFonts w:ascii="Times New Roman" w:hAnsi="Times New Roman" w:cs="Times New Roman" w:eastAsia="標楷體"/>
        </w:rPr>
        <w:t>形成可供後續開發低雜訊生醫訊號擷取前端、可程式化資料轉換、嵌入式生醫訊號處理模組，或神經肌肉人機介面之系統規格與設計依據。</w:t>
      </w:r>
    </w:p>
    <w:p w14:paraId="5AE5FFDF" w14:textId="77777777" w:rsidR="00CD46E8" w:rsidRPr="0082128C" w:rsidRDefault="00000000">
      <w:pPr>
        <w:pStyle w:val="1"/>
        <w:ind w:firstLine="0"/>
        <w:rPr>
          <w:rFonts w:ascii="Times New Roman" w:eastAsia="標楷體" w:hAnsi="Times New Roman" w:cs="Times New Roman"/>
          <w:lang w:eastAsia="zh-TW"/>
        </w:rPr>
      </w:pPr>
      <w:r>
        <w:rPr>
          <w:rFonts w:ascii="Times New Roman" w:hAnsi="Times New Roman" w:eastAsia="標楷體" w:cs="Times New Roman"/>
          <w:b/>
          <w:color w:val="000000"/>
          <w:sz w:val="28"/>
        </w:rPr>
        <w:t>七、與成大醫工醫學電子組之契合</w:t>
      </w:r>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2324"/>
        <w:gridCol w:w="3572"/>
        <w:gridCol w:w="3175"/>
      </w:tblGrid>
      <w:tr w:rsidR="00CD46E8" w:rsidRPr="0082128C" w14:paraId="7B3060A5" w14:textId="77777777">
        <w:trPr>
          <w:cantSplit/>
          <w:jc w:val="center"/>
        </w:trPr>
        <w:tc>
          <w:tcPr>
            <w:tcW w:w="2324" w:type="dxa"/>
            <w:shd w:val="clear" w:color="auto" w:fill="D9E2F3"/>
            <w:tcMar>
              <w:top w:w="90" w:type="dxa"/>
              <w:left w:w="110" w:type="dxa"/>
              <w:bottom w:w="90" w:type="dxa"/>
              <w:right w:w="110" w:type="dxa"/>
              <w:start w:w="110" w:type="dxa"/>
              <w:end w:w="110" w:type="dxa"/>
            </w:tcMar>
            <w:vAlign w:val="center"/>
          </w:tcPr>
          <w:p w14:paraId="4495ECF2" w14:textId="77777777" w:rsidR="00CD46E8" w:rsidRPr="0082128C" w:rsidRDefault="00000000">
            <w:pPr>
              <w:spacing w:before="20" w:after="20" w:line="276" w:lineRule="auto"/>
              <w:ind w:firstLine="0"/>
              <w:jc w:val="center"/>
              <w:rPr>
                <w:rFonts w:eastAsia="標楷體"/>
              </w:rPr>
            </w:pPr>
            <w:proofErr w:type="spellStart"/>
            <w:r w:rsidRPr="0082128C">
              <w:rPr>
                <w:rFonts w:eastAsia="標楷體" w:ascii="Times New Roman" w:hAnsi="Times New Roman" w:cs="Times New Roman"/>
                <w:b/>
                <w:color w:val="000000"/>
                <w:sz w:val="20"/>
              </w:rPr>
              <w:t>所需研究能力</w:t>
            </w:r>
            <w:proofErr w:type="spellEnd"/>
          </w:p>
        </w:tc>
        <w:tc>
          <w:tcPr>
            <w:tcW w:w="3572" w:type="dxa"/>
            <w:shd w:val="clear" w:color="auto" w:fill="D9E2F3"/>
            <w:tcMar>
              <w:top w:w="90" w:type="dxa"/>
              <w:left w:w="110" w:type="dxa"/>
              <w:bottom w:w="90" w:type="dxa"/>
              <w:right w:w="110" w:type="dxa"/>
              <w:start w:w="110" w:type="dxa"/>
              <w:end w:w="110" w:type="dxa"/>
            </w:tcMar>
            <w:vAlign w:val="center"/>
          </w:tcPr>
          <w:p w14:paraId="46AFDF13"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本計畫對應內容</w:t>
            </w:r>
          </w:p>
        </w:tc>
        <w:tc>
          <w:tcPr>
            <w:tcW w:w="3175" w:type="dxa"/>
            <w:shd w:val="clear" w:color="auto" w:fill="D9E2F3"/>
            <w:tcMar>
              <w:top w:w="90" w:type="dxa"/>
              <w:left w:w="110" w:type="dxa"/>
              <w:bottom w:w="90" w:type="dxa"/>
              <w:right w:w="110" w:type="dxa"/>
              <w:start w:w="110" w:type="dxa"/>
              <w:end w:w="110" w:type="dxa"/>
            </w:tcMar>
            <w:vAlign w:val="center"/>
          </w:tcPr>
          <w:p w14:paraId="640DA99A"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入學後深化方向</w:t>
            </w:r>
          </w:p>
        </w:tc>
      </w:tr>
      <w:tr w:rsidR="00CD46E8" w:rsidRPr="0082128C" w14:paraId="7238D0F3" w14:textId="77777777">
        <w:trPr>
          <w:cantSplit/>
          <w:jc w:val="center"/>
        </w:trPr>
        <w:tc>
          <w:tcPr>
            <w:tcW w:w="2324" w:type="dxa"/>
            <w:shd w:val="clear" w:color="auto" w:fill="FFFFFF"/>
            <w:tcMar>
              <w:top w:w="90" w:type="dxa"/>
              <w:left w:w="110" w:type="dxa"/>
              <w:bottom w:w="90" w:type="dxa"/>
              <w:right w:w="110" w:type="dxa"/>
              <w:start w:w="110" w:type="dxa"/>
              <w:end w:w="110" w:type="dxa"/>
            </w:tcMar>
            <w:vAlign w:val="center"/>
          </w:tcPr>
          <w:p w14:paraId="09F882C5"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非侵入式生醫感測與類比前端</w:t>
            </w:r>
          </w:p>
        </w:tc>
        <w:tc>
          <w:tcPr>
            <w:tcW w:w="3572" w:type="dxa"/>
            <w:shd w:val="clear" w:color="auto" w:fill="FFFFFF"/>
            <w:tcMar>
              <w:top w:w="90" w:type="dxa"/>
              <w:left w:w="110" w:type="dxa"/>
              <w:bottom w:w="90" w:type="dxa"/>
              <w:right w:w="110" w:type="dxa"/>
              <w:start w:w="110" w:type="dxa"/>
              <w:end w:w="110" w:type="dxa"/>
            </w:tcMar>
            <w:vAlign w:val="center"/>
          </w:tcPr>
          <w:p w14:paraId="1DBD778A" w14:textId="77777777" w:rsidR="00CD46E8" w:rsidRPr="0082128C" w:rsidRDefault="00000000">
            <w:pPr>
              <w:spacing w:before="20" w:after="20" w:line="276" w:lineRule="auto"/>
              <w:ind w:firstLine="0"/>
              <w:jc w:val="left"/>
              <w:rPr>
                <w:rFonts w:eastAsia="標楷體"/>
                <w:lang w:eastAsia="zh-TW"/>
              </w:rPr>
            </w:pPr>
            <w:proofErr w:type="spellStart"/>
            <w:r w:rsidRPr="0082128C">
              <w:rPr>
                <w:rFonts w:eastAsia="標楷體" w:ascii="Times New Roman" w:hAnsi="Times New Roman" w:cs="Times New Roman"/>
                <w:b w:val="0"/>
                <w:color w:val="000000"/>
                <w:sz w:val="20"/>
                <w:lang w:eastAsia="zh-TW"/>
              </w:rPr>
              <w:t>sEMG</w:t>
            </w:r>
            <w:proofErr w:type="spellEnd"/>
            <w:r w:rsidRPr="0082128C">
              <w:rPr>
                <w:rFonts w:eastAsia="標楷體" w:ascii="Times New Roman" w:hAnsi="Times New Roman" w:cs="Times New Roman"/>
                <w:b w:val="0"/>
                <w:color w:val="000000"/>
                <w:sz w:val="20"/>
                <w:lang w:eastAsia="zh-TW"/>
              </w:rPr>
              <w:t xml:space="preserve"> </w:t>
            </w:r>
            <w:r w:rsidRPr="0082128C">
              <w:rPr>
                <w:rFonts w:eastAsia="標楷體" w:ascii="Times New Roman" w:hAnsi="Times New Roman" w:cs="Times New Roman"/>
                <w:b w:val="0"/>
                <w:color w:val="000000"/>
                <w:sz w:val="20"/>
                <w:lang w:eastAsia="zh-TW"/>
              </w:rPr>
              <w:t>微弱訊號擷取、接觸品質、增益、雜訊與動態範圍。</w:t>
            </w:r>
          </w:p>
        </w:tc>
        <w:tc>
          <w:tcPr>
            <w:tcW w:w="3175" w:type="dxa"/>
            <w:shd w:val="clear" w:color="auto" w:fill="FFFFFF"/>
            <w:tcMar>
              <w:top w:w="90" w:type="dxa"/>
              <w:left w:w="110" w:type="dxa"/>
              <w:bottom w:w="90" w:type="dxa"/>
              <w:right w:w="110" w:type="dxa"/>
              <w:start w:w="110" w:type="dxa"/>
              <w:end w:w="110" w:type="dxa"/>
            </w:tcMar>
            <w:vAlign w:val="center"/>
          </w:tcPr>
          <w:p w14:paraId="089FB6E9"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可程式化</w:t>
            </w:r>
            <w:r w:rsidRPr="0082128C">
              <w:rPr>
                <w:rFonts w:eastAsia="標楷體" w:ascii="Times New Roman" w:hAnsi="Times New Roman" w:cs="Times New Roman"/>
                <w:b w:val="0"/>
                <w:color w:val="000000"/>
                <w:sz w:val="20"/>
                <w:lang w:eastAsia="zh-TW"/>
              </w:rPr>
              <w:t xml:space="preserve"> AFE</w:t>
            </w:r>
            <w:r w:rsidRPr="0082128C">
              <w:rPr>
                <w:rFonts w:eastAsia="標楷體" w:ascii="Times New Roman" w:hAnsi="Times New Roman" w:cs="Times New Roman"/>
                <w:b w:val="0"/>
                <w:color w:val="000000"/>
                <w:sz w:val="20"/>
                <w:lang w:eastAsia="zh-TW"/>
              </w:rPr>
              <w:t>、智慧感測器與感測控制。</w:t>
            </w:r>
          </w:p>
        </w:tc>
      </w:tr>
      <w:tr w:rsidR="00CD46E8" w:rsidRPr="0082128C" w14:paraId="62603D96" w14:textId="77777777">
        <w:trPr>
          <w:cantSplit/>
          <w:jc w:val="center"/>
        </w:trPr>
        <w:tc>
          <w:tcPr>
            <w:tcW w:w="2324" w:type="dxa"/>
            <w:shd w:val="clear" w:color="auto" w:fill="F7F7F7"/>
            <w:tcMar>
              <w:top w:w="90" w:type="dxa"/>
              <w:left w:w="110" w:type="dxa"/>
              <w:bottom w:w="90" w:type="dxa"/>
              <w:right w:w="110" w:type="dxa"/>
              <w:start w:w="110" w:type="dxa"/>
              <w:end w:w="110" w:type="dxa"/>
            </w:tcMar>
            <w:vAlign w:val="center"/>
          </w:tcPr>
          <w:p w14:paraId="08B4DEFC"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低功耗混合訊號與穿戴電子</w:t>
            </w:r>
          </w:p>
        </w:tc>
        <w:tc>
          <w:tcPr>
            <w:tcW w:w="3572" w:type="dxa"/>
            <w:shd w:val="clear" w:color="auto" w:fill="F7F7F7"/>
            <w:tcMar>
              <w:top w:w="90" w:type="dxa"/>
              <w:left w:w="110" w:type="dxa"/>
              <w:bottom w:w="90" w:type="dxa"/>
              <w:right w:w="110" w:type="dxa"/>
              <w:start w:w="110" w:type="dxa"/>
              <w:end w:w="110" w:type="dxa"/>
            </w:tcMar>
            <w:vAlign w:val="center"/>
          </w:tcPr>
          <w:p w14:paraId="1DDB21D2"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取樣、量化、事件觸發、定點</w:t>
            </w:r>
            <w:r w:rsidRPr="0082128C">
              <w:rPr>
                <w:rFonts w:eastAsia="標楷體" w:ascii="Times New Roman" w:hAnsi="Times New Roman" w:cs="Times New Roman"/>
                <w:b w:val="0"/>
                <w:color w:val="000000"/>
                <w:sz w:val="20"/>
                <w:lang w:eastAsia="zh-TW"/>
              </w:rPr>
              <w:t xml:space="preserve"> DSP </w:t>
            </w:r>
            <w:r w:rsidRPr="0082128C">
              <w:rPr>
                <w:rFonts w:eastAsia="標楷體" w:ascii="Times New Roman" w:hAnsi="Times New Roman" w:cs="Times New Roman"/>
                <w:b w:val="0"/>
                <w:color w:val="000000"/>
                <w:sz w:val="20"/>
                <w:lang w:eastAsia="zh-TW"/>
              </w:rPr>
              <w:t>與功耗預算。</w:t>
            </w:r>
          </w:p>
        </w:tc>
        <w:tc>
          <w:tcPr>
            <w:tcW w:w="3175" w:type="dxa"/>
            <w:shd w:val="clear" w:color="auto" w:fill="F7F7F7"/>
            <w:tcMar>
              <w:top w:w="90" w:type="dxa"/>
              <w:left w:w="110" w:type="dxa"/>
              <w:bottom w:w="90" w:type="dxa"/>
              <w:right w:w="110" w:type="dxa"/>
              <w:start w:w="110" w:type="dxa"/>
              <w:end w:w="110" w:type="dxa"/>
            </w:tcMar>
            <w:vAlign w:val="center"/>
          </w:tcPr>
          <w:p w14:paraId="7AAD3892"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ADC</w:t>
            </w:r>
            <w:r w:rsidRPr="0082128C">
              <w:rPr>
                <w:rFonts w:eastAsia="標楷體" w:ascii="Times New Roman" w:hAnsi="Times New Roman" w:cs="Times New Roman"/>
                <w:b w:val="0"/>
                <w:color w:val="000000"/>
                <w:sz w:val="20"/>
                <w:lang w:eastAsia="zh-TW"/>
              </w:rPr>
              <w:t>／</w:t>
            </w:r>
            <w:r w:rsidRPr="0082128C">
              <w:rPr>
                <w:rFonts w:eastAsia="標楷體" w:ascii="Times New Roman" w:hAnsi="Times New Roman" w:cs="Times New Roman"/>
                <w:b w:val="0"/>
                <w:color w:val="000000"/>
                <w:sz w:val="20"/>
                <w:lang w:eastAsia="zh-TW"/>
              </w:rPr>
              <w:t>AFE</w:t>
            </w:r>
            <w:r w:rsidRPr="0082128C">
              <w:rPr>
                <w:rFonts w:eastAsia="標楷體" w:ascii="Times New Roman" w:hAnsi="Times New Roman" w:cs="Times New Roman"/>
                <w:b w:val="0"/>
                <w:color w:val="000000"/>
                <w:sz w:val="20"/>
                <w:lang w:eastAsia="zh-TW"/>
              </w:rPr>
              <w:t>／數位處理協同設計及醫療物聯網節點。</w:t>
            </w:r>
          </w:p>
        </w:tc>
      </w:tr>
      <w:tr w:rsidR="00CD46E8" w:rsidRPr="0082128C" w14:paraId="426817EB" w14:textId="77777777">
        <w:trPr>
          <w:cantSplit/>
          <w:jc w:val="center"/>
        </w:trPr>
        <w:tc>
          <w:tcPr>
            <w:tcW w:w="2324" w:type="dxa"/>
            <w:shd w:val="clear" w:color="auto" w:fill="FFFFFF"/>
            <w:tcMar>
              <w:top w:w="90" w:type="dxa"/>
              <w:left w:w="110" w:type="dxa"/>
              <w:bottom w:w="90" w:type="dxa"/>
              <w:right w:w="110" w:type="dxa"/>
              <w:start w:w="110" w:type="dxa"/>
              <w:end w:w="110" w:type="dxa"/>
            </w:tcMar>
            <w:vAlign w:val="center"/>
          </w:tcPr>
          <w:p w14:paraId="212789C6"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生醫訊號處理與嵌入式整合</w:t>
            </w:r>
          </w:p>
        </w:tc>
        <w:tc>
          <w:tcPr>
            <w:tcW w:w="3572" w:type="dxa"/>
            <w:shd w:val="clear" w:color="auto" w:fill="FFFFFF"/>
            <w:tcMar>
              <w:top w:w="90" w:type="dxa"/>
              <w:left w:w="110" w:type="dxa"/>
              <w:bottom w:w="90" w:type="dxa"/>
              <w:right w:w="110" w:type="dxa"/>
              <w:start w:w="110" w:type="dxa"/>
              <w:end w:w="110" w:type="dxa"/>
            </w:tcMar>
            <w:vAlign w:val="center"/>
          </w:tcPr>
          <w:p w14:paraId="04DD2216"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多模態融合、品質估測、即時分類與故障降級。</w:t>
            </w:r>
          </w:p>
        </w:tc>
        <w:tc>
          <w:tcPr>
            <w:tcW w:w="3175" w:type="dxa"/>
            <w:shd w:val="clear" w:color="auto" w:fill="FFFFFF"/>
            <w:tcMar>
              <w:top w:w="90" w:type="dxa"/>
              <w:left w:w="110" w:type="dxa"/>
              <w:bottom w:w="90" w:type="dxa"/>
              <w:right w:w="110" w:type="dxa"/>
              <w:start w:w="110" w:type="dxa"/>
              <w:end w:w="110" w:type="dxa"/>
            </w:tcMar>
            <w:vAlign w:val="center"/>
          </w:tcPr>
          <w:p w14:paraId="32715F77"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邊緣運算、多感測融合及系統級實證。</w:t>
            </w:r>
          </w:p>
        </w:tc>
      </w:tr>
      <w:tr w:rsidR="00CD46E8" w:rsidRPr="0082128C" w14:paraId="3584D19D" w14:textId="77777777">
        <w:trPr>
          <w:cantSplit/>
          <w:jc w:val="center"/>
        </w:trPr>
        <w:tc>
          <w:tcPr>
            <w:tcW w:w="2324" w:type="dxa"/>
            <w:shd w:val="clear" w:color="auto" w:fill="F7F7F7"/>
            <w:tcMar>
              <w:top w:w="90" w:type="dxa"/>
              <w:left w:w="110" w:type="dxa"/>
              <w:bottom w:w="90" w:type="dxa"/>
              <w:right w:w="110" w:type="dxa"/>
              <w:start w:w="110" w:type="dxa"/>
              <w:end w:w="110" w:type="dxa"/>
            </w:tcMar>
            <w:vAlign w:val="center"/>
          </w:tcPr>
          <w:p w14:paraId="2E6A7B59"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醫工系統與人體量測</w:t>
            </w:r>
            <w:proofErr w:type="spellEnd"/>
          </w:p>
        </w:tc>
        <w:tc>
          <w:tcPr>
            <w:tcW w:w="3572" w:type="dxa"/>
            <w:shd w:val="clear" w:color="auto" w:fill="F7F7F7"/>
            <w:tcMar>
              <w:top w:w="90" w:type="dxa"/>
              <w:left w:w="110" w:type="dxa"/>
              <w:bottom w:w="90" w:type="dxa"/>
              <w:right w:w="110" w:type="dxa"/>
              <w:start w:w="110" w:type="dxa"/>
              <w:end w:w="110" w:type="dxa"/>
            </w:tcMar>
            <w:vAlign w:val="center"/>
          </w:tcPr>
          <w:p w14:paraId="460ACB2A"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穿戴式量測、工程驗證與跨次實驗設計。</w:t>
            </w:r>
          </w:p>
        </w:tc>
        <w:tc>
          <w:tcPr>
            <w:tcW w:w="3175" w:type="dxa"/>
            <w:shd w:val="clear" w:color="auto" w:fill="F7F7F7"/>
            <w:tcMar>
              <w:top w:w="90" w:type="dxa"/>
              <w:left w:w="110" w:type="dxa"/>
              <w:bottom w:w="90" w:type="dxa"/>
              <w:right w:w="110" w:type="dxa"/>
              <w:start w:w="110" w:type="dxa"/>
              <w:end w:w="110" w:type="dxa"/>
            </w:tcMar>
            <w:vAlign w:val="center"/>
          </w:tcPr>
          <w:p w14:paraId="2720EF30"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依研究資源延伸至輔具、復健、人機介面或健康監測。</w:t>
            </w:r>
          </w:p>
        </w:tc>
      </w:tr>
    </w:tbl>
    <w:p w14:paraId="436A5152" w14:textId="77777777" w:rsidR="00CD46E8" w:rsidRPr="0082128C" w:rsidRDefault="00CD46E8">
      <w:pPr>
        <w:spacing w:line="360" w:lineRule="auto" w:after="80"/>
        <w:ind w:firstLine="480"/>
        <w:jc w:val="both"/>
        <w:rPr>
          <w:rFonts w:eastAsia="標楷體"/>
          <w:lang w:eastAsia="zh-TW"/>
        </w:rPr>
      </w:pPr>
    </w:p>
    <w:p w14:paraId="60BE9619" w14:textId="77777777" w:rsidR="00CD46E8" w:rsidRPr="0082128C" w:rsidRDefault="00000000">
      <w:pPr>
        <w:spacing w:line="360" w:lineRule="auto" w:after="80"/>
        <w:ind w:firstLine="480"/>
        <w:jc w:val="both"/>
        <w:rPr>
          <w:rFonts w:eastAsia="標楷體"/>
          <w:lang w:eastAsia="zh-TW"/>
        </w:rPr>
      </w:pPr>
      <w:r>
        <w:rPr>
          <w:rFonts w:ascii="Times New Roman" w:hAnsi="Times New Roman" w:cs="Times New Roman" w:eastAsia="標楷體"/>
        </w:rPr>
        <w:t>成大醫工醫學電子組的研究方向涵蓋醫學電子與資訊、醫療量測與系統及生醫感測，與本計畫由 sEMG／IMU 感測、訊號品質估測、動作意圖辨識到嵌入式硬體部署的技術鏈相符。我的生醫訊號與神經工程實驗室經驗，使我已具備人體動作量測、sEMG 前端電路、PCB、SPI、嵌入式韌體與控制系統整合的基礎；進入研究所後，希望進一步學習微弱生理訊號擷取、醫療量測系統、低功耗資料路徑與硬體化生醫訊號演算法，建立三者相互連結的能力：以生醫訊號演算法理解人體動作意圖，以嵌入式系統完成可靠即時運算，再以生醫電子系統整合感測前端、運算平台與醫療應用。大學階段的訓練以生醫工程、訊號處理與系統整合為主，尚未接受完整的晶片設計訓練；若研究後續需延伸至積體電路或更底層的硬體實現，我將主動跨修電資學院相關課程，補足數位系統、硬體描述語言與積體電路設計基礎。本研究的可執行核心仍以商用生醫訊號前端、MCU 或 FPGA 平台完成演算法驗證與嵌入式系統整合。</w:t>
      </w:r>
    </w:p>
    <w:p w14:paraId="0A9118B9" w14:textId="77777777" w:rsidR="00CD46E8" w:rsidRPr="0082128C" w:rsidRDefault="00000000">
      <w:pPr>
        <w:pStyle w:val="1"/>
        <w:ind w:firstLine="0"/>
        <w:rPr>
          <w:rFonts w:ascii="Times New Roman" w:eastAsia="標楷體" w:hAnsi="Times New Roman" w:cs="Times New Roman"/>
          <w:lang w:eastAsia="zh-TW"/>
        </w:rPr>
      </w:pPr>
      <w:r w:rsidRPr="0082128C">
        <w:rPr>
          <w:rFonts w:ascii="Times New Roman" w:eastAsia="標楷體" w:hAnsi="Times New Roman" w:cs="Times New Roman"/>
          <w:b/>
          <w:color w:val="000000"/>
          <w:sz w:val="28"/>
          <w:lang w:eastAsia="zh-TW"/>
        </w:rPr>
        <w:t>八、可行性、風險與替代方案</w:t>
      </w:r>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2835"/>
        <w:gridCol w:w="6236"/>
      </w:tblGrid>
      <w:tr w:rsidR="00CD46E8" w:rsidRPr="0082128C" w14:paraId="28969327" w14:textId="77777777">
        <w:trPr>
          <w:cantSplit/>
          <w:jc w:val="center"/>
        </w:trPr>
        <w:tc>
          <w:tcPr>
            <w:tcW w:w="2835" w:type="dxa"/>
            <w:shd w:val="clear" w:color="auto" w:fill="D9E2F3"/>
            <w:tcMar>
              <w:top w:w="90" w:type="dxa"/>
              <w:left w:w="110" w:type="dxa"/>
              <w:bottom w:w="90" w:type="dxa"/>
              <w:right w:w="110" w:type="dxa"/>
              <w:start w:w="110" w:type="dxa"/>
              <w:end w:w="110" w:type="dxa"/>
            </w:tcMar>
            <w:vAlign w:val="center"/>
          </w:tcPr>
          <w:p w14:paraId="7B6E2A4D" w14:textId="77777777" w:rsidR="00CD46E8" w:rsidRPr="0082128C" w:rsidRDefault="00000000">
            <w:pPr>
              <w:spacing w:before="20" w:after="20" w:line="276" w:lineRule="auto"/>
              <w:ind w:firstLine="0"/>
              <w:jc w:val="center"/>
              <w:rPr>
                <w:rFonts w:eastAsia="標楷體"/>
              </w:rPr>
            </w:pPr>
            <w:proofErr w:type="spellStart"/>
            <w:r w:rsidRPr="0082128C">
              <w:rPr>
                <w:rFonts w:eastAsia="標楷體" w:ascii="Times New Roman" w:hAnsi="Times New Roman" w:cs="Times New Roman"/>
                <w:b/>
                <w:color w:val="000000"/>
                <w:sz w:val="20"/>
              </w:rPr>
              <w:t>可能風險</w:t>
            </w:r>
            <w:proofErr w:type="spellEnd"/>
          </w:p>
        </w:tc>
        <w:tc>
          <w:tcPr>
            <w:tcW w:w="6236" w:type="dxa"/>
            <w:shd w:val="clear" w:color="auto" w:fill="D9E2F3"/>
            <w:tcMar>
              <w:top w:w="90" w:type="dxa"/>
              <w:left w:w="110" w:type="dxa"/>
              <w:bottom w:w="90" w:type="dxa"/>
              <w:right w:w="110" w:type="dxa"/>
              <w:start w:w="110" w:type="dxa"/>
              <w:end w:w="110" w:type="dxa"/>
            </w:tcMar>
            <w:vAlign w:val="center"/>
          </w:tcPr>
          <w:p w14:paraId="4C59B58C"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因應方式</w:t>
            </w:r>
          </w:p>
        </w:tc>
      </w:tr>
      <w:tr w:rsidR="00CD46E8" w:rsidRPr="0082128C" w14:paraId="1C785934" w14:textId="77777777">
        <w:trPr>
          <w:cantSplit/>
          <w:jc w:val="center"/>
        </w:trPr>
        <w:tc>
          <w:tcPr>
            <w:tcW w:w="2835" w:type="dxa"/>
            <w:shd w:val="clear" w:color="auto" w:fill="FFFFFF"/>
            <w:tcMar>
              <w:top w:w="90" w:type="dxa"/>
              <w:left w:w="110" w:type="dxa"/>
              <w:bottom w:w="90" w:type="dxa"/>
              <w:right w:w="110" w:type="dxa"/>
              <w:start w:w="110" w:type="dxa"/>
              <w:end w:w="110" w:type="dxa"/>
            </w:tcMar>
            <w:vAlign w:val="center"/>
          </w:tcPr>
          <w:p w14:paraId="33980A19"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lastRenderedPageBreak/>
              <w:t>無法立即取得自製類比前端</w:t>
            </w:r>
          </w:p>
        </w:tc>
        <w:tc>
          <w:tcPr>
            <w:tcW w:w="6236" w:type="dxa"/>
            <w:shd w:val="clear" w:color="auto" w:fill="FFFFFF"/>
            <w:tcMar>
              <w:top w:w="90" w:type="dxa"/>
              <w:left w:w="110" w:type="dxa"/>
              <w:bottom w:w="90" w:type="dxa"/>
              <w:right w:w="110" w:type="dxa"/>
              <w:start w:w="110" w:type="dxa"/>
              <w:end w:w="110" w:type="dxa"/>
            </w:tcMar>
            <w:vAlign w:val="center"/>
          </w:tcPr>
          <w:p w14:paraId="6AC82D22"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先用商用</w:t>
            </w:r>
            <w:r w:rsidRPr="0082128C">
              <w:rPr>
                <w:rFonts w:eastAsia="標楷體" w:ascii="Times New Roman" w:hAnsi="Times New Roman" w:cs="Times New Roman"/>
                <w:b w:val="0"/>
                <w:color w:val="000000"/>
                <w:sz w:val="20"/>
                <w:lang w:eastAsia="zh-TW"/>
              </w:rPr>
              <w:t xml:space="preserve"> AFE </w:t>
            </w:r>
            <w:r w:rsidRPr="0082128C">
              <w:rPr>
                <w:rFonts w:eastAsia="標楷體" w:ascii="Times New Roman" w:hAnsi="Times New Roman" w:cs="Times New Roman"/>
                <w:b w:val="0"/>
                <w:color w:val="000000"/>
                <w:sz w:val="20"/>
                <w:lang w:eastAsia="zh-TW"/>
              </w:rPr>
              <w:t>驗證訊號與規格，再將量測結果轉為電路設計需求。</w:t>
            </w:r>
          </w:p>
        </w:tc>
      </w:tr>
      <w:tr w:rsidR="00CD46E8" w:rsidRPr="0082128C" w14:paraId="69F36541" w14:textId="77777777">
        <w:trPr>
          <w:cantSplit/>
          <w:jc w:val="center"/>
        </w:trPr>
        <w:tc>
          <w:tcPr>
            <w:tcW w:w="2835" w:type="dxa"/>
            <w:shd w:val="clear" w:color="auto" w:fill="F7F7F7"/>
            <w:tcMar>
              <w:top w:w="90" w:type="dxa"/>
              <w:left w:w="110" w:type="dxa"/>
              <w:bottom w:w="90" w:type="dxa"/>
              <w:right w:w="110" w:type="dxa"/>
              <w:start w:w="110" w:type="dxa"/>
              <w:end w:w="110" w:type="dxa"/>
            </w:tcMar>
            <w:vAlign w:val="center"/>
          </w:tcPr>
          <w:p w14:paraId="5002F070"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人體資料量不足</w:t>
            </w:r>
            <w:proofErr w:type="spellEnd"/>
          </w:p>
        </w:tc>
        <w:tc>
          <w:tcPr>
            <w:tcW w:w="6236" w:type="dxa"/>
            <w:shd w:val="clear" w:color="auto" w:fill="F7F7F7"/>
            <w:tcMar>
              <w:top w:w="90" w:type="dxa"/>
              <w:left w:w="110" w:type="dxa"/>
              <w:bottom w:w="90" w:type="dxa"/>
              <w:right w:w="110" w:type="dxa"/>
              <w:start w:w="110" w:type="dxa"/>
              <w:end w:w="110" w:type="dxa"/>
            </w:tcMar>
            <w:vAlign w:val="center"/>
          </w:tcPr>
          <w:p w14:paraId="1BCEDCA5"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先用公開資料集與台架異常注入完成演算法；人體測試依倫理與資源逐步擴充。</w:t>
            </w:r>
          </w:p>
        </w:tc>
      </w:tr>
      <w:tr w:rsidR="00CD46E8" w:rsidRPr="0082128C" w14:paraId="461412BA" w14:textId="77777777">
        <w:trPr>
          <w:cantSplit/>
          <w:jc w:val="center"/>
        </w:trPr>
        <w:tc>
          <w:tcPr>
            <w:tcW w:w="2835" w:type="dxa"/>
            <w:shd w:val="clear" w:color="auto" w:fill="FFFFFF"/>
            <w:tcMar>
              <w:top w:w="90" w:type="dxa"/>
              <w:left w:w="110" w:type="dxa"/>
              <w:bottom w:w="90" w:type="dxa"/>
              <w:right w:w="110" w:type="dxa"/>
              <w:start w:w="110" w:type="dxa"/>
              <w:end w:w="110" w:type="dxa"/>
            </w:tcMar>
            <w:vAlign w:val="center"/>
          </w:tcPr>
          <w:p w14:paraId="39805B1C"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跨人模型過於困難</w:t>
            </w:r>
            <w:proofErr w:type="spellEnd"/>
          </w:p>
        </w:tc>
        <w:tc>
          <w:tcPr>
            <w:tcW w:w="6236" w:type="dxa"/>
            <w:shd w:val="clear" w:color="auto" w:fill="FFFFFF"/>
            <w:tcMar>
              <w:top w:w="90" w:type="dxa"/>
              <w:left w:w="110" w:type="dxa"/>
              <w:bottom w:w="90" w:type="dxa"/>
              <w:right w:w="110" w:type="dxa"/>
              <w:start w:w="110" w:type="dxa"/>
              <w:end w:w="110" w:type="dxa"/>
            </w:tcMar>
            <w:vAlign w:val="center"/>
          </w:tcPr>
          <w:p w14:paraId="0C341B9D"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先完成個人內與跨次驗證，再研究少量校正或個人化正規化。</w:t>
            </w:r>
          </w:p>
        </w:tc>
      </w:tr>
      <w:tr w:rsidR="00CD46E8" w:rsidRPr="0082128C" w14:paraId="6CA34C19" w14:textId="77777777">
        <w:trPr>
          <w:cantSplit/>
          <w:jc w:val="center"/>
        </w:trPr>
        <w:tc>
          <w:tcPr>
            <w:tcW w:w="2835" w:type="dxa"/>
            <w:shd w:val="clear" w:color="auto" w:fill="F7F7F7"/>
            <w:tcMar>
              <w:top w:w="90" w:type="dxa"/>
              <w:left w:w="110" w:type="dxa"/>
              <w:bottom w:w="90" w:type="dxa"/>
              <w:right w:w="110" w:type="dxa"/>
              <w:start w:w="110" w:type="dxa"/>
              <w:end w:w="110" w:type="dxa"/>
            </w:tcMar>
            <w:vAlign w:val="center"/>
          </w:tcPr>
          <w:p w14:paraId="0B1F485C"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品質分數無法精確區分異常</w:t>
            </w:r>
          </w:p>
        </w:tc>
        <w:tc>
          <w:tcPr>
            <w:tcW w:w="6236" w:type="dxa"/>
            <w:shd w:val="clear" w:color="auto" w:fill="F7F7F7"/>
            <w:tcMar>
              <w:top w:w="90" w:type="dxa"/>
              <w:left w:w="110" w:type="dxa"/>
              <w:bottom w:w="90" w:type="dxa"/>
              <w:right w:w="110" w:type="dxa"/>
              <w:start w:w="110" w:type="dxa"/>
              <w:end w:w="110" w:type="dxa"/>
            </w:tcMar>
            <w:vAlign w:val="center"/>
          </w:tcPr>
          <w:p w14:paraId="4A279C48"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先採正常／低品質二階段判斷，以可解釋門檻完成基準研究。</w:t>
            </w:r>
          </w:p>
        </w:tc>
      </w:tr>
      <w:tr w:rsidR="00CD46E8" w:rsidRPr="0082128C" w14:paraId="438F78C7" w14:textId="77777777">
        <w:trPr>
          <w:cantSplit/>
          <w:jc w:val="center"/>
        </w:trPr>
        <w:tc>
          <w:tcPr>
            <w:tcW w:w="2835" w:type="dxa"/>
            <w:shd w:val="clear" w:color="auto" w:fill="FFFFFF"/>
            <w:tcMar>
              <w:top w:w="90" w:type="dxa"/>
              <w:left w:w="110" w:type="dxa"/>
              <w:bottom w:w="90" w:type="dxa"/>
              <w:right w:w="110" w:type="dxa"/>
              <w:start w:w="110" w:type="dxa"/>
              <w:end w:w="110" w:type="dxa"/>
            </w:tcMar>
            <w:vAlign w:val="center"/>
          </w:tcPr>
          <w:p>
            <w:r>
              <w:rPr>
                <w:rFonts w:ascii="Times New Roman" w:hAnsi="Times New Roman" w:cs="Times New Roman" w:eastAsia="標楷體"/>
              </w:rPr>
              <w:t>硬體化開發時程不足</w:t>
            </w:r>
          </w:p>
        </w:tc>
        <w:tc>
          <w:tcPr>
            <w:tcW w:w="6236" w:type="dxa"/>
            <w:shd w:val="clear" w:color="auto" w:fill="FFFFFF"/>
            <w:tcMar>
              <w:top w:w="90" w:type="dxa"/>
              <w:left w:w="110" w:type="dxa"/>
              <w:bottom w:w="90" w:type="dxa"/>
              <w:right w:w="110" w:type="dxa"/>
              <w:start w:w="110" w:type="dxa"/>
              <w:end w:w="110" w:type="dxa"/>
            </w:tcMar>
            <w:vAlign w:val="center"/>
          </w:tcPr>
          <w:p>
            <w:r>
              <w:rPr>
                <w:rFonts w:ascii="Times New Roman" w:hAnsi="Times New Roman" w:cs="Times New Roman" w:eastAsia="標楷體"/>
              </w:rPr>
              <w:t>以 MCU 定點實現作為最小可行成果；FPGA 加速則依研究進度與平台資源逐步深化。</w:t>
            </w:r>
          </w:p>
        </w:tc>
      </w:tr>
    </w:tbl>
    <w:p w14:paraId="72194B9F" w14:textId="77777777" w:rsidR="00CD46E8" w:rsidRPr="0082128C" w:rsidRDefault="00CD46E8">
      <w:pPr>
        <w:spacing w:line="360" w:lineRule="auto" w:after="80"/>
        <w:ind w:firstLine="480"/>
        <w:jc w:val="both"/>
        <w:rPr>
          <w:rFonts w:eastAsia="標楷體"/>
          <w:lang w:eastAsia="zh-TW"/>
        </w:rPr>
      </w:pPr>
    </w:p>
    <w:p w14:paraId="4F771117" w14:textId="77777777" w:rsidR="00CD46E8" w:rsidRPr="0082128C" w:rsidRDefault="00000000">
      <w:pPr>
        <w:pStyle w:val="1"/>
        <w:ind w:firstLine="0"/>
        <w:rPr>
          <w:rFonts w:ascii="Times New Roman" w:eastAsia="標楷體" w:hAnsi="Times New Roman" w:cs="Times New Roman"/>
        </w:rPr>
      </w:pPr>
      <w:proofErr w:type="spellStart"/>
      <w:r w:rsidRPr="0082128C">
        <w:rPr>
          <w:rFonts w:ascii="Times New Roman" w:eastAsia="標楷體" w:hAnsi="Times New Roman" w:cs="Times New Roman"/>
          <w:b/>
          <w:color w:val="000000"/>
          <w:sz w:val="28"/>
        </w:rPr>
        <w:t>九、研究進度</w:t>
      </w:r>
      <w:proofErr w:type="spellEnd"/>
    </w:p>
    <w:tbl>
      <w:tblPr>
        <w:tblW w:w="0" w:type="auto"/>
        <w:jc w:val="center"/>
        <w:tblLayout w:type="fixed"/>
        <w:tblLook w:val="04A0" w:firstRow="1" w:lastRow="0" w:firstColumn="1" w:lastColumn="0" w:noHBand="0" w:noVBand="1"/>
        <w:tblBorders>
          <w:top w:val="single" w:sz="5" w:color="B7B7B7"/>
          <w:left w:val="single" w:sz="5" w:color="B7B7B7"/>
          <w:bottom w:val="single" w:sz="5" w:color="B7B7B7"/>
          <w:right w:val="single" w:sz="5" w:color="B7B7B7"/>
          <w:insideH w:val="single" w:sz="5" w:color="B7B7B7"/>
          <w:insideV w:val="single" w:sz="5" w:color="B7B7B7"/>
        </w:tblBorders>
      </w:tblPr>
      <w:tblGrid>
        <w:gridCol w:w="1814"/>
        <w:gridCol w:w="7257"/>
      </w:tblGrid>
      <w:tr w:rsidR="00CD46E8" w:rsidRPr="0082128C" w14:paraId="29FF9123" w14:textId="77777777">
        <w:trPr>
          <w:cantSplit/>
          <w:jc w:val="center"/>
        </w:trPr>
        <w:tc>
          <w:tcPr>
            <w:tcW w:w="1814" w:type="dxa"/>
            <w:shd w:val="clear" w:color="auto" w:fill="D9E2F3"/>
            <w:tcMar>
              <w:top w:w="90" w:type="dxa"/>
              <w:left w:w="110" w:type="dxa"/>
              <w:bottom w:w="90" w:type="dxa"/>
              <w:right w:w="110" w:type="dxa"/>
              <w:start w:w="110" w:type="dxa"/>
              <w:end w:w="110" w:type="dxa"/>
            </w:tcMar>
            <w:vAlign w:val="center"/>
          </w:tcPr>
          <w:p w14:paraId="25D782CA"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期程</w:t>
            </w:r>
          </w:p>
        </w:tc>
        <w:tc>
          <w:tcPr>
            <w:tcW w:w="7257" w:type="dxa"/>
            <w:shd w:val="clear" w:color="auto" w:fill="D9E2F3"/>
            <w:tcMar>
              <w:top w:w="90" w:type="dxa"/>
              <w:left w:w="110" w:type="dxa"/>
              <w:bottom w:w="90" w:type="dxa"/>
              <w:right w:w="110" w:type="dxa"/>
              <w:start w:w="110" w:type="dxa"/>
              <w:end w:w="110" w:type="dxa"/>
            </w:tcMar>
            <w:vAlign w:val="center"/>
          </w:tcPr>
          <w:p w14:paraId="57C13448" w14:textId="77777777" w:rsidR="00CD46E8" w:rsidRPr="0082128C" w:rsidRDefault="00000000">
            <w:pPr>
              <w:spacing w:before="20" w:after="20" w:line="276" w:lineRule="auto"/>
              <w:ind w:firstLine="0"/>
              <w:jc w:val="center"/>
              <w:rPr>
                <w:rFonts w:eastAsia="標楷體"/>
              </w:rPr>
            </w:pPr>
            <w:r w:rsidRPr="0082128C">
              <w:rPr>
                <w:rFonts w:eastAsia="標楷體" w:ascii="Times New Roman" w:hAnsi="Times New Roman" w:cs="Times New Roman"/>
                <w:b/>
                <w:color w:val="000000"/>
                <w:sz w:val="20"/>
              </w:rPr>
              <w:t>主要工作</w:t>
            </w:r>
          </w:p>
        </w:tc>
      </w:tr>
      <w:tr w:rsidR="00CD46E8" w:rsidRPr="0082128C" w14:paraId="67F55451" w14:textId="77777777">
        <w:trPr>
          <w:cantSplit/>
          <w:jc w:val="center"/>
        </w:trPr>
        <w:tc>
          <w:tcPr>
            <w:tcW w:w="1814" w:type="dxa"/>
            <w:shd w:val="clear" w:color="auto" w:fill="FFFFFF"/>
            <w:tcMar>
              <w:top w:w="90" w:type="dxa"/>
              <w:left w:w="110" w:type="dxa"/>
              <w:bottom w:w="90" w:type="dxa"/>
              <w:right w:w="110" w:type="dxa"/>
              <w:start w:w="110" w:type="dxa"/>
              <w:end w:w="110" w:type="dxa"/>
            </w:tcMar>
            <w:vAlign w:val="center"/>
          </w:tcPr>
          <w:p w14:paraId="4C6FC388" w14:textId="77777777" w:rsidR="00CD46E8" w:rsidRPr="0082128C" w:rsidRDefault="00000000">
            <w:pPr>
              <w:spacing w:before="20" w:after="20" w:line="276" w:lineRule="auto"/>
              <w:ind w:firstLine="0"/>
              <w:jc w:val="left"/>
              <w:rPr>
                <w:rFonts w:eastAsia="標楷體"/>
              </w:rPr>
            </w:pPr>
            <w:r w:rsidRPr="0082128C">
              <w:rPr>
                <w:rFonts w:eastAsia="標楷體" w:ascii="Times New Roman" w:hAnsi="Times New Roman" w:cs="Times New Roman"/>
                <w:b w:val="0"/>
                <w:color w:val="000000"/>
                <w:sz w:val="20"/>
              </w:rPr>
              <w:t>碩一上</w:t>
            </w:r>
          </w:p>
        </w:tc>
        <w:tc>
          <w:tcPr>
            <w:tcW w:w="7257" w:type="dxa"/>
            <w:shd w:val="clear" w:color="auto" w:fill="FFFFFF"/>
            <w:tcMar>
              <w:top w:w="90" w:type="dxa"/>
              <w:left w:w="110" w:type="dxa"/>
              <w:bottom w:w="90" w:type="dxa"/>
              <w:right w:w="110" w:type="dxa"/>
              <w:start w:w="110" w:type="dxa"/>
              <w:end w:w="110" w:type="dxa"/>
            </w:tcMar>
            <w:vAlign w:val="center"/>
          </w:tcPr>
          <w:p>
            <w:r>
              <w:rPr>
                <w:rFonts w:ascii="Times New Roman" w:hAnsi="Times New Roman" w:cs="Times New Roman" w:eastAsia="標楷體"/>
              </w:rPr>
              <w:t>補強生醫電子、數位訊號處理與嵌入式系統基礎；完成同步擷取、前端規格及基準資料。若研究需求涉及積體電路層級，另跨修電資學院相關課程。</w:t>
            </w:r>
          </w:p>
        </w:tc>
      </w:tr>
      <w:tr w:rsidR="00CD46E8" w:rsidRPr="0082128C" w14:paraId="4431E6C6" w14:textId="77777777">
        <w:trPr>
          <w:cantSplit/>
          <w:jc w:val="center"/>
        </w:trPr>
        <w:tc>
          <w:tcPr>
            <w:tcW w:w="1814" w:type="dxa"/>
            <w:shd w:val="clear" w:color="auto" w:fill="F7F7F7"/>
            <w:tcMar>
              <w:top w:w="90" w:type="dxa"/>
              <w:left w:w="110" w:type="dxa"/>
              <w:bottom w:w="90" w:type="dxa"/>
              <w:right w:w="110" w:type="dxa"/>
              <w:start w:w="110" w:type="dxa"/>
              <w:end w:w="110" w:type="dxa"/>
            </w:tcMar>
            <w:vAlign w:val="center"/>
          </w:tcPr>
          <w:p w14:paraId="49B0920C"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碩一下</w:t>
            </w:r>
            <w:proofErr w:type="spellEnd"/>
          </w:p>
        </w:tc>
        <w:tc>
          <w:tcPr>
            <w:tcW w:w="7257" w:type="dxa"/>
            <w:shd w:val="clear" w:color="auto" w:fill="F7F7F7"/>
            <w:tcMar>
              <w:top w:w="90" w:type="dxa"/>
              <w:left w:w="110" w:type="dxa"/>
              <w:bottom w:w="90" w:type="dxa"/>
              <w:right w:w="110" w:type="dxa"/>
              <w:start w:w="110" w:type="dxa"/>
              <w:end w:w="110" w:type="dxa"/>
            </w:tcMar>
            <w:vAlign w:val="center"/>
          </w:tcPr>
          <w:p w14:paraId="15DFC269"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建立品質指標、跨次／異常資料及單一模態與固定融合基準。</w:t>
            </w:r>
          </w:p>
        </w:tc>
      </w:tr>
      <w:tr w:rsidR="00CD46E8" w:rsidRPr="0082128C" w14:paraId="2E641C00" w14:textId="77777777">
        <w:trPr>
          <w:cantSplit/>
          <w:jc w:val="center"/>
        </w:trPr>
        <w:tc>
          <w:tcPr>
            <w:tcW w:w="1814" w:type="dxa"/>
            <w:shd w:val="clear" w:color="auto" w:fill="FFFFFF"/>
            <w:tcMar>
              <w:top w:w="90" w:type="dxa"/>
              <w:left w:w="110" w:type="dxa"/>
              <w:bottom w:w="90" w:type="dxa"/>
              <w:right w:w="110" w:type="dxa"/>
              <w:start w:w="110" w:type="dxa"/>
              <w:end w:w="110" w:type="dxa"/>
            </w:tcMar>
            <w:vAlign w:val="center"/>
          </w:tcPr>
          <w:p w14:paraId="496F0F59"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碩二上</w:t>
            </w:r>
            <w:proofErr w:type="spellEnd"/>
          </w:p>
        </w:tc>
        <w:tc>
          <w:tcPr>
            <w:tcW w:w="7257" w:type="dxa"/>
            <w:shd w:val="clear" w:color="auto" w:fill="FFFFFF"/>
            <w:tcMar>
              <w:top w:w="90" w:type="dxa"/>
              <w:left w:w="110" w:type="dxa"/>
              <w:bottom w:w="90" w:type="dxa"/>
              <w:right w:w="110" w:type="dxa"/>
              <w:start w:w="110" w:type="dxa"/>
              <w:end w:w="110" w:type="dxa"/>
            </w:tcMar>
            <w:vAlign w:val="center"/>
          </w:tcPr>
          <w:p w14:paraId="44ACA5DE"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完成品質感知融合、定點化、</w:t>
            </w:r>
            <w:r w:rsidRPr="0082128C">
              <w:rPr>
                <w:rFonts w:eastAsia="標楷體" w:ascii="Times New Roman" w:hAnsi="Times New Roman" w:cs="Times New Roman"/>
                <w:b w:val="0"/>
                <w:color w:val="000000"/>
                <w:sz w:val="20"/>
                <w:lang w:eastAsia="zh-TW"/>
              </w:rPr>
              <w:t>MCU</w:t>
            </w:r>
            <w:r w:rsidRPr="0082128C">
              <w:rPr>
                <w:rFonts w:eastAsia="標楷體" w:ascii="Times New Roman" w:hAnsi="Times New Roman" w:cs="Times New Roman"/>
                <w:b w:val="0"/>
                <w:color w:val="000000"/>
                <w:sz w:val="20"/>
                <w:lang w:eastAsia="zh-TW"/>
              </w:rPr>
              <w:t>／</w:t>
            </w:r>
            <w:r w:rsidRPr="0082128C">
              <w:rPr>
                <w:rFonts w:eastAsia="標楷體" w:ascii="Times New Roman" w:hAnsi="Times New Roman" w:cs="Times New Roman"/>
                <w:b w:val="0"/>
                <w:color w:val="000000"/>
                <w:sz w:val="20"/>
                <w:lang w:eastAsia="zh-TW"/>
              </w:rPr>
              <w:t xml:space="preserve">FPGA </w:t>
            </w:r>
            <w:r w:rsidRPr="0082128C">
              <w:rPr>
                <w:rFonts w:eastAsia="標楷體" w:ascii="Times New Roman" w:hAnsi="Times New Roman" w:cs="Times New Roman"/>
                <w:b w:val="0"/>
                <w:color w:val="000000"/>
                <w:sz w:val="20"/>
                <w:lang w:eastAsia="zh-TW"/>
              </w:rPr>
              <w:t>部署與能耗量測。</w:t>
            </w:r>
          </w:p>
        </w:tc>
      </w:tr>
      <w:tr w:rsidR="00CD46E8" w:rsidRPr="0082128C" w14:paraId="310A82E8" w14:textId="77777777">
        <w:trPr>
          <w:cantSplit/>
          <w:jc w:val="center"/>
        </w:trPr>
        <w:tc>
          <w:tcPr>
            <w:tcW w:w="1814" w:type="dxa"/>
            <w:shd w:val="clear" w:color="auto" w:fill="F7F7F7"/>
            <w:tcMar>
              <w:top w:w="90" w:type="dxa"/>
              <w:left w:w="110" w:type="dxa"/>
              <w:bottom w:w="90" w:type="dxa"/>
              <w:right w:w="110" w:type="dxa"/>
              <w:start w:w="110" w:type="dxa"/>
              <w:end w:w="110" w:type="dxa"/>
            </w:tcMar>
            <w:vAlign w:val="center"/>
          </w:tcPr>
          <w:p w14:paraId="51930A7C" w14:textId="77777777" w:rsidR="00CD46E8" w:rsidRPr="0082128C" w:rsidRDefault="00000000">
            <w:pPr>
              <w:spacing w:before="20" w:after="20" w:line="276" w:lineRule="auto"/>
              <w:ind w:firstLine="0"/>
              <w:jc w:val="left"/>
              <w:rPr>
                <w:rFonts w:eastAsia="標楷體"/>
              </w:rPr>
            </w:pPr>
            <w:proofErr w:type="spellStart"/>
            <w:r w:rsidRPr="0082128C">
              <w:rPr>
                <w:rFonts w:eastAsia="標楷體" w:ascii="Times New Roman" w:hAnsi="Times New Roman" w:cs="Times New Roman"/>
                <w:b w:val="0"/>
                <w:color w:val="000000"/>
                <w:sz w:val="20"/>
              </w:rPr>
              <w:t>碩二下</w:t>
            </w:r>
            <w:proofErr w:type="spellEnd"/>
          </w:p>
        </w:tc>
        <w:tc>
          <w:tcPr>
            <w:tcW w:w="7257" w:type="dxa"/>
            <w:shd w:val="clear" w:color="auto" w:fill="F7F7F7"/>
            <w:tcMar>
              <w:top w:w="90" w:type="dxa"/>
              <w:left w:w="110" w:type="dxa"/>
              <w:bottom w:w="90" w:type="dxa"/>
              <w:right w:w="110" w:type="dxa"/>
              <w:start w:w="110" w:type="dxa"/>
              <w:end w:w="110" w:type="dxa"/>
            </w:tcMar>
            <w:vAlign w:val="center"/>
          </w:tcPr>
          <w:p w14:paraId="110612C3" w14:textId="77777777" w:rsidR="00CD46E8" w:rsidRPr="0082128C" w:rsidRDefault="00000000">
            <w:pPr>
              <w:spacing w:before="20" w:after="20" w:line="276" w:lineRule="auto"/>
              <w:ind w:firstLine="0"/>
              <w:jc w:val="left"/>
              <w:rPr>
                <w:rFonts w:eastAsia="標楷體"/>
                <w:lang w:eastAsia="zh-TW"/>
              </w:rPr>
            </w:pPr>
            <w:r w:rsidRPr="0082128C">
              <w:rPr>
                <w:rFonts w:eastAsia="標楷體" w:ascii="Times New Roman" w:hAnsi="Times New Roman" w:cs="Times New Roman"/>
                <w:b w:val="0"/>
                <w:color w:val="000000"/>
                <w:sz w:val="20"/>
                <w:lang w:eastAsia="zh-TW"/>
              </w:rPr>
              <w:t>補充統計與系統實驗，整理硬體規格、完成論文與口試。</w:t>
            </w:r>
          </w:p>
        </w:tc>
      </w:tr>
    </w:tbl>
    <w:p w14:paraId="7B4CBD5E" w14:textId="77777777" w:rsidR="00CD46E8" w:rsidRPr="0082128C" w:rsidRDefault="00CD46E8">
      <w:pPr>
        <w:spacing w:line="360" w:lineRule="auto" w:after="80"/>
        <w:ind w:firstLine="480"/>
        <w:jc w:val="both"/>
        <w:rPr>
          <w:rFonts w:eastAsia="標楷體"/>
          <w:lang w:eastAsia="zh-TW"/>
        </w:rPr>
      </w:pPr>
    </w:p>
    <w:p w14:paraId="4A09BD1A" w14:textId="77777777" w:rsidR="00CD46E8" w:rsidRPr="0082128C" w:rsidRDefault="00000000">
      <w:pPr>
        <w:pStyle w:val="1"/>
        <w:ind w:firstLine="0"/>
        <w:rPr>
          <w:rFonts w:ascii="Times New Roman" w:eastAsia="標楷體" w:hAnsi="Times New Roman" w:cs="Times New Roman"/>
        </w:rPr>
      </w:pPr>
      <w:proofErr w:type="spellStart"/>
      <w:r w:rsidRPr="0082128C">
        <w:rPr>
          <w:rFonts w:ascii="Times New Roman" w:eastAsia="標楷體" w:hAnsi="Times New Roman" w:cs="Times New Roman"/>
          <w:b/>
          <w:color w:val="000000"/>
          <w:sz w:val="28"/>
        </w:rPr>
        <w:t>參考文獻</w:t>
      </w:r>
      <w:proofErr w:type="spellEnd"/>
    </w:p>
    <w:p w14:paraId="72A87552" w14:textId="77777777" w:rsidR="00CD46E8" w:rsidRPr="0082128C" w:rsidRDefault="00000000">
      <w:pPr>
        <w:spacing w:after="100" w:line="276" w:lineRule="auto"/>
        <w:ind w:left="425" w:hanging="425"/>
        <w:jc w:val="left"/>
        <w:rPr>
          <w:rFonts w:eastAsia="標楷體"/>
        </w:rPr>
      </w:pPr>
      <w:r w:rsidRPr="0082128C">
        <w:rPr>
          <w:rFonts w:eastAsia="標楷體" w:ascii="Times New Roman" w:hAnsi="Times New Roman" w:cs="Times New Roman"/>
          <w:b w:val="0"/>
          <w:color w:val="000000"/>
          <w:sz w:val="20"/>
        </w:rPr>
        <w:t>[1] Krasoulis, A., et al. (2017). Improved prosthetic hand control with concurrent use of myoelectric and inertial measurements. Journal of NeuroEngineering and Rehabilitation, 14, 71. PMID: 28697795.</w:t>
      </w:r>
    </w:p>
    <w:p w14:paraId="43A9B3B0" w14:textId="77777777" w:rsidR="00CD46E8" w:rsidRPr="0082128C" w:rsidRDefault="00000000">
      <w:pPr>
        <w:spacing w:after="100" w:line="276" w:lineRule="auto"/>
        <w:ind w:left="425" w:hanging="425"/>
        <w:jc w:val="left"/>
        <w:rPr>
          <w:rFonts w:eastAsia="標楷體"/>
        </w:rPr>
      </w:pPr>
      <w:r w:rsidRPr="0082128C">
        <w:rPr>
          <w:rFonts w:eastAsia="標楷體" w:ascii="Times New Roman" w:hAnsi="Times New Roman" w:cs="Times New Roman"/>
          <w:b w:val="0"/>
          <w:color w:val="000000"/>
          <w:sz w:val="20"/>
        </w:rPr>
        <w:t>[2] A Multi-Modal Under-Sensorized Wearable System for Optimal Kinematic and Muscular Tracking of Human Upper Limb Motion (2023). Sensors, 23. PMCID: PMC10098930.</w:t>
      </w:r>
    </w:p>
    <w:p w14:paraId="605F4C2A" w14:textId="77777777" w:rsidR="00CD46E8" w:rsidRPr="0082128C" w:rsidRDefault="00000000">
      <w:pPr>
        <w:spacing w:after="100" w:line="276" w:lineRule="auto"/>
        <w:ind w:left="425" w:hanging="425"/>
        <w:jc w:val="left"/>
        <w:rPr>
          <w:rFonts w:eastAsia="標楷體"/>
        </w:rPr>
      </w:pPr>
      <w:r w:rsidRPr="0082128C">
        <w:rPr>
          <w:rFonts w:eastAsia="標楷體" w:ascii="Times New Roman" w:hAnsi="Times New Roman" w:cs="Times New Roman"/>
          <w:b w:val="0"/>
          <w:color w:val="000000"/>
          <w:sz w:val="20"/>
        </w:rPr>
        <w:t>[3] Campbell, E., et al. (2024). Robust myoelectric pattern recognition methods for reducing users' calibration burden: challenges and future. Frontiers in Bioengineering and Biotechnology. PMCID: PMC10839078.</w:t>
      </w:r>
    </w:p>
    <w:p w14:paraId="42F9D04F" w14:textId="77777777" w:rsidR="00CD46E8" w:rsidRPr="0082128C" w:rsidRDefault="00000000">
      <w:pPr>
        <w:spacing w:after="100" w:line="276" w:lineRule="auto"/>
        <w:ind w:left="425" w:hanging="425"/>
        <w:jc w:val="left"/>
        <w:rPr>
          <w:rFonts w:eastAsia="標楷體"/>
        </w:rPr>
      </w:pPr>
      <w:r w:rsidRPr="0082128C">
        <w:rPr>
          <w:rFonts w:eastAsia="標楷體" w:ascii="Times New Roman" w:hAnsi="Times New Roman" w:cs="Times New Roman"/>
          <w:b w:val="0"/>
          <w:color w:val="000000"/>
          <w:sz w:val="20"/>
        </w:rPr>
        <w:t>[4] Kim, K. S., et al. (2021). sEMG-Based Hand Posture Recognition Considering Electrode Shift, Feature Vectors, and Posture Groups. Sensors, 21(23), 7681. PMID: 34833756.</w:t>
      </w:r>
    </w:p>
    <w:p w14:paraId="04B93381" w14:textId="77777777" w:rsidR="00CD46E8" w:rsidRPr="0082128C" w:rsidRDefault="00000000">
      <w:pPr>
        <w:spacing w:after="100" w:line="276" w:lineRule="auto"/>
        <w:ind w:left="425" w:hanging="425"/>
        <w:jc w:val="left"/>
        <w:rPr>
          <w:rFonts w:eastAsia="標楷體"/>
        </w:rPr>
      </w:pPr>
      <w:r w:rsidRPr="0082128C">
        <w:rPr>
          <w:rFonts w:eastAsia="標楷體" w:ascii="Times New Roman" w:hAnsi="Times New Roman" w:cs="Times New Roman"/>
          <w:b w:val="0"/>
          <w:color w:val="000000"/>
          <w:sz w:val="20"/>
        </w:rPr>
        <w:t>[5] Cheng, W., et al. (2018). Learning Datum-Wise Sampling Frequency for Energy-Efficient Human Activity Recognition. Proceedings of AAAI, 32(1). https://doi.org/10.1609/aaai.v32i1.11862</w:t>
      </w:r>
    </w:p>
    <w:p w14:paraId="4FF9964F" w14:textId="77777777" w:rsidR="00CD46E8" w:rsidRPr="0082128C" w:rsidRDefault="00000000">
      <w:pPr>
        <w:spacing w:after="100" w:line="276" w:lineRule="auto"/>
        <w:ind w:left="425" w:hanging="425"/>
        <w:jc w:val="left"/>
        <w:rPr>
          <w:rFonts w:eastAsia="標楷體"/>
        </w:rPr>
      </w:pPr>
      <w:r w:rsidRPr="0082128C">
        <w:rPr>
          <w:rFonts w:eastAsia="標楷體" w:ascii="Times New Roman" w:hAnsi="Times New Roman" w:cs="Times New Roman"/>
          <w:b w:val="0"/>
          <w:color w:val="000000"/>
          <w:sz w:val="20"/>
        </w:rPr>
        <w:t>[6] A neural algorithm for the non-uniform and adaptive sampling of biomedical data (2016). Computers in Biology and Medicine, 71, 223–230. https://doi.org/10.1016/j.compbiomed.2016.02.004</w:t>
      </w:r>
    </w:p>
    <w:p w14:paraId="35082240" w14:textId="77777777" w:rsidR="00CD46E8" w:rsidRPr="0082128C" w:rsidRDefault="00000000">
      <w:pPr>
        <w:spacing w:after="100" w:line="276" w:lineRule="auto"/>
        <w:ind w:left="425" w:hanging="425"/>
        <w:jc w:val="left"/>
        <w:rPr>
          <w:rFonts w:eastAsia="標楷體"/>
        </w:rPr>
      </w:pPr>
      <w:r w:rsidRPr="0082128C">
        <w:rPr>
          <w:rFonts w:eastAsia="標楷體" w:ascii="Times New Roman" w:hAnsi="Times New Roman" w:cs="Times New Roman"/>
          <w:b w:val="0"/>
          <w:color w:val="000000"/>
          <w:sz w:val="20"/>
        </w:rPr>
        <w:t>[7] sEMG-Based Hand Gesture Recognition Using Binarized Neural Network (2023). Sensors, 23(3), 1526. PMCID: PMC9920778.</w:t>
      </w:r>
    </w:p>
    <w:p w14:paraId="1416CB04" w14:textId="77777777" w:rsidR="00CD46E8" w:rsidRPr="0082128C" w:rsidRDefault="00000000">
      <w:pPr>
        <w:spacing w:after="100" w:line="276" w:lineRule="auto"/>
        <w:ind w:left="425" w:hanging="425"/>
        <w:jc w:val="left"/>
        <w:rPr>
          <w:rFonts w:eastAsia="標楷體"/>
        </w:rPr>
      </w:pPr>
      <w:r w:rsidRPr="0082128C">
        <w:rPr>
          <w:rFonts w:eastAsia="標楷體" w:ascii="Times New Roman" w:hAnsi="Times New Roman" w:cs="Times New Roman"/>
          <w:b w:val="0"/>
          <w:color w:val="000000"/>
          <w:sz w:val="20"/>
        </w:rPr>
        <w:t>[8] FPGA-based Lightweight QDS-CNN System for sEMG Gesture and Force Level Recognition (2024). IEEE Transactions on Biomedical Circuits and Systems. IEEE document 10430450.</w:t>
      </w:r>
    </w:p>
    <w:p>
      <w:pPr>
        <w:spacing w:line="276" w:lineRule="auto" w:after="100"/>
        <w:ind w:left="425" w:hanging="425"/>
        <w:jc w:val="left"/>
      </w:pPr>
      <w:r>
        <w:rPr>
          <w:rFonts w:ascii="Times New Roman" w:hAnsi="Times New Roman" w:eastAsia="標楷體" w:cs="Times New Roman"/>
          <w:b w:val="0"/>
          <w:color w:val="000000"/>
          <w:sz w:val="20"/>
        </w:rPr>
        <w:t>[9] 國立成功大學生物醫學工程學系（2026）。碩士班醫學電子組研究方向：醫學電子與資訊、醫療量測與系統、生醫感測。</w:t>
      </w:r>
    </w:p>
    <w:sectPr w:rsidR="00CD46E8" w:rsidRPr="0082128C" w:rsidSect="00034616">
      <w:footerReference w:type="default" r:id="rId8"/>
      <w:headerReference w:type="default" r:id="rId11"/>
      <w:pgSz w:w="11906" w:h="16838"/>
      <w:pgMar w:top="1361" w:right="1531" w:bottom="1247"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24983" w14:textId="77777777" w:rsidR="00B12F51" w:rsidRDefault="00B12F51">
      <w:pPr>
        <w:spacing w:after="0" w:line="240" w:lineRule="auto"/>
      </w:pPr>
      <w:r>
        <w:separator/>
      </w:r>
    </w:p>
  </w:endnote>
  <w:endnote w:type="continuationSeparator" w:id="0">
    <w:p w14:paraId="2DB714AD" w14:textId="77777777" w:rsidR="00B12F51" w:rsidRDefault="00B12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98037" w14:textId="77777777" w:rsidR="00CD46E8" w:rsidRDefault="00000000">
    <w:pPr>
      <w:pStyle w:val="a7"/>
      <w:spacing w:before="80"/>
      <w:jc w:val="center"/>
    </w:pPr>
    <w:r>
      <w:rPr>
        <w:rFonts w:ascii="Times New Roman" w:hAnsi="Times New Roman" w:eastAsia="標楷體" w:cs="Times New Roman"/>
        <w:color w:val="000000"/>
        <w:sz w:val="18"/>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44C0" w14:textId="77777777" w:rsidR="00B12F51" w:rsidRDefault="00B12F51">
      <w:pPr>
        <w:spacing w:after="0" w:line="240" w:lineRule="auto"/>
      </w:pPr>
      <w:r>
        <w:separator/>
      </w:r>
    </w:p>
  </w:footnote>
  <w:footnote w:type="continuationSeparator" w:id="0">
    <w:p w14:paraId="0A16B9C6" w14:textId="77777777" w:rsidR="00B12F51" w:rsidRDefault="00B12F51">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477449">
    <w:abstractNumId w:val="8"/>
  </w:num>
  <w:num w:numId="2" w16cid:durableId="792095413">
    <w:abstractNumId w:val="6"/>
  </w:num>
  <w:num w:numId="3" w16cid:durableId="1156528467">
    <w:abstractNumId w:val="5"/>
  </w:num>
  <w:num w:numId="4" w16cid:durableId="1528250194">
    <w:abstractNumId w:val="4"/>
  </w:num>
  <w:num w:numId="5" w16cid:durableId="408889407">
    <w:abstractNumId w:val="7"/>
  </w:num>
  <w:num w:numId="6" w16cid:durableId="164907528">
    <w:abstractNumId w:val="3"/>
  </w:num>
  <w:num w:numId="7" w16cid:durableId="930772807">
    <w:abstractNumId w:val="2"/>
  </w:num>
  <w:num w:numId="8" w16cid:durableId="1526362285">
    <w:abstractNumId w:val="1"/>
  </w:num>
  <w:num w:numId="9" w16cid:durableId="118817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862"/>
    <w:rsid w:val="0029639D"/>
    <w:rsid w:val="00326F90"/>
    <w:rsid w:val="0082128C"/>
    <w:rsid w:val="00AA1D8D"/>
    <w:rsid w:val="00B12F51"/>
    <w:rsid w:val="00B47730"/>
    <w:rsid w:val="00CB0664"/>
    <w:rsid w:val="00CD4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A0F43"/>
  <w14:defaultImageDpi w14:val="300"/>
  <w15:docId w15:val="{FE19336C-FA08-4FCC-9149-5385F172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spacing w:after="80" w:line="360" w:lineRule="auto" w:before="0"/>
      <w:ind w:firstLine="480"/>
      <w:jc w:val="both"/>
    </w:pPr>
    <w:rPr>
      <w:rFonts w:ascii="Times New Roman" w:eastAsia="標楷體" w:hAnsi="Times New Roman" w:cs="Times New Roman"/>
      <w:b w:val="0"/>
      <w:color w:val="000000"/>
      <w:sz w:val="24"/>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標楷體" w:cs="Times New Roman"/>
      <w:b/>
      <w:bCs/>
      <w:color w:val="000000"/>
      <w:sz w:val="28"/>
      <w:szCs w:val="28"/>
    </w:rPr>
  </w:style>
  <w:style w:type="paragraph" w:styleId="21">
    <w:name w:val="heading 2"/>
    <w:basedOn w:val="a1"/>
    <w:next w:val="a1"/>
    <w:link w:val="22"/>
    <w:uiPriority w:val="9"/>
    <w:unhideWhenUsed/>
    <w:qFormat/>
    <w:rsid w:val="00FC693F"/>
    <w:pPr>
      <w:keepNext/>
      <w:keepLines/>
      <w:spacing w:before="180" w:after="80"/>
      <w:ind w:firstLine="0"/>
      <w:outlineLvl w:val="1"/>
    </w:pPr>
    <w:rPr>
      <w:rFonts w:asciiTheme="majorHAnsi" w:eastAsiaTheme="majorEastAsia" w:hAnsiTheme="majorHAnsi" w:cstheme="majorBidi" w:ascii="Times New Roman" w:hAnsi="Times New Roman" w:eastAsia="標楷體" w:cs="Times New Roman"/>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標楷體"/>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標楷體"/>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標楷體"/>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標楷體"/>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標楷體"/>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標楷體"/>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標楷體"/>
      <w:i/>
      <w:iCs/>
      <w:color w:val="404040" w:themeColor="text1" w:themeTint="BF"/>
      <w:sz w:val="20"/>
      <w:szCs w:val="20"/>
    </w:rPr>
  </w:style>
  <w:style w:type="character" w:default="1" w:styleId="a2">
    <w:name w:val="Default Paragraph Font"/>
    <w:uiPriority w:val="1"/>
    <w:semiHidden/>
    <w:unhideWhenUsed/>
    <w:rPr>
      <w:rFonts w:ascii="Times New Roman" w:hAnsi="Times New Roman" w:eastAsia="標楷體"/>
    </w:rPr>
  </w:style>
  <w:style w:type="table" w:default="1" w:styleId="a3">
    <w:name w:val="Normal Table"/>
    <w:uiPriority w:val="99"/>
    <w:semiHidden/>
    <w:unhideWhenUsed/>
    <w:rPr>
      <w:rFonts w:ascii="Times New Roman" w:hAnsi="Times New Roman" w:eastAsia="標楷體"/>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ascii="Times New Roman" w:hAnsi="Times New Roman" w:eastAsia="標楷體"/>
    </w:rPr>
  </w:style>
  <w:style w:type="character" w:customStyle="1" w:styleId="a6">
    <w:name w:val="頁首 字元"/>
    <w:basedOn w:val="a2"/>
    <w:link w:val="a5"/>
    <w:uiPriority w:val="99"/>
    <w:rsid w:val="00E618BF"/>
    <w:rPr>
      <w:rFonts w:ascii="Times New Roman" w:hAnsi="Times New Roman" w:eastAsia="標楷體"/>
    </w:rPr>
  </w:style>
  <w:style w:type="paragraph" w:styleId="a7">
    <w:name w:val="footer"/>
    <w:basedOn w:val="a1"/>
    <w:link w:val="a8"/>
    <w:uiPriority w:val="99"/>
    <w:unhideWhenUsed/>
    <w:rsid w:val="00E618BF"/>
    <w:pPr>
      <w:tabs>
        <w:tab w:val="center" w:pos="4680"/>
        <w:tab w:val="right" w:pos="9360"/>
      </w:tabs>
      <w:spacing w:after="0" w:line="240" w:lineRule="auto"/>
    </w:pPr>
    <w:rPr>
      <w:rFonts w:ascii="Times New Roman" w:hAnsi="Times New Roman" w:eastAsia="標楷體"/>
    </w:rPr>
  </w:style>
  <w:style w:type="character" w:customStyle="1" w:styleId="a8">
    <w:name w:val="頁尾 字元"/>
    <w:basedOn w:val="a2"/>
    <w:link w:val="a7"/>
    <w:uiPriority w:val="99"/>
    <w:rsid w:val="00E618BF"/>
    <w:rPr>
      <w:rFonts w:ascii="Times New Roman" w:hAnsi="Times New Roman" w:eastAsia="標楷體"/>
    </w:rPr>
  </w:style>
  <w:style w:type="paragraph" w:styleId="a9">
    <w:name w:val="No Spacing"/>
    <w:uiPriority w:val="1"/>
    <w:qFormat/>
    <w:rsid w:val="00FC693F"/>
    <w:pPr>
      <w:spacing w:after="0" w:line="240" w:lineRule="auto"/>
    </w:pPr>
    <w:rPr>
      <w:rFonts w:ascii="Times New Roman" w:hAnsi="Times New Roman" w:eastAsia="標楷體"/>
    </w:rPr>
  </w:style>
  <w:style w:type="character" w:customStyle="1" w:styleId="10">
    <w:name w:val="標題 1 字元"/>
    <w:basedOn w:val="a2"/>
    <w:link w:val="1"/>
    <w:uiPriority w:val="9"/>
    <w:rsid w:val="00FC693F"/>
    <w:rPr>
      <w:rFonts w:asciiTheme="majorHAnsi" w:eastAsiaTheme="majorEastAsia" w:hAnsiTheme="majorHAnsi" w:cstheme="majorBidi" w:ascii="Times New Roman" w:hAnsi="Times New Roman" w:eastAsia="標楷體"/>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ascii="Times New Roman" w:hAnsi="Times New Roman" w:eastAsia="標楷體"/>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ascii="Times New Roman" w:hAnsi="Times New Roman" w:eastAsia="標楷體"/>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60" w:line="240" w:lineRule="auto" w:before="0"/>
      <w:contextualSpacing/>
      <w:jc w:val="center"/>
    </w:pPr>
    <w:rPr>
      <w:rFonts w:asciiTheme="majorHAnsi" w:eastAsiaTheme="majorEastAsia" w:hAnsiTheme="majorHAnsi" w:cstheme="majorBidi" w:ascii="Times New Roman" w:hAnsi="Times New Roman" w:eastAsia="標楷體" w:cs="Times New Roman"/>
      <w:b/>
      <w:color w:val="000000"/>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ascii="Times New Roman" w:hAnsi="Times New Roman" w:eastAsia="標楷體"/>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ascii="Times New Roman" w:hAnsi="Times New Roman" w:eastAsia="標楷體"/>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ascii="Times New Roman" w:hAnsi="Times New Roman" w:eastAsia="標楷體"/>
      <w:i/>
      <w:iCs/>
      <w:color w:val="4F81BD" w:themeColor="accent1"/>
      <w:spacing w:val="15"/>
      <w:sz w:val="24"/>
      <w:szCs w:val="24"/>
    </w:rPr>
  </w:style>
  <w:style w:type="paragraph" w:styleId="ae">
    <w:name w:val="List Paragraph"/>
    <w:basedOn w:val="a1"/>
    <w:uiPriority w:val="34"/>
    <w:qFormat/>
    <w:rsid w:val="00FC693F"/>
    <w:pPr>
      <w:ind w:left="720"/>
      <w:contextualSpacing/>
    </w:pPr>
    <w:rPr>
      <w:rFonts w:ascii="Times New Roman" w:hAnsi="Times New Roman" w:eastAsia="標楷體"/>
    </w:rPr>
  </w:style>
  <w:style w:type="paragraph" w:styleId="af">
    <w:name w:val="Body Text"/>
    <w:basedOn w:val="a1"/>
    <w:link w:val="af0"/>
    <w:uiPriority w:val="99"/>
    <w:unhideWhenUsed/>
    <w:rsid w:val="00AA1D8D"/>
    <w:pPr>
      <w:spacing w:after="120"/>
    </w:pPr>
    <w:rPr>
      <w:rFonts w:ascii="Times New Roman" w:hAnsi="Times New Roman" w:eastAsia="標楷體"/>
    </w:rPr>
  </w:style>
  <w:style w:type="character" w:customStyle="1" w:styleId="af0">
    <w:name w:val="本文 字元"/>
    <w:basedOn w:val="a2"/>
    <w:link w:val="af"/>
    <w:uiPriority w:val="99"/>
    <w:rsid w:val="00AA1D8D"/>
    <w:rPr>
      <w:rFonts w:ascii="Times New Roman" w:hAnsi="Times New Roman" w:eastAsia="標楷體"/>
    </w:rPr>
  </w:style>
  <w:style w:type="paragraph" w:styleId="23">
    <w:name w:val="Body Text 2"/>
    <w:basedOn w:val="a1"/>
    <w:link w:val="24"/>
    <w:uiPriority w:val="99"/>
    <w:unhideWhenUsed/>
    <w:rsid w:val="00AA1D8D"/>
    <w:pPr>
      <w:spacing w:after="120" w:line="480" w:lineRule="auto"/>
    </w:pPr>
    <w:rPr>
      <w:rFonts w:ascii="Times New Roman" w:hAnsi="Times New Roman" w:eastAsia="標楷體"/>
    </w:rPr>
  </w:style>
  <w:style w:type="character" w:customStyle="1" w:styleId="24">
    <w:name w:val="本文 2 字元"/>
    <w:basedOn w:val="a2"/>
    <w:link w:val="23"/>
    <w:uiPriority w:val="99"/>
    <w:rsid w:val="00AA1D8D"/>
    <w:rPr>
      <w:rFonts w:ascii="Times New Roman" w:hAnsi="Times New Roman" w:eastAsia="標楷體"/>
    </w:rPr>
  </w:style>
  <w:style w:type="paragraph" w:styleId="33">
    <w:name w:val="Body Text 3"/>
    <w:basedOn w:val="a1"/>
    <w:link w:val="34"/>
    <w:uiPriority w:val="99"/>
    <w:unhideWhenUsed/>
    <w:rsid w:val="00AA1D8D"/>
    <w:pPr>
      <w:spacing w:after="120"/>
    </w:pPr>
    <w:rPr>
      <w:rFonts w:ascii="Times New Roman" w:hAnsi="Times New Roman" w:eastAsia="標楷體"/>
      <w:sz w:val="16"/>
      <w:szCs w:val="16"/>
    </w:rPr>
  </w:style>
  <w:style w:type="character" w:customStyle="1" w:styleId="34">
    <w:name w:val="本文 3 字元"/>
    <w:basedOn w:val="a2"/>
    <w:link w:val="33"/>
    <w:uiPriority w:val="99"/>
    <w:rsid w:val="00AA1D8D"/>
    <w:rPr>
      <w:rFonts w:ascii="Times New Roman" w:hAnsi="Times New Roman" w:eastAsia="標楷體"/>
      <w:sz w:val="16"/>
      <w:szCs w:val="16"/>
    </w:rPr>
  </w:style>
  <w:style w:type="paragraph" w:styleId="af1">
    <w:name w:val="List"/>
    <w:basedOn w:val="a1"/>
    <w:uiPriority w:val="99"/>
    <w:unhideWhenUsed/>
    <w:rsid w:val="00AA1D8D"/>
    <w:pPr>
      <w:ind w:left="360" w:hanging="360"/>
      <w:contextualSpacing/>
    </w:pPr>
    <w:rPr>
      <w:rFonts w:ascii="Times New Roman" w:hAnsi="Times New Roman" w:eastAsia="標楷體"/>
    </w:rPr>
  </w:style>
  <w:style w:type="paragraph" w:styleId="25">
    <w:name w:val="List 2"/>
    <w:basedOn w:val="a1"/>
    <w:uiPriority w:val="99"/>
    <w:unhideWhenUsed/>
    <w:rsid w:val="00326F90"/>
    <w:pPr>
      <w:ind w:left="720" w:hanging="360"/>
      <w:contextualSpacing/>
    </w:pPr>
    <w:rPr>
      <w:rFonts w:ascii="Times New Roman" w:hAnsi="Times New Roman" w:eastAsia="標楷體"/>
    </w:rPr>
  </w:style>
  <w:style w:type="paragraph" w:styleId="35">
    <w:name w:val="List 3"/>
    <w:basedOn w:val="a1"/>
    <w:uiPriority w:val="99"/>
    <w:unhideWhenUsed/>
    <w:rsid w:val="00326F90"/>
    <w:pPr>
      <w:ind w:left="1080" w:hanging="360"/>
      <w:contextualSpacing/>
    </w:pPr>
    <w:rPr>
      <w:rFonts w:ascii="Times New Roman" w:hAnsi="Times New Roman" w:eastAsia="標楷體"/>
    </w:rPr>
  </w:style>
  <w:style w:type="paragraph" w:styleId="a0">
    <w:name w:val="List Bullet"/>
    <w:basedOn w:val="a1"/>
    <w:uiPriority w:val="99"/>
    <w:unhideWhenUsed/>
    <w:rsid w:val="00326F90"/>
    <w:pPr>
      <w:numPr>
        <w:numId w:val="1"/>
      </w:numPr>
      <w:spacing w:after="40" w:line="360" w:lineRule="auto"/>
      <w:ind w:left="454" w:hanging="227"/>
      <w:contextualSpacing/>
    </w:pPr>
    <w:rPr>
      <w:rFonts w:ascii="Times New Roman" w:hAnsi="Times New Roman" w:eastAsia="標楷體" w:cs="Times New Roman"/>
      <w:b w:val="0"/>
      <w:color w:val="000000"/>
      <w:sz w:val="24"/>
    </w:rPr>
  </w:style>
  <w:style w:type="paragraph" w:styleId="20">
    <w:name w:val="List Bullet 2"/>
    <w:basedOn w:val="a1"/>
    <w:uiPriority w:val="99"/>
    <w:unhideWhenUsed/>
    <w:rsid w:val="00326F90"/>
    <w:pPr>
      <w:numPr>
        <w:numId w:val="2"/>
      </w:numPr>
      <w:contextualSpacing/>
    </w:pPr>
    <w:rPr>
      <w:rFonts w:ascii="Times New Roman" w:hAnsi="Times New Roman" w:eastAsia="標楷體"/>
    </w:rPr>
  </w:style>
  <w:style w:type="paragraph" w:styleId="30">
    <w:name w:val="List Bullet 3"/>
    <w:basedOn w:val="a1"/>
    <w:uiPriority w:val="99"/>
    <w:unhideWhenUsed/>
    <w:rsid w:val="00326F90"/>
    <w:pPr>
      <w:numPr>
        <w:numId w:val="3"/>
      </w:numPr>
      <w:contextualSpacing/>
    </w:pPr>
    <w:rPr>
      <w:rFonts w:ascii="Times New Roman" w:hAnsi="Times New Roman" w:eastAsia="標楷體"/>
    </w:rPr>
  </w:style>
  <w:style w:type="paragraph" w:styleId="a">
    <w:name w:val="List Number"/>
    <w:basedOn w:val="a1"/>
    <w:uiPriority w:val="99"/>
    <w:unhideWhenUsed/>
    <w:rsid w:val="00326F90"/>
    <w:pPr>
      <w:numPr>
        <w:numId w:val="5"/>
      </w:numPr>
      <w:spacing w:after="40" w:line="360" w:lineRule="auto"/>
      <w:ind w:left="454" w:hanging="227"/>
      <w:contextualSpacing/>
    </w:pPr>
    <w:rPr>
      <w:rFonts w:ascii="Times New Roman" w:hAnsi="Times New Roman" w:eastAsia="標楷體" w:cs="Times New Roman"/>
      <w:b w:val="0"/>
      <w:color w:val="000000"/>
      <w:sz w:val="24"/>
    </w:rPr>
  </w:style>
  <w:style w:type="paragraph" w:styleId="2">
    <w:name w:val="List Number 2"/>
    <w:basedOn w:val="a1"/>
    <w:uiPriority w:val="99"/>
    <w:unhideWhenUsed/>
    <w:rsid w:val="0029639D"/>
    <w:pPr>
      <w:numPr>
        <w:numId w:val="6"/>
      </w:numPr>
      <w:contextualSpacing/>
    </w:pPr>
    <w:rPr>
      <w:rFonts w:ascii="Times New Roman" w:hAnsi="Times New Roman" w:eastAsia="標楷體"/>
    </w:rPr>
  </w:style>
  <w:style w:type="paragraph" w:styleId="3">
    <w:name w:val="List Number 3"/>
    <w:basedOn w:val="a1"/>
    <w:uiPriority w:val="99"/>
    <w:unhideWhenUsed/>
    <w:rsid w:val="0029639D"/>
    <w:pPr>
      <w:numPr>
        <w:numId w:val="7"/>
      </w:numPr>
      <w:contextualSpacing/>
    </w:pPr>
    <w:rPr>
      <w:rFonts w:ascii="Times New Roman" w:hAnsi="Times New Roman" w:eastAsia="標楷體"/>
    </w:rPr>
  </w:style>
  <w:style w:type="paragraph" w:styleId="af2">
    <w:name w:val="List Continue"/>
    <w:basedOn w:val="a1"/>
    <w:uiPriority w:val="99"/>
    <w:unhideWhenUsed/>
    <w:rsid w:val="0029639D"/>
    <w:pPr>
      <w:spacing w:after="120"/>
      <w:ind w:left="360"/>
      <w:contextualSpacing/>
    </w:pPr>
    <w:rPr>
      <w:rFonts w:ascii="Times New Roman" w:hAnsi="Times New Roman" w:eastAsia="標楷體"/>
    </w:rPr>
  </w:style>
  <w:style w:type="paragraph" w:styleId="26">
    <w:name w:val="List Continue 2"/>
    <w:basedOn w:val="a1"/>
    <w:uiPriority w:val="99"/>
    <w:unhideWhenUsed/>
    <w:rsid w:val="0029639D"/>
    <w:pPr>
      <w:spacing w:after="120"/>
      <w:ind w:left="720"/>
      <w:contextualSpacing/>
    </w:pPr>
    <w:rPr>
      <w:rFonts w:ascii="Times New Roman" w:hAnsi="Times New Roman" w:eastAsia="標楷體"/>
    </w:rPr>
  </w:style>
  <w:style w:type="paragraph" w:styleId="36">
    <w:name w:val="List Continue 3"/>
    <w:basedOn w:val="a1"/>
    <w:uiPriority w:val="99"/>
    <w:unhideWhenUsed/>
    <w:rsid w:val="0029639D"/>
    <w:pPr>
      <w:spacing w:after="120"/>
      <w:ind w:left="1080"/>
      <w:contextualSpacing/>
    </w:pPr>
    <w:rPr>
      <w:rFonts w:ascii="Times New Roman" w:hAnsi="Times New Roman" w:eastAsia="標楷體"/>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標楷體"/>
      <w:sz w:val="20"/>
      <w:szCs w:val="20"/>
    </w:rPr>
  </w:style>
  <w:style w:type="character" w:customStyle="1" w:styleId="af4">
    <w:name w:val="巨集文字 字元"/>
    <w:basedOn w:val="a2"/>
    <w:link w:val="af3"/>
    <w:uiPriority w:val="99"/>
    <w:rsid w:val="0029639D"/>
    <w:rPr>
      <w:rFonts w:ascii="Times New Roman" w:hAnsi="Times New Roman" w:eastAsia="標楷體"/>
      <w:sz w:val="20"/>
      <w:szCs w:val="20"/>
    </w:rPr>
  </w:style>
  <w:style w:type="paragraph" w:styleId="af5">
    <w:name w:val="Quote"/>
    <w:basedOn w:val="a1"/>
    <w:next w:val="a1"/>
    <w:link w:val="af6"/>
    <w:uiPriority w:val="29"/>
    <w:qFormat/>
    <w:rsid w:val="00FC693F"/>
    <w:rPr>
      <w:rFonts w:ascii="Times New Roman" w:hAnsi="Times New Roman" w:eastAsia="標楷體"/>
      <w:i/>
      <w:iCs/>
      <w:color w:val="000000" w:themeColor="text1"/>
    </w:rPr>
  </w:style>
  <w:style w:type="character" w:customStyle="1" w:styleId="af6">
    <w:name w:val="引文 字元"/>
    <w:basedOn w:val="a2"/>
    <w:link w:val="af5"/>
    <w:uiPriority w:val="29"/>
    <w:rsid w:val="00FC693F"/>
    <w:rPr>
      <w:rFonts w:ascii="Times New Roman" w:hAnsi="Times New Roman" w:eastAsia="標楷體"/>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ascii="Times New Roman" w:hAnsi="Times New Roman" w:eastAsia="標楷體"/>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ascii="Times New Roman" w:hAnsi="Times New Roman" w:eastAsia="標楷體"/>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ascii="Times New Roman" w:hAnsi="Times New Roman" w:eastAsia="標楷體"/>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ascii="Times New Roman" w:hAnsi="Times New Roman" w:eastAsia="標楷體"/>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ascii="Times New Roman" w:hAnsi="Times New Roman" w:eastAsia="標楷體"/>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ascii="Times New Roman" w:hAnsi="Times New Roman" w:eastAsia="標楷體"/>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Times New Roman" w:hAnsi="Times New Roman" w:eastAsia="標楷體"/>
      <w:b/>
      <w:bCs/>
      <w:color w:val="4F81BD" w:themeColor="accent1"/>
      <w:sz w:val="18"/>
      <w:szCs w:val="18"/>
    </w:rPr>
  </w:style>
  <w:style w:type="character" w:styleId="af8">
    <w:name w:val="Strong"/>
    <w:basedOn w:val="a2"/>
    <w:uiPriority w:val="22"/>
    <w:qFormat/>
    <w:rsid w:val="00FC693F"/>
    <w:rPr>
      <w:rFonts w:ascii="Times New Roman" w:hAnsi="Times New Roman" w:eastAsia="標楷體"/>
      <w:b/>
      <w:bCs/>
    </w:rPr>
  </w:style>
  <w:style w:type="character" w:styleId="af9">
    <w:name w:val="Emphasis"/>
    <w:basedOn w:val="a2"/>
    <w:uiPriority w:val="20"/>
    <w:qFormat/>
    <w:rsid w:val="00FC693F"/>
    <w:rPr>
      <w:rFonts w:ascii="Times New Roman" w:hAnsi="Times New Roman" w:eastAsia="標楷體"/>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Times New Roman" w:hAnsi="Times New Roman" w:eastAsia="標楷體"/>
      <w:b/>
      <w:bCs/>
      <w:i/>
      <w:iCs/>
      <w:color w:val="4F81BD" w:themeColor="accent1"/>
    </w:rPr>
  </w:style>
  <w:style w:type="character" w:customStyle="1" w:styleId="afb">
    <w:name w:val="鮮明引文 字元"/>
    <w:basedOn w:val="a2"/>
    <w:link w:val="afa"/>
    <w:uiPriority w:val="30"/>
    <w:rsid w:val="00FC693F"/>
    <w:rPr>
      <w:rFonts w:ascii="Times New Roman" w:hAnsi="Times New Roman" w:eastAsia="標楷體"/>
      <w:b/>
      <w:bCs/>
      <w:i/>
      <w:iCs/>
      <w:color w:val="4F81BD" w:themeColor="accent1"/>
    </w:rPr>
  </w:style>
  <w:style w:type="character" w:styleId="afc">
    <w:name w:val="Subtle Emphasis"/>
    <w:basedOn w:val="a2"/>
    <w:uiPriority w:val="19"/>
    <w:qFormat/>
    <w:rsid w:val="00FC693F"/>
    <w:rPr>
      <w:rFonts w:ascii="Times New Roman" w:hAnsi="Times New Roman" w:eastAsia="標楷體"/>
      <w:i/>
      <w:iCs/>
      <w:color w:val="808080" w:themeColor="text1" w:themeTint="7F"/>
    </w:rPr>
  </w:style>
  <w:style w:type="character" w:styleId="afd">
    <w:name w:val="Intense Emphasis"/>
    <w:basedOn w:val="a2"/>
    <w:uiPriority w:val="21"/>
    <w:qFormat/>
    <w:rsid w:val="00FC693F"/>
    <w:rPr>
      <w:rFonts w:ascii="Times New Roman" w:hAnsi="Times New Roman" w:eastAsia="標楷體"/>
      <w:b/>
      <w:bCs/>
      <w:i/>
      <w:iCs/>
      <w:color w:val="4F81BD" w:themeColor="accent1"/>
    </w:rPr>
  </w:style>
  <w:style w:type="character" w:styleId="afe">
    <w:name w:val="Subtle Reference"/>
    <w:basedOn w:val="a2"/>
    <w:uiPriority w:val="31"/>
    <w:qFormat/>
    <w:rsid w:val="00FC693F"/>
    <w:rPr>
      <w:rFonts w:ascii="Times New Roman" w:hAnsi="Times New Roman" w:eastAsia="標楷體"/>
      <w:smallCaps/>
      <w:color w:val="C0504D" w:themeColor="accent2"/>
      <w:u w:val="single"/>
    </w:rPr>
  </w:style>
  <w:style w:type="character" w:styleId="aff">
    <w:name w:val="Intense Reference"/>
    <w:basedOn w:val="a2"/>
    <w:uiPriority w:val="32"/>
    <w:qFormat/>
    <w:rsid w:val="00FC693F"/>
    <w:rPr>
      <w:rFonts w:ascii="Times New Roman" w:hAnsi="Times New Roman" w:eastAsia="標楷體"/>
      <w:b/>
      <w:bCs/>
      <w:smallCaps/>
      <w:color w:val="C0504D" w:themeColor="accent2"/>
      <w:spacing w:val="5"/>
      <w:u w:val="single"/>
    </w:rPr>
  </w:style>
  <w:style w:type="character" w:styleId="aff0">
    <w:name w:val="Book Title"/>
    <w:basedOn w:val="a2"/>
    <w:uiPriority w:val="33"/>
    <w:qFormat/>
    <w:rsid w:val="00FC693F"/>
    <w:rPr>
      <w:rFonts w:ascii="Times New Roman" w:hAnsi="Times New Roman" w:eastAsia="標楷體"/>
      <w:b/>
      <w:bCs/>
      <w:smallCaps/>
      <w:spacing w:val="5"/>
    </w:rPr>
  </w:style>
  <w:style w:type="paragraph" w:styleId="aff1">
    <w:name w:val="TOC Heading"/>
    <w:basedOn w:val="1"/>
    <w:next w:val="a1"/>
    <w:uiPriority w:val="39"/>
    <w:semiHidden/>
    <w:unhideWhenUsed/>
    <w:qFormat/>
    <w:rsid w:val="00FC693F"/>
    <w:pPr>
      <w:outlineLvl w:val="9"/>
    </w:pPr>
    <w:rPr>
      <w:rFonts w:ascii="Times New Roman" w:hAnsi="Times New Roman" w:eastAsia="標楷體"/>
    </w:rPr>
  </w:style>
  <w:style w:type="table" w:styleId="aff2">
    <w:name w:val="Table Grid"/>
    <w:basedOn w:val="a3"/>
    <w:uiPriority w:val="59"/>
    <w:rsid w:val="00FC693F"/>
    <w:pPr>
      <w:spacing w:after="0" w:line="240" w:lineRule="auto"/>
    </w:pPr>
    <w:rPr>
      <w:rFonts w:ascii="Times New Roman" w:hAnsi="Times New Roman" w:eastAsia="標楷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rFonts w:ascii="Times New Roman" w:hAnsi="Times New Roman" w:eastAsia="標楷體"/>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eastAsia="標楷體"/>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eastAsia="標楷體"/>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eastAsia="標楷體"/>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eastAsia="標楷體"/>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eastAsia="標楷體"/>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eastAsia="標楷體"/>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rPr>
      <w:rFonts w:ascii="Times New Roman" w:hAnsi="Times New Roman" w:eastAsia="標楷體"/>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eastAsia="標楷體"/>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eastAsia="標楷體"/>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eastAsia="標楷體"/>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eastAsia="標楷體"/>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eastAsia="標楷體"/>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eastAsia="標楷體"/>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rPr>
      <w:rFonts w:ascii="Times New Roman" w:hAnsi="Times New Roman" w:eastAsia="標楷體"/>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eastAsia="標楷體"/>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eastAsia="標楷體"/>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eastAsia="標楷體"/>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eastAsia="標楷體"/>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eastAsia="標楷體"/>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eastAsia="標楷體"/>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eastAsia="標楷體"/>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eastAsia="標楷體"/>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eastAsia="標楷體"/>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eastAsia="標楷體"/>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eastAsia="標楷體"/>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eastAsia="標楷體"/>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eastAsia="標楷體"/>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eastAsia="標楷體"/>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eastAsia="標楷體"/>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eastAsia="標楷體"/>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eastAsia="標楷體"/>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eastAsia="標楷體"/>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eastAsia="標楷體"/>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eastAsia="標楷體"/>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eastAsia="標楷體"/>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eastAsia="標楷體"/>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eastAsia="標楷體"/>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eastAsia="標楷體"/>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eastAsia="標楷體"/>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eastAsia="標楷體"/>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eastAsia="標楷體"/>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eastAsia="標楷體"/>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eastAsia="標楷體"/>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eastAsia="標楷體"/>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eastAsia="標楷體"/>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eastAsia="標楷體"/>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eastAsia="標楷體"/>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eastAsia="標楷體"/>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Times New Roman" w:hAnsi="Times New Roman" w:eastAsia="標楷體"/>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eastAsia="標楷體"/>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eastAsia="標楷體"/>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eastAsia="標楷體"/>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eastAsia="標楷體"/>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eastAsia="標楷體"/>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eastAsia="標楷體"/>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eastAsia="標楷體"/>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rFonts w:ascii="Times New Roman" w:hAnsi="Times New Roman" w:eastAsia="標楷體"/>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eastAsia="標楷體"/>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eastAsia="標楷體"/>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eastAsia="標楷體"/>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eastAsia="標楷體"/>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eastAsia="標楷體"/>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eastAsia="標楷體"/>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rFonts w:ascii="Times New Roman" w:hAnsi="Times New Roman" w:eastAsia="標楷體"/>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eastAsia="標楷體"/>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eastAsia="標楷體"/>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eastAsia="標楷體"/>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eastAsia="標楷體"/>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eastAsia="標楷體"/>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eastAsia="標楷體"/>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rFonts w:ascii="Times New Roman" w:hAnsi="Times New Roman" w:eastAsia="標楷體"/>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eastAsia="標楷體"/>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eastAsia="標楷體"/>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eastAsia="標楷體"/>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eastAsia="標楷體"/>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eastAsia="標楷體"/>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eastAsia="標楷體"/>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rFonts w:ascii="Times New Roman" w:hAnsi="Times New Roman" w:eastAsia="標楷體"/>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eastAsia="標楷體"/>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eastAsia="標楷體"/>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eastAsia="標楷體"/>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eastAsia="標楷體"/>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eastAsia="標楷體"/>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eastAsia="標楷體"/>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穿戴式 IMU 與表面肌電多模態動作意圖辨識及低功耗嵌入式架構</dc:title>
  <dc:subject>成大醫工醫學電子組研究計畫</dc:subject>
  <dc:creator>python-docx</dc:creator>
  <cp:keywords>研究計畫, 機器人控制, 生醫訊號, 嵌入式系統</cp:keywords>
  <dc:description>generated by python-docx</dc:description>
  <cp:lastModifiedBy>郭于綸</cp:lastModifiedBy>
  <cp:revision>3</cp:revision>
  <dcterms:created xsi:type="dcterms:W3CDTF">2013-12-23T23:15:00Z</dcterms:created>
  <dcterms:modified xsi:type="dcterms:W3CDTF">2026-09-21T10:41:00Z</dcterms:modified>
  <cp:category/>
</cp:coreProperties>
</file>