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ind w:firstLine="0"/>
        <w:jc w:val="center"/>
      </w:pPr>
      <w:r>
        <w:rPr>
          <w:rFonts w:ascii="Times New Roman" w:hAnsi="Times New Roman" w:eastAsia="Microsoft JhengHei" w:cs="Times New Roman"/>
          <w:b/>
          <w:color w:val="000000"/>
          <w:sz w:val="36"/>
        </w:rPr>
        <w:t>具訊號品質感知之 IMU 與表面肌電多模態動作意圖辨識及低功耗可硬體化架構</w:t>
      </w:r>
    </w:p>
    <w:p>
      <w:pPr>
        <w:spacing w:line="288" w:lineRule="auto" w:after="60"/>
        <w:ind w:firstLine="0"/>
        <w:jc w:val="center"/>
      </w:pPr>
      <w:r>
        <w:rPr>
          <w:rFonts w:ascii="Times New Roman" w:hAnsi="Times New Roman" w:eastAsia="Microsoft JhengHei" w:cs="Times New Roman"/>
          <w:b w:val="0"/>
          <w:color w:val="000000"/>
          <w:sz w:val="22"/>
        </w:rPr>
        <w:t>B 版　生醫訊號處理、穿戴式電子與嵌入式硬體實現</w:t>
      </w:r>
    </w:p>
    <w:p>
      <w:pPr>
        <w:spacing w:line="288" w:lineRule="auto" w:after="60"/>
        <w:ind w:firstLine="0"/>
        <w:jc w:val="center"/>
      </w:pPr>
      <w:r>
        <w:rPr>
          <w:rFonts w:ascii="Times New Roman" w:hAnsi="Times New Roman" w:eastAsia="Microsoft JhengHei" w:cs="Times New Roman"/>
          <w:b w:val="0"/>
          <w:color w:val="000000"/>
          <w:sz w:val="21"/>
        </w:rPr>
        <w:t>申請人：郭于綸　｜　工作稿：文獻探勘與研究架構版</w:t>
      </w:r>
    </w:p>
    <w:p>
      <w:pPr>
        <w:pStyle w:val="Heading1"/>
        <w:ind w:firstLine="0"/>
      </w:pPr>
      <w:r>
        <w:rPr>
          <w:rFonts w:ascii="Times New Roman" w:hAnsi="Times New Roman" w:eastAsia="Microsoft JhengHei" w:cs="Times New Roman"/>
          <w:b/>
          <w:color w:val="000000"/>
          <w:sz w:val="28"/>
        </w:rPr>
        <w:t>摘要</w:t>
      </w:r>
    </w:p>
    <w:p>
      <w:pPr>
        <w:spacing w:line="360" w:lineRule="auto" w:after="80"/>
        <w:ind w:firstLine="480"/>
        <w:jc w:val="both"/>
      </w:pPr>
      <w:r>
        <w:rPr>
          <w:rFonts w:ascii="Times New Roman" w:hAnsi="Times New Roman" w:eastAsia="PMingLiU" w:cs="Times New Roman"/>
          <w:b w:val="0"/>
          <w:color w:val="000000"/>
          <w:sz w:val="24"/>
        </w:rPr>
        <w:t>穿戴式生醫電子若要長時間應用於復健輔具、人機介面或居家照護，除了辨識準確率，還必須兼顧訊號可靠度、即時性與能源消耗。表面肌電（sEMG）可在肢體產生明顯位移前反映肌肉活化，但容易受到電極位移、皮膚接觸、肌肉疲勞與動作偽影影響；慣性量測單元（IMU）可提供較穩定的動作學資訊，卻通常要在動作發生後才能觀察到明顯變化。既有研究已證明 sEMG 與慣性感測融合能改善動作辨識 [1–2]，也分別探討跨次量測變異 [3–4]、自適應取樣 [5–6] 與低功耗硬體辨識 [7–8]，但較少在同一個穿戴式系統中，將即時訊號品質、感測融合與硬體運算負擔共同納入設計。本研究擬建立同步 IMU–sEMG 穿戴式量測平台，從電極接觸、訊號飽和、工頻干擾、基線漂移及 IMU 動作偽影建立可解釋的訊號品質指標，據此動態調整多模態融合權重與系統運作模式。完成演算法驗證後，再進行定點化、記憶體與運算排程分析，部署於低功耗 MCU 或 FPGA，評估辨識 F1-score、動作起始延遲、跨次穩定度、記憶體、運算量與單次推論能耗，建立可向生醫訊號處理 IC 與穿戴式感測系統延伸的硬體架構。</w:t>
      </w:r>
    </w:p>
    <w:p>
      <w:pPr>
        <w:pStyle w:val="Heading1"/>
        <w:ind w:firstLine="0"/>
      </w:pPr>
      <w:r>
        <w:rPr>
          <w:rFonts w:ascii="Times New Roman" w:hAnsi="Times New Roman" w:eastAsia="Microsoft JhengHei" w:cs="Times New Roman"/>
          <w:b/>
          <w:color w:val="000000"/>
          <w:sz w:val="28"/>
        </w:rPr>
        <w:t>一、研究動機與個人基礎</w:t>
      </w:r>
    </w:p>
    <w:p>
      <w:pPr>
        <w:spacing w:line="360" w:lineRule="auto" w:after="80"/>
        <w:ind w:firstLine="480"/>
        <w:jc w:val="both"/>
      </w:pPr>
      <w:r>
        <w:rPr>
          <w:rFonts w:ascii="Times New Roman" w:hAnsi="Times New Roman" w:eastAsia="PMingLiU" w:cs="Times New Roman"/>
          <w:b w:val="0"/>
          <w:color w:val="000000"/>
          <w:sz w:val="24"/>
        </w:rPr>
        <w:t>穿戴式生醫系統真正困難之處，並不是在乾淨資料上取得一次高準確率，而是感測器被日常使用者重複穿戴、移動與長時間操作後，仍能判斷目前資料是否可信。sEMG 的振幅微弱，電極位置或接觸狀況稍有改變，就可能造成特徵分布與辨識結果漂移；若系統仍以固定模型與固定運算模式處理，不僅容易產生錯誤判斷，也會持續消耗穿戴裝置有限的電力。相反地，若裝置能先辨識訊號品質，再決定應信任哪一種感測資訊、需要多少運算精度以及何時進入完整辨識模式，便可能同時提高可靠度與能源效率。這正是從生醫訊號演算法走向實際穿戴電子時必須補上的環節。</w:t>
      </w:r>
    </w:p>
    <w:p>
      <w:pPr>
        <w:spacing w:line="360" w:lineRule="auto" w:after="80"/>
        <w:ind w:firstLine="480"/>
        <w:jc w:val="both"/>
      </w:pPr>
      <w:r>
        <w:rPr>
          <w:rFonts w:ascii="Times New Roman" w:hAnsi="Times New Roman" w:eastAsia="PMingLiU" w:cs="Times New Roman"/>
          <w:b w:val="0"/>
          <w:color w:val="000000"/>
          <w:sz w:val="24"/>
        </w:rPr>
        <w:t>我目前就讀生物醫學工程學系四年級，曾在雙 IMU 上肢輔助系統專題中參與感測、Raspberry Pi 軟體、ESP32 韌體、馬達控制、通訊與安全狀態機整合。實作經驗使我理解，訊號處理方法若忽略取樣同步、封包遺失、運算延遲與硬體限制，即使離線分析表現良好，也不一定能成為可靠的即時系統。長期而言，我希望朝韌體工程師與嵌入式系統開發方向發展，尤其關注感測器介面、即時資料流、通訊協定、定點運算、資源管理及故障處理。因此，本研究不只追求辨識準確率，也將演算法能否在資源受限硬體上穩定執行視為核心問題；並希望延續既有的 IMU 與嵌入式基礎，補強 sEMG、生醫類比前端及低功耗軟硬體協同設計，建立從微弱生理訊號擷取、品質判斷、意圖辨識到嵌入式實現的完整能力。</w:t>
      </w:r>
    </w:p>
    <w:p>
      <w:pPr>
        <w:pStyle w:val="Heading1"/>
        <w:ind w:firstLine="0"/>
      </w:pPr>
      <w:r>
        <w:rPr>
          <w:rFonts w:ascii="Times New Roman" w:hAnsi="Times New Roman" w:eastAsia="Microsoft JhengHei" w:cs="Times New Roman"/>
          <w:b/>
          <w:color w:val="000000"/>
          <w:sz w:val="28"/>
        </w:rPr>
        <w:t>二、文獻現況與研究缺口</w:t>
      </w:r>
    </w:p>
    <w:p>
      <w:pPr>
        <w:pStyle w:val="Heading2"/>
        <w:ind w:firstLine="0"/>
      </w:pPr>
      <w:r>
        <w:rPr>
          <w:rFonts w:ascii="Times New Roman" w:hAnsi="Times New Roman" w:eastAsia="Microsoft JhengHei" w:cs="Times New Roman"/>
          <w:b/>
          <w:color w:val="000000"/>
          <w:sz w:val="24"/>
        </w:rPr>
        <w:t>2.1 IMU 與 sEMG 具有互補性</w:t>
      </w:r>
    </w:p>
    <w:p>
      <w:pPr>
        <w:spacing w:line="360" w:lineRule="auto" w:after="80"/>
        <w:ind w:firstLine="480"/>
        <w:jc w:val="both"/>
      </w:pPr>
      <w:r>
        <w:rPr>
          <w:rFonts w:ascii="Times New Roman" w:hAnsi="Times New Roman" w:eastAsia="PMingLiU" w:cs="Times New Roman"/>
          <w:b w:val="0"/>
          <w:color w:val="000000"/>
          <w:sz w:val="24"/>
        </w:rPr>
        <w:t>研究顯示，肌電與慣性感測的共同使用可改善義肢或上肢動作辨識，因為 sEMG 描述肌肉活化，慣性感測則描述實際肢體姿態與運動 [1]。多模態穿戴式系統也已證明，有限數量的 IMU 與 sEMG 可共同追蹤上肢運動學與肌肉活動 [2]。因此，本研究採用兩種感測器並非任意疊加，而是利用兩者在動作發生前後、電生理與運動學上的互補資訊。</w:t>
      </w:r>
    </w:p>
    <w:p>
      <w:pPr>
        <w:pStyle w:val="Heading2"/>
        <w:ind w:firstLine="0"/>
      </w:pPr>
      <w:r>
        <w:rPr>
          <w:rFonts w:ascii="Times New Roman" w:hAnsi="Times New Roman" w:eastAsia="Microsoft JhengHei" w:cs="Times New Roman"/>
          <w:b/>
          <w:color w:val="000000"/>
          <w:sz w:val="24"/>
        </w:rPr>
        <w:t>2.2 日常穿戴造成的分布漂移仍是主要問題</w:t>
      </w:r>
    </w:p>
    <w:p>
      <w:pPr>
        <w:spacing w:line="360" w:lineRule="auto" w:after="80"/>
        <w:ind w:firstLine="480"/>
        <w:jc w:val="both"/>
      </w:pPr>
      <w:r>
        <w:rPr>
          <w:rFonts w:ascii="Times New Roman" w:hAnsi="Times New Roman" w:eastAsia="PMingLiU" w:cs="Times New Roman"/>
          <w:b w:val="0"/>
          <w:color w:val="000000"/>
          <w:sz w:val="24"/>
        </w:rPr>
        <w:t>sEMG 動作辨識在跨日、重複穿戴、電極位移、疲勞與個體差異下容易衰退；相關回顧指出，這些因素會增加使用者反覆校正的負擔 [3]。實驗研究亦顯示，電極位移會改變特徵與分類表現 [4]。相較於只增加模型複雜度，本研究希望先估測資料品質與異常來源，讓系統能降低不可信通道的權重、要求重新校正，或退回較保守的輸出。</w:t>
      </w:r>
    </w:p>
    <w:p>
      <w:pPr>
        <w:pStyle w:val="Heading2"/>
        <w:ind w:firstLine="0"/>
      </w:pPr>
      <w:r>
        <w:rPr>
          <w:rFonts w:ascii="Times New Roman" w:hAnsi="Times New Roman" w:eastAsia="Microsoft JhengHei" w:cs="Times New Roman"/>
          <w:b/>
          <w:color w:val="000000"/>
          <w:sz w:val="24"/>
        </w:rPr>
        <w:t>2.3 低功耗研究多集中於取樣或推論的單一環節</w:t>
      </w:r>
    </w:p>
    <w:p>
      <w:pPr>
        <w:spacing w:line="360" w:lineRule="auto" w:after="80"/>
        <w:ind w:firstLine="480"/>
        <w:jc w:val="both"/>
      </w:pPr>
      <w:r>
        <w:rPr>
          <w:rFonts w:ascii="Times New Roman" w:hAnsi="Times New Roman" w:eastAsia="PMingLiU" w:cs="Times New Roman"/>
          <w:b w:val="0"/>
          <w:color w:val="000000"/>
          <w:sz w:val="24"/>
        </w:rPr>
        <w:t>自適應取樣研究已證明，可依資料內容調整取樣頻率，在辨識效能與能源間取得平衡 [5]；非均勻生醫訊號取樣亦可減少 EMG、ECG、EEG 與加速度資料的取樣及傳輸負擔 [6]。另一方面，sEMG 的二值化神經網路已可在 FPGA 上完成低延遲推論 [7]，輕量化 sEMG 加速器也顯示定點化與專用資料路徑的可行性 [8]。然而，訊號品質判斷、感測融合和硬體工作量通常分開最佳化，尚缺乏由同一個品質指標共同驅動融合策略與運算模式的系統性比較。</w:t>
      </w:r>
    </w:p>
    <w:tbl>
      <w:tblPr>
        <w:tblW w:type="auto" w:w="0"/>
        <w:tblLayout w:type="fixed"/>
        <w:tblLook w:firstColumn="1" w:firstRow="1" w:lastColumn="0" w:lastRow="0" w:noHBand="0" w:noVBand="1" w:val="04A0"/>
        <w:jc w:val="center"/>
        <w:tblBorders>
          <w:top w:val="single" w:sz="5" w:color="B7B7B7"/>
          <w:left w:val="single" w:sz="5" w:color="B7B7B7"/>
          <w:bottom w:val="single" w:sz="5" w:color="B7B7B7"/>
          <w:right w:val="single" w:sz="5" w:color="B7B7B7"/>
          <w:insideH w:val="single" w:sz="5" w:color="B7B7B7"/>
          <w:insideV w:val="single" w:sz="5" w:color="B7B7B7"/>
        </w:tblBorders>
      </w:tblPr>
      <w:tblGrid>
        <w:gridCol w:w="3099"/>
        <w:gridCol w:w="3099"/>
        <w:gridCol w:w="3099"/>
      </w:tblGrid>
      <w:tr>
        <w:trPr>
          <w:cantSplit/>
        </w:trPr>
        <w:tc>
          <w:tcPr>
            <w:tcW w:type="dxa" w:w="1814"/>
            <w:shd w:fill="D9E2F3"/>
            <w:vAlign w:val="center"/>
            <w:tcMar>
              <w:top w:w="90" w:type="dxa"/>
              <w:start w:w="110" w:type="dxa"/>
              <w:bottom w:w="90" w:type="dxa"/>
              <w:end w:w="110" w:type="dxa"/>
            </w:tcMar>
          </w:tcPr>
          <w:p>
            <w:pPr>
              <w:spacing w:line="276" w:lineRule="auto" w:before="20" w:after="20"/>
              <w:ind w:firstLine="0"/>
              <w:jc w:val="center"/>
            </w:pPr>
            <w:r>
              <w:rPr>
                <w:rFonts w:ascii="Times New Roman" w:hAnsi="Times New Roman" w:eastAsia="Microsoft JhengHei" w:cs="Times New Roman"/>
                <w:b/>
                <w:color w:val="000000"/>
                <w:sz w:val="20"/>
              </w:rPr>
              <w:t>研究方向</w:t>
            </w:r>
          </w:p>
        </w:tc>
        <w:tc>
          <w:tcPr>
            <w:tcW w:type="dxa" w:w="3628"/>
            <w:shd w:fill="D9E2F3"/>
            <w:vAlign w:val="center"/>
            <w:tcMar>
              <w:top w:w="90" w:type="dxa"/>
              <w:start w:w="110" w:type="dxa"/>
              <w:bottom w:w="90" w:type="dxa"/>
              <w:end w:w="110" w:type="dxa"/>
            </w:tcMar>
          </w:tcPr>
          <w:p>
            <w:pPr>
              <w:spacing w:line="276" w:lineRule="auto" w:before="20" w:after="20"/>
              <w:ind w:firstLine="0"/>
              <w:jc w:val="center"/>
            </w:pPr>
            <w:r>
              <w:rPr>
                <w:rFonts w:ascii="Times New Roman" w:hAnsi="Times New Roman" w:eastAsia="Microsoft JhengHei" w:cs="Times New Roman"/>
                <w:b/>
                <w:color w:val="000000"/>
                <w:sz w:val="20"/>
              </w:rPr>
              <w:t>既有基礎</w:t>
            </w:r>
          </w:p>
        </w:tc>
        <w:tc>
          <w:tcPr>
            <w:tcW w:type="dxa" w:w="3628"/>
            <w:shd w:fill="D9E2F3"/>
            <w:vAlign w:val="center"/>
            <w:tcMar>
              <w:top w:w="90" w:type="dxa"/>
              <w:start w:w="110" w:type="dxa"/>
              <w:bottom w:w="90" w:type="dxa"/>
              <w:end w:w="110" w:type="dxa"/>
            </w:tcMar>
          </w:tcPr>
          <w:p>
            <w:pPr>
              <w:spacing w:line="276" w:lineRule="auto" w:before="20" w:after="20"/>
              <w:ind w:firstLine="0"/>
              <w:jc w:val="center"/>
            </w:pPr>
            <w:r>
              <w:rPr>
                <w:rFonts w:ascii="Times New Roman" w:hAnsi="Times New Roman" w:eastAsia="Microsoft JhengHei" w:cs="Times New Roman"/>
                <w:b/>
                <w:color w:val="000000"/>
                <w:sz w:val="20"/>
              </w:rPr>
              <w:t>本研究承接問題</w:t>
            </w:r>
          </w:p>
        </w:tc>
      </w:tr>
      <w:tr>
        <w:trPr>
          <w:cantSplit/>
        </w:trPr>
        <w:tc>
          <w:tcPr>
            <w:tcW w:type="dxa" w:w="1814"/>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多模態辨識 [1–2]</w:t>
            </w:r>
          </w:p>
        </w:tc>
        <w:tc>
          <w:tcPr>
            <w:tcW w:type="dxa" w:w="3628"/>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IMU 與 sEMG 融合可提供互補資訊。</w:t>
            </w:r>
          </w:p>
        </w:tc>
        <w:tc>
          <w:tcPr>
            <w:tcW w:type="dxa" w:w="3628"/>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在訊號品質變動時，融合權重是否仍應固定？</w:t>
            </w:r>
          </w:p>
        </w:tc>
      </w:tr>
      <w:tr>
        <w:trPr>
          <w:cantSplit/>
        </w:trPr>
        <w:tc>
          <w:tcPr>
            <w:tcW w:type="dxa" w:w="1814"/>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跨次與電極位移 [3–4]</w:t>
            </w:r>
          </w:p>
        </w:tc>
        <w:tc>
          <w:tcPr>
            <w:tcW w:type="dxa" w:w="3628"/>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已確認重複穿戴會降低 sEMG 模型穩定度。</w:t>
            </w:r>
          </w:p>
        </w:tc>
        <w:tc>
          <w:tcPr>
            <w:tcW w:type="dxa" w:w="3628"/>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能否即時偵測品質下降並採取可解釋的降級策略？</w:t>
            </w:r>
          </w:p>
        </w:tc>
      </w:tr>
      <w:tr>
        <w:trPr>
          <w:cantSplit/>
        </w:trPr>
        <w:tc>
          <w:tcPr>
            <w:tcW w:type="dxa" w:w="1814"/>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自適應取樣 [5–6]</w:t>
            </w:r>
          </w:p>
        </w:tc>
        <w:tc>
          <w:tcPr>
            <w:tcW w:type="dxa" w:w="3628"/>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依訊號活動度調整取樣可降低資料與傳輸負擔。</w:t>
            </w:r>
          </w:p>
        </w:tc>
        <w:tc>
          <w:tcPr>
            <w:tcW w:type="dxa" w:w="3628"/>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如何避免節能策略遺失短暫的肌肉啟動資訊？</w:t>
            </w:r>
          </w:p>
        </w:tc>
      </w:tr>
      <w:tr>
        <w:trPr>
          <w:cantSplit/>
        </w:trPr>
        <w:tc>
          <w:tcPr>
            <w:tcW w:type="dxa" w:w="1814"/>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低功耗硬體 [7–8]</w:t>
            </w:r>
          </w:p>
        </w:tc>
        <w:tc>
          <w:tcPr>
            <w:tcW w:type="dxa" w:w="3628"/>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定點化與 FPGA 加速可降低延遲和運算成本。</w:t>
            </w:r>
          </w:p>
        </w:tc>
        <w:tc>
          <w:tcPr>
            <w:tcW w:type="dxa" w:w="3628"/>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融合與品質估測加入後，準確率、資源及能耗如何共同權衡？</w:t>
            </w:r>
          </w:p>
        </w:tc>
      </w:tr>
    </w:tbl>
    <w:p>
      <w:pPr>
        <w:spacing w:line="360" w:lineRule="auto" w:after="80"/>
        <w:ind w:firstLine="480"/>
        <w:jc w:val="both"/>
      </w:pPr>
    </w:p>
    <w:p>
      <w:pPr>
        <w:spacing w:line="360" w:lineRule="auto" w:after="80"/>
        <w:ind w:firstLine="480"/>
        <w:jc w:val="both"/>
      </w:pPr>
      <w:r>
        <w:rPr>
          <w:rFonts w:ascii="Times New Roman" w:hAnsi="Times New Roman" w:eastAsia="PMingLiU" w:cs="Times New Roman"/>
          <w:b w:val="0"/>
          <w:color w:val="000000"/>
          <w:sz w:val="24"/>
        </w:rPr>
        <w:t>綜合上述文獻，本計畫不宣稱首創 IMU–sEMG 融合、自適應取樣或硬體加速。較可防守的研究缺口是：既有工作多在固定感測品質下追求辨識率，或單獨改善取樣與推論效率；對於訊號品質隨穿戴狀態變動時，如何以可解釋指標同時調整多模態權重、運作模式與硬體負載，仍有整合與量化空間。本研究的貢獻將以對照實驗驗證，而非預先宣稱全面優於既有方法。</w:t>
      </w:r>
    </w:p>
    <w:p>
      <w:pPr>
        <w:pStyle w:val="Heading1"/>
        <w:ind w:firstLine="0"/>
      </w:pPr>
      <w:r>
        <w:rPr>
          <w:rFonts w:ascii="Times New Roman" w:hAnsi="Times New Roman" w:eastAsia="Microsoft JhengHei" w:cs="Times New Roman"/>
          <w:b/>
          <w:color w:val="000000"/>
          <w:sz w:val="28"/>
        </w:rPr>
        <w:t>三、研究目的與研究問題</w:t>
      </w:r>
    </w:p>
    <w:p>
      <w:pPr>
        <w:pStyle w:val="ListBullet"/>
      </w:pPr>
      <w:r>
        <w:rPr>
          <w:rFonts w:ascii="Times New Roman" w:hAnsi="Times New Roman" w:eastAsia="PMingLiU" w:cs="Times New Roman"/>
          <w:b w:val="0"/>
          <w:color w:val="000000"/>
          <w:sz w:val="24"/>
        </w:rPr>
        <w:t>建立同步 IMU–sEMG 穿戴式訊號擷取與標記流程，量化跨次穿戴與動作偽影造成的變異。</w:t>
      </w:r>
    </w:p>
    <w:p>
      <w:pPr>
        <w:pStyle w:val="ListBullet"/>
      </w:pPr>
      <w:r>
        <w:rPr>
          <w:rFonts w:ascii="Times New Roman" w:hAnsi="Times New Roman" w:eastAsia="PMingLiU" w:cs="Times New Roman"/>
          <w:b w:val="0"/>
          <w:color w:val="000000"/>
          <w:sz w:val="24"/>
        </w:rPr>
        <w:t>建立可即時計算的 sEMG 與 IMU 訊號品質指標，分析其與辨識錯誤的關係。</w:t>
      </w:r>
    </w:p>
    <w:p>
      <w:pPr>
        <w:pStyle w:val="ListBullet"/>
      </w:pPr>
      <w:r>
        <w:rPr>
          <w:rFonts w:ascii="Times New Roman" w:hAnsi="Times New Roman" w:eastAsia="PMingLiU" w:cs="Times New Roman"/>
          <w:b w:val="0"/>
          <w:color w:val="000000"/>
          <w:sz w:val="24"/>
        </w:rPr>
        <w:t>比較固定融合與訊號品質感知融合，驗證後者是否能降低異常條件下的誤判。</w:t>
      </w:r>
    </w:p>
    <w:p>
      <w:pPr>
        <w:pStyle w:val="ListBullet"/>
      </w:pPr>
      <w:r>
        <w:rPr>
          <w:rFonts w:ascii="Times New Roman" w:hAnsi="Times New Roman" w:eastAsia="PMingLiU" w:cs="Times New Roman"/>
          <w:b w:val="0"/>
          <w:color w:val="000000"/>
          <w:sz w:val="24"/>
        </w:rPr>
        <w:t>將演算法定點化並部署於 MCU 或 FPGA，量化準確率、延遲、記憶體、運算量與能耗權衡。</w:t>
      </w:r>
    </w:p>
    <w:tbl>
      <w:tblPr>
        <w:tblW w:type="auto" w:w="0"/>
        <w:tblLayout w:type="fixed"/>
        <w:tblLook w:firstColumn="1" w:firstRow="1" w:lastColumn="0" w:lastRow="0" w:noHBand="0" w:noVBand="1" w:val="04A0"/>
        <w:jc w:val="center"/>
        <w:tblBorders>
          <w:top w:val="single" w:sz="5" w:color="B7B7B7"/>
          <w:left w:val="single" w:sz="5" w:color="B7B7B7"/>
          <w:bottom w:val="single" w:sz="5" w:color="B7B7B7"/>
          <w:right w:val="single" w:sz="5" w:color="B7B7B7"/>
          <w:insideH w:val="single" w:sz="5" w:color="B7B7B7"/>
          <w:insideV w:val="single" w:sz="5" w:color="B7B7B7"/>
        </w:tblBorders>
      </w:tblPr>
      <w:tblGrid>
        <w:gridCol w:w="3099"/>
        <w:gridCol w:w="3099"/>
        <w:gridCol w:w="3099"/>
      </w:tblGrid>
      <w:tr>
        <w:trPr>
          <w:cantSplit/>
        </w:trPr>
        <w:tc>
          <w:tcPr>
            <w:tcW w:type="dxa" w:w="2494"/>
            <w:shd w:fill="D9E2F3"/>
            <w:vAlign w:val="center"/>
            <w:tcMar>
              <w:top w:w="90" w:type="dxa"/>
              <w:start w:w="110" w:type="dxa"/>
              <w:bottom w:w="90" w:type="dxa"/>
              <w:end w:w="110" w:type="dxa"/>
            </w:tcMar>
          </w:tcPr>
          <w:p>
            <w:pPr>
              <w:spacing w:line="276" w:lineRule="auto" w:before="20" w:after="20"/>
              <w:ind w:firstLine="0"/>
              <w:jc w:val="center"/>
            </w:pPr>
            <w:r>
              <w:rPr>
                <w:rFonts w:ascii="Times New Roman" w:hAnsi="Times New Roman" w:eastAsia="Microsoft JhengHei" w:cs="Times New Roman"/>
                <w:b/>
                <w:color w:val="000000"/>
                <w:sz w:val="20"/>
              </w:rPr>
              <w:t>研究問題</w:t>
            </w:r>
          </w:p>
        </w:tc>
        <w:tc>
          <w:tcPr>
            <w:tcW w:type="dxa" w:w="4082"/>
            <w:shd w:fill="D9E2F3"/>
            <w:vAlign w:val="center"/>
            <w:tcMar>
              <w:top w:w="90" w:type="dxa"/>
              <w:start w:w="110" w:type="dxa"/>
              <w:bottom w:w="90" w:type="dxa"/>
              <w:end w:w="110" w:type="dxa"/>
            </w:tcMar>
          </w:tcPr>
          <w:p>
            <w:pPr>
              <w:spacing w:line="276" w:lineRule="auto" w:before="20" w:after="20"/>
              <w:ind w:firstLine="0"/>
              <w:jc w:val="center"/>
            </w:pPr>
            <w:r>
              <w:rPr>
                <w:rFonts w:ascii="Times New Roman" w:hAnsi="Times New Roman" w:eastAsia="Microsoft JhengHei" w:cs="Times New Roman"/>
                <w:b/>
                <w:color w:val="000000"/>
                <w:sz w:val="20"/>
              </w:rPr>
              <w:t>可檢驗假設</w:t>
            </w:r>
          </w:p>
        </w:tc>
        <w:tc>
          <w:tcPr>
            <w:tcW w:type="dxa" w:w="2494"/>
            <w:shd w:fill="D9E2F3"/>
            <w:vAlign w:val="center"/>
            <w:tcMar>
              <w:top w:w="90" w:type="dxa"/>
              <w:start w:w="110" w:type="dxa"/>
              <w:bottom w:w="90" w:type="dxa"/>
              <w:end w:w="110" w:type="dxa"/>
            </w:tcMar>
          </w:tcPr>
          <w:p>
            <w:pPr>
              <w:spacing w:line="276" w:lineRule="auto" w:before="20" w:after="20"/>
              <w:ind w:firstLine="0"/>
              <w:jc w:val="center"/>
            </w:pPr>
            <w:r>
              <w:rPr>
                <w:rFonts w:ascii="Times New Roman" w:hAnsi="Times New Roman" w:eastAsia="Microsoft JhengHei" w:cs="Times New Roman"/>
                <w:b/>
                <w:color w:val="000000"/>
                <w:sz w:val="20"/>
              </w:rPr>
              <w:t>主要指標</w:t>
            </w:r>
          </w:p>
        </w:tc>
      </w:tr>
      <w:tr>
        <w:trPr>
          <w:cantSplit/>
        </w:trPr>
        <w:tc>
          <w:tcPr>
            <w:tcW w:type="dxa" w:w="2494"/>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RQ1：多模態是否改善意圖辨識？</w:t>
            </w:r>
          </w:p>
        </w:tc>
        <w:tc>
          <w:tcPr>
            <w:tcW w:type="dxa" w:w="4082"/>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相較單一感測，融合可改善動作起始、方向與狀態辨識。</w:t>
            </w:r>
          </w:p>
        </w:tc>
        <w:tc>
          <w:tcPr>
            <w:tcW w:type="dxa" w:w="2494"/>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F1-score、錯誤率、起始延遲</w:t>
            </w:r>
          </w:p>
        </w:tc>
      </w:tr>
      <w:tr>
        <w:trPr>
          <w:cantSplit/>
        </w:trPr>
        <w:tc>
          <w:tcPr>
            <w:tcW w:type="dxa" w:w="2494"/>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RQ2：品質指標能否預測錯誤？</w:t>
            </w:r>
          </w:p>
        </w:tc>
        <w:tc>
          <w:tcPr>
            <w:tcW w:type="dxa" w:w="4082"/>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飽和、基線漂移、工頻干擾、接觸變化與封包缺失會對應較高誤判率。</w:t>
            </w:r>
          </w:p>
        </w:tc>
        <w:tc>
          <w:tcPr>
            <w:tcW w:type="dxa" w:w="2494"/>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AUROC、偵測率、假警率</w:t>
            </w:r>
          </w:p>
        </w:tc>
      </w:tr>
      <w:tr>
        <w:trPr>
          <w:cantSplit/>
        </w:trPr>
        <w:tc>
          <w:tcPr>
            <w:tcW w:type="dxa" w:w="2494"/>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RQ3：品質感知融合是否更穩健？</w:t>
            </w:r>
          </w:p>
        </w:tc>
        <w:tc>
          <w:tcPr>
            <w:tcW w:type="dxa" w:w="4082"/>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在電極位移與動作偽影下，動態權重較固定融合減少誤觸發。</w:t>
            </w:r>
          </w:p>
        </w:tc>
        <w:tc>
          <w:tcPr>
            <w:tcW w:type="dxa" w:w="2494"/>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跨次 F1、誤觸發、校正需求</w:t>
            </w:r>
          </w:p>
        </w:tc>
      </w:tr>
      <w:tr>
        <w:trPr>
          <w:cantSplit/>
        </w:trPr>
        <w:tc>
          <w:tcPr>
            <w:tcW w:type="dxa" w:w="2494"/>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RQ4：硬體化後能否維持效能？</w:t>
            </w:r>
          </w:p>
        </w:tc>
        <w:tc>
          <w:tcPr>
            <w:tcW w:type="dxa" w:w="4082"/>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適當字長與工作模式切換可降低能耗，且效能下降維持在可接受範圍。</w:t>
            </w:r>
          </w:p>
        </w:tc>
        <w:tc>
          <w:tcPr>
            <w:tcW w:type="dxa" w:w="2494"/>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延遲、RAM、LUT/DSP、能耗</w:t>
            </w:r>
          </w:p>
        </w:tc>
      </w:tr>
    </w:tbl>
    <w:p>
      <w:pPr>
        <w:spacing w:line="360" w:lineRule="auto" w:after="80"/>
        <w:ind w:firstLine="480"/>
        <w:jc w:val="both"/>
      </w:pPr>
    </w:p>
    <w:p>
      <w:pPr>
        <w:pStyle w:val="Heading1"/>
        <w:ind w:firstLine="0"/>
      </w:pPr>
      <w:r>
        <w:rPr>
          <w:rFonts w:ascii="Times New Roman" w:hAnsi="Times New Roman" w:eastAsia="Microsoft JhengHei" w:cs="Times New Roman"/>
          <w:b/>
          <w:color w:val="000000"/>
          <w:sz w:val="28"/>
        </w:rPr>
        <w:t>四、研究方法</w:t>
      </w:r>
    </w:p>
    <w:p>
      <w:pPr>
        <w:pStyle w:val="Heading2"/>
        <w:ind w:firstLine="0"/>
      </w:pPr>
      <w:r>
        <w:rPr>
          <w:rFonts w:ascii="Times New Roman" w:hAnsi="Times New Roman" w:eastAsia="Microsoft JhengHei" w:cs="Times New Roman"/>
          <w:b/>
          <w:color w:val="000000"/>
          <w:sz w:val="24"/>
        </w:rPr>
        <w:t>4.1 穿戴式感測與類比前端</w:t>
      </w:r>
    </w:p>
    <w:p>
      <w:pPr>
        <w:spacing w:line="360" w:lineRule="auto" w:after="80"/>
        <w:ind w:firstLine="480"/>
        <w:jc w:val="both"/>
      </w:pPr>
      <w:r>
        <w:rPr>
          <w:rFonts w:ascii="Times New Roman" w:hAnsi="Times New Roman" w:eastAsia="PMingLiU" w:cs="Times New Roman"/>
          <w:b w:val="0"/>
          <w:color w:val="000000"/>
          <w:sz w:val="24"/>
        </w:rPr>
        <w:t>以一至兩顆 IMU 搭配雙通道或多通道 sEMG 為基本配置。第一階段使用商用生醫訊號前端或開發板，完成電極保護、儀表放大、帶通／陷波、ADC、共同時間戳與封包序號；同時記錄前端增益、飽和、電極脫落與雜訊狀態。類比前端以輸入雜訊、共模拒斥、頻寬、增益、動態範圍及功耗作為規格分析，不在研究計畫階段承諾自行完成晶片流片。若進入具 IC 設計條件的實驗室，再依量測結果設計可程式化增益、低功耗濾波或事件偵測電路。</w:t>
      </w:r>
    </w:p>
    <w:p>
      <w:pPr>
        <w:pStyle w:val="Heading2"/>
        <w:ind w:firstLine="0"/>
      </w:pPr>
      <w:r>
        <w:rPr>
          <w:rFonts w:ascii="Times New Roman" w:hAnsi="Times New Roman" w:eastAsia="Microsoft JhengHei" w:cs="Times New Roman"/>
          <w:b/>
          <w:color w:val="000000"/>
          <w:sz w:val="24"/>
        </w:rPr>
        <w:t>4.2 訊號品質與前處理</w:t>
      </w:r>
    </w:p>
    <w:p>
      <w:pPr>
        <w:spacing w:line="360" w:lineRule="auto" w:after="80"/>
        <w:ind w:firstLine="480"/>
        <w:jc w:val="both"/>
      </w:pPr>
      <w:r>
        <w:rPr>
          <w:rFonts w:ascii="Times New Roman" w:hAnsi="Times New Roman" w:eastAsia="PMingLiU" w:cs="Times New Roman"/>
          <w:b w:val="0"/>
          <w:color w:val="000000"/>
          <w:sz w:val="24"/>
        </w:rPr>
        <w:t>sEMG 先進行去直流、帶通／陷波、整流或時域特徵擷取，候選品質指標包含飽和比例、基線漂移、50／60 Hz 能量比、訊號變異、通道一致性與電極接觸狀態；IMU 則檢查加速度模長、角速度突變、姿態濾波殘差、時間戳與封包完整性。品質分數先採歸一化特徵與明確門檻，並以人工加入或實際產生的異常資料驗證；若資料量充足，再比較輕量統計分類器。</w:t>
      </w:r>
    </w:p>
    <w:p>
      <w:pPr>
        <w:pStyle w:val="Heading2"/>
        <w:ind w:firstLine="0"/>
      </w:pPr>
      <w:r>
        <w:rPr>
          <w:rFonts w:ascii="Times New Roman" w:hAnsi="Times New Roman" w:eastAsia="Microsoft JhengHei" w:cs="Times New Roman"/>
          <w:b/>
          <w:color w:val="000000"/>
          <w:sz w:val="24"/>
        </w:rPr>
        <w:t>4.3 多模態動作意圖辨識</w:t>
      </w:r>
    </w:p>
    <w:p>
      <w:pPr>
        <w:spacing w:line="360" w:lineRule="auto" w:after="80"/>
        <w:ind w:firstLine="480"/>
        <w:jc w:val="both"/>
      </w:pPr>
      <w:r>
        <w:rPr>
          <w:rFonts w:ascii="Times New Roman" w:hAnsi="Times New Roman" w:eastAsia="PMingLiU" w:cs="Times New Roman"/>
          <w:b w:val="0"/>
          <w:color w:val="000000"/>
          <w:sz w:val="24"/>
        </w:rPr>
        <w:t>任務先限定為上肢靜止、屈曲、伸展與數種基本動作，不一次追求大量手勢。基準方法包括閾值法、IMU-only、sEMG-only、固定 early／late fusion，以及 LDA、SVM 或輕量神經網路。主方法依兩種感測器的品質分數調整特徵或決策權重；若任一模態長時間不可信，則輸出低信心、要求重新校正或暫停控制。以滑動視窗進行線上推論，分別計算動作起始偵測延遲與穩態分類效能。</w:t>
      </w:r>
    </w:p>
    <w:p>
      <w:pPr>
        <w:pStyle w:val="Heading2"/>
        <w:ind w:firstLine="0"/>
      </w:pPr>
      <w:r>
        <w:rPr>
          <w:rFonts w:ascii="Times New Roman" w:hAnsi="Times New Roman" w:eastAsia="Microsoft JhengHei" w:cs="Times New Roman"/>
          <w:b/>
          <w:color w:val="000000"/>
          <w:sz w:val="24"/>
        </w:rPr>
        <w:t>4.4 嵌入式韌體與低功耗運作架構</w:t>
      </w:r>
    </w:p>
    <w:p>
      <w:pPr>
        <w:spacing w:line="360" w:lineRule="auto" w:after="80"/>
        <w:ind w:firstLine="480"/>
        <w:jc w:val="both"/>
      </w:pPr>
      <w:r>
        <w:rPr>
          <w:rFonts w:ascii="Times New Roman" w:hAnsi="Times New Roman" w:eastAsia="PMingLiU" w:cs="Times New Roman"/>
          <w:b w:val="0"/>
          <w:color w:val="000000"/>
          <w:sz w:val="24"/>
        </w:rPr>
        <w:t>先在 MCU 建立可量測的即時韌體基準，將感測器驅動、共同時間戳、DMA／中斷取樣、環形緩衝區、前處理、特徵擷取、融合、分類與通訊拆分為明確模組，記錄各階段執行時間、記憶體與資料遺失。低活動狀態僅維持必要的品質監測與低成本特徵；偵測到肌肉或動作活動後，再啟動完整取樣與融合。接著比較 8、12、16 位定點格式，決定乘加器、緩衝記憶體與資料路徑規格；若具 FPGA 平台，優先硬體化重複性高的濾波、視窗、特徵與矩陣運算。</w:t>
      </w:r>
    </w:p>
    <w:p>
      <w:pPr>
        <w:pStyle w:val="Heading2"/>
        <w:ind w:firstLine="0"/>
      </w:pPr>
      <w:r>
        <w:rPr>
          <w:rFonts w:ascii="Times New Roman" w:hAnsi="Times New Roman" w:eastAsia="Microsoft JhengHei" w:cs="Times New Roman"/>
          <w:b/>
          <w:color w:val="000000"/>
          <w:sz w:val="24"/>
        </w:rPr>
        <w:t>4.5 韌體可靠性與軟硬體協同驗證</w:t>
      </w:r>
    </w:p>
    <w:p>
      <w:pPr>
        <w:spacing w:line="360" w:lineRule="auto" w:after="80"/>
        <w:ind w:firstLine="480"/>
        <w:jc w:val="both"/>
      </w:pPr>
      <w:r>
        <w:rPr>
          <w:rFonts w:ascii="Times New Roman" w:hAnsi="Times New Roman" w:eastAsia="PMingLiU" w:cs="Times New Roman"/>
          <w:b w:val="0"/>
          <w:color w:val="000000"/>
          <w:sz w:val="24"/>
        </w:rPr>
        <w:t>以 PC 浮點結果作功能參考，逐步比較 MCU 浮點、MCU 定點與 FPGA 加速版本。除辨識效能外，韌體層將測試感測器逾時、封包遺失、緩衝區溢位、資料過期與模組重啟，並透過 watchdog、錯誤碼、狀態機及資料有效性旗標建立可追蹤的故障處理流程。量測端到端延遲、最壞執行時間、排程抖動、記憶體、平均功率與單次推論能耗，確認低功耗模式與錯誤恢復不會遺失重要的肌肉啟動資訊。最後形成取樣率、ADC 解析度、運算字長、緩衝容量、吞吐率與韌體介面等規格，作為後續穿戴式產品或生醫訊號處理硬體的設計依據。</w:t>
      </w:r>
    </w:p>
    <w:p>
      <w:pPr>
        <w:pStyle w:val="Heading1"/>
        <w:ind w:firstLine="0"/>
      </w:pPr>
      <w:r>
        <w:rPr>
          <w:rFonts w:ascii="Times New Roman" w:hAnsi="Times New Roman" w:eastAsia="Microsoft JhengHei" w:cs="Times New Roman"/>
          <w:b/>
          <w:color w:val="000000"/>
          <w:sz w:val="28"/>
        </w:rPr>
        <w:t>五、實驗設計與評估</w:t>
      </w:r>
    </w:p>
    <w:tbl>
      <w:tblPr>
        <w:tblW w:type="auto" w:w="0"/>
        <w:tblLayout w:type="fixed"/>
        <w:tblLook w:firstColumn="1" w:firstRow="1" w:lastColumn="0" w:lastRow="0" w:noHBand="0" w:noVBand="1" w:val="04A0"/>
        <w:jc w:val="center"/>
        <w:tblBorders>
          <w:top w:val="single" w:sz="5" w:color="B7B7B7"/>
          <w:left w:val="single" w:sz="5" w:color="B7B7B7"/>
          <w:bottom w:val="single" w:sz="5" w:color="B7B7B7"/>
          <w:right w:val="single" w:sz="5" w:color="B7B7B7"/>
          <w:insideH w:val="single" w:sz="5" w:color="B7B7B7"/>
          <w:insideV w:val="single" w:sz="5" w:color="B7B7B7"/>
        </w:tblBorders>
      </w:tblPr>
      <w:tblGrid>
        <w:gridCol w:w="2324"/>
        <w:gridCol w:w="2324"/>
        <w:gridCol w:w="2324"/>
        <w:gridCol w:w="2324"/>
      </w:tblGrid>
      <w:tr>
        <w:trPr>
          <w:cantSplit/>
        </w:trPr>
        <w:tc>
          <w:tcPr>
            <w:tcW w:type="dxa" w:w="1361"/>
            <w:shd w:fill="D9E2F3"/>
            <w:vAlign w:val="center"/>
            <w:tcMar>
              <w:top w:w="90" w:type="dxa"/>
              <w:start w:w="110" w:type="dxa"/>
              <w:bottom w:w="90" w:type="dxa"/>
              <w:end w:w="110" w:type="dxa"/>
            </w:tcMar>
          </w:tcPr>
          <w:p>
            <w:pPr>
              <w:spacing w:line="276" w:lineRule="auto" w:before="20" w:after="20"/>
              <w:ind w:firstLine="0"/>
              <w:jc w:val="center"/>
            </w:pPr>
            <w:r>
              <w:rPr>
                <w:rFonts w:ascii="Times New Roman" w:hAnsi="Times New Roman" w:eastAsia="Microsoft JhengHei" w:cs="Times New Roman"/>
                <w:b/>
                <w:color w:val="000000"/>
                <w:sz w:val="20"/>
              </w:rPr>
              <w:t>階段</w:t>
            </w:r>
          </w:p>
        </w:tc>
        <w:tc>
          <w:tcPr>
            <w:tcW w:type="dxa" w:w="2835"/>
            <w:shd w:fill="D9E2F3"/>
            <w:vAlign w:val="center"/>
            <w:tcMar>
              <w:top w:w="90" w:type="dxa"/>
              <w:start w:w="110" w:type="dxa"/>
              <w:bottom w:w="90" w:type="dxa"/>
              <w:end w:w="110" w:type="dxa"/>
            </w:tcMar>
          </w:tcPr>
          <w:p>
            <w:pPr>
              <w:spacing w:line="276" w:lineRule="auto" w:before="20" w:after="20"/>
              <w:ind w:firstLine="0"/>
              <w:jc w:val="center"/>
            </w:pPr>
            <w:r>
              <w:rPr>
                <w:rFonts w:ascii="Times New Roman" w:hAnsi="Times New Roman" w:eastAsia="Microsoft JhengHei" w:cs="Times New Roman"/>
                <w:b/>
                <w:color w:val="000000"/>
                <w:sz w:val="20"/>
              </w:rPr>
              <w:t>測試內容</w:t>
            </w:r>
          </w:p>
        </w:tc>
        <w:tc>
          <w:tcPr>
            <w:tcW w:type="dxa" w:w="2835"/>
            <w:shd w:fill="D9E2F3"/>
            <w:vAlign w:val="center"/>
            <w:tcMar>
              <w:top w:w="90" w:type="dxa"/>
              <w:start w:w="110" w:type="dxa"/>
              <w:bottom w:w="90" w:type="dxa"/>
              <w:end w:w="110" w:type="dxa"/>
            </w:tcMar>
          </w:tcPr>
          <w:p>
            <w:pPr>
              <w:spacing w:line="276" w:lineRule="auto" w:before="20" w:after="20"/>
              <w:ind w:firstLine="0"/>
              <w:jc w:val="center"/>
            </w:pPr>
            <w:r>
              <w:rPr>
                <w:rFonts w:ascii="Times New Roman" w:hAnsi="Times New Roman" w:eastAsia="Microsoft JhengHei" w:cs="Times New Roman"/>
                <w:b/>
                <w:color w:val="000000"/>
                <w:sz w:val="20"/>
              </w:rPr>
              <w:t>比較方法</w:t>
            </w:r>
          </w:p>
        </w:tc>
        <w:tc>
          <w:tcPr>
            <w:tcW w:type="dxa" w:w="2041"/>
            <w:shd w:fill="D9E2F3"/>
            <w:vAlign w:val="center"/>
            <w:tcMar>
              <w:top w:w="90" w:type="dxa"/>
              <w:start w:w="110" w:type="dxa"/>
              <w:bottom w:w="90" w:type="dxa"/>
              <w:end w:w="110" w:type="dxa"/>
            </w:tcMar>
          </w:tcPr>
          <w:p>
            <w:pPr>
              <w:spacing w:line="276" w:lineRule="auto" w:before="20" w:after="20"/>
              <w:ind w:firstLine="0"/>
              <w:jc w:val="center"/>
            </w:pPr>
            <w:r>
              <w:rPr>
                <w:rFonts w:ascii="Times New Roman" w:hAnsi="Times New Roman" w:eastAsia="Microsoft JhengHei" w:cs="Times New Roman"/>
                <w:b/>
                <w:color w:val="000000"/>
                <w:sz w:val="20"/>
              </w:rPr>
              <w:t>評估指標</w:t>
            </w:r>
          </w:p>
        </w:tc>
      </w:tr>
      <w:tr>
        <w:trPr>
          <w:cantSplit/>
        </w:trPr>
        <w:tc>
          <w:tcPr>
            <w:tcW w:type="dxa" w:w="1361"/>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量測基準</w:t>
            </w:r>
          </w:p>
        </w:tc>
        <w:tc>
          <w:tcPr>
            <w:tcW w:type="dxa" w:w="2835"/>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靜止、屈伸與基本動作；同步 IMU–sEMG。</w:t>
            </w:r>
          </w:p>
        </w:tc>
        <w:tc>
          <w:tcPr>
            <w:tcW w:type="dxa" w:w="2835"/>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單一模態與融合</w:t>
            </w:r>
          </w:p>
        </w:tc>
        <w:tc>
          <w:tcPr>
            <w:tcW w:type="dxa" w:w="2041"/>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SNR、F1、起始延遲</w:t>
            </w:r>
          </w:p>
        </w:tc>
      </w:tr>
      <w:tr>
        <w:trPr>
          <w:cantSplit/>
        </w:trPr>
        <w:tc>
          <w:tcPr>
            <w:tcW w:type="dxa" w:w="1361"/>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穿戴變異</w:t>
            </w:r>
          </w:p>
        </w:tc>
        <w:tc>
          <w:tcPr>
            <w:tcW w:type="dxa" w:w="2835"/>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跨日重戴、電極平移／旋轉、不同動作速度。</w:t>
            </w:r>
          </w:p>
        </w:tc>
        <w:tc>
          <w:tcPr>
            <w:tcW w:type="dxa" w:w="2835"/>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固定融合與品質感知融合</w:t>
            </w:r>
          </w:p>
        </w:tc>
        <w:tc>
          <w:tcPr>
            <w:tcW w:type="dxa" w:w="2041"/>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跨次 F1、校正時間</w:t>
            </w:r>
          </w:p>
        </w:tc>
      </w:tr>
      <w:tr>
        <w:trPr>
          <w:cantSplit/>
        </w:trPr>
        <w:tc>
          <w:tcPr>
            <w:tcW w:type="dxa" w:w="1361"/>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異常測試</w:t>
            </w:r>
          </w:p>
        </w:tc>
        <w:tc>
          <w:tcPr>
            <w:tcW w:type="dxa" w:w="2835"/>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基線漂移、飽和、工頻干擾、接觸不良與封包遺失。</w:t>
            </w:r>
          </w:p>
        </w:tc>
        <w:tc>
          <w:tcPr>
            <w:tcW w:type="dxa" w:w="2835"/>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無品質管理與品質降級策略</w:t>
            </w:r>
          </w:p>
        </w:tc>
        <w:tc>
          <w:tcPr>
            <w:tcW w:type="dxa" w:w="2041"/>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偵測率、假警率、誤觸發</w:t>
            </w:r>
          </w:p>
        </w:tc>
      </w:tr>
      <w:tr>
        <w:trPr>
          <w:cantSplit/>
        </w:trPr>
        <w:tc>
          <w:tcPr>
            <w:tcW w:type="dxa" w:w="1361"/>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定點化</w:t>
            </w:r>
          </w:p>
        </w:tc>
        <w:tc>
          <w:tcPr>
            <w:tcW w:type="dxa" w:w="2835"/>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不同字長、特徵數量與模型大小。</w:t>
            </w:r>
          </w:p>
        </w:tc>
        <w:tc>
          <w:tcPr>
            <w:tcW w:type="dxa" w:w="2835"/>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PC 浮點、MCU 浮點／定點</w:t>
            </w:r>
          </w:p>
        </w:tc>
        <w:tc>
          <w:tcPr>
            <w:tcW w:type="dxa" w:w="2041"/>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效能差、延遲、RAM/Flash</w:t>
            </w:r>
          </w:p>
        </w:tc>
      </w:tr>
      <w:tr>
        <w:trPr>
          <w:cantSplit/>
        </w:trPr>
        <w:tc>
          <w:tcPr>
            <w:tcW w:type="dxa" w:w="1361"/>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硬體部署</w:t>
            </w:r>
          </w:p>
        </w:tc>
        <w:tc>
          <w:tcPr>
            <w:tcW w:type="dxa" w:w="2835"/>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常態、低活動與完整辨識模式。</w:t>
            </w:r>
          </w:p>
        </w:tc>
        <w:tc>
          <w:tcPr>
            <w:tcW w:type="dxa" w:w="2835"/>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MCU 與 FPGA（視平台）</w:t>
            </w:r>
          </w:p>
        </w:tc>
        <w:tc>
          <w:tcPr>
            <w:tcW w:type="dxa" w:w="2041"/>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功率、能耗、LUT/DSP、WCET</w:t>
            </w:r>
          </w:p>
        </w:tc>
      </w:tr>
    </w:tbl>
    <w:p>
      <w:pPr>
        <w:spacing w:line="360" w:lineRule="auto" w:after="80"/>
        <w:ind w:firstLine="480"/>
        <w:jc w:val="both"/>
      </w:pPr>
    </w:p>
    <w:p>
      <w:pPr>
        <w:spacing w:line="360" w:lineRule="auto" w:after="80"/>
        <w:ind w:firstLine="480"/>
        <w:jc w:val="both"/>
      </w:pPr>
      <w:r>
        <w:rPr>
          <w:rFonts w:ascii="Times New Roman" w:hAnsi="Times New Roman" w:eastAsia="PMingLiU" w:cs="Times New Roman"/>
          <w:b w:val="0"/>
          <w:color w:val="000000"/>
          <w:sz w:val="24"/>
        </w:rPr>
        <w:t>初期先以公開資料集與少量健康成人工程測試驗證流程；正式人體資料收集將依校方研究倫理規範及指導教授安排辦理。統計分析除平均值外，將呈現個別受試者與跨次差異，並以重複量測或配對檢定比較基準與主方法。</w:t>
      </w:r>
    </w:p>
    <w:p>
      <w:pPr>
        <w:pStyle w:val="Heading1"/>
        <w:ind w:firstLine="0"/>
      </w:pPr>
      <w:r>
        <w:rPr>
          <w:rFonts w:ascii="Times New Roman" w:hAnsi="Times New Roman" w:eastAsia="Microsoft JhengHei" w:cs="Times New Roman"/>
          <w:b/>
          <w:color w:val="000000"/>
          <w:sz w:val="28"/>
        </w:rPr>
        <w:t>六、預期成果與貢獻</w:t>
      </w:r>
    </w:p>
    <w:p>
      <w:pPr>
        <w:pStyle w:val="ListBullet"/>
      </w:pPr>
      <w:r>
        <w:rPr>
          <w:rFonts w:ascii="Times New Roman" w:hAnsi="Times New Roman" w:eastAsia="PMingLiU" w:cs="Times New Roman"/>
          <w:b w:val="0"/>
          <w:color w:val="000000"/>
          <w:sz w:val="24"/>
        </w:rPr>
        <w:t>一套具有共同時間戳、異常標記與可重現測試流程的 IMU–sEMG 穿戴式資料平台。</w:t>
      </w:r>
    </w:p>
    <w:p>
      <w:pPr>
        <w:pStyle w:val="ListBullet"/>
      </w:pPr>
      <w:r>
        <w:rPr>
          <w:rFonts w:ascii="Times New Roman" w:hAnsi="Times New Roman" w:eastAsia="PMingLiU" w:cs="Times New Roman"/>
          <w:b w:val="0"/>
          <w:color w:val="000000"/>
          <w:sz w:val="24"/>
        </w:rPr>
        <w:t>一組可解釋的生理與慣性感測品質指標，以及其和辨識錯誤之量化關係。</w:t>
      </w:r>
    </w:p>
    <w:p>
      <w:pPr>
        <w:pStyle w:val="ListBullet"/>
      </w:pPr>
      <w:r>
        <w:rPr>
          <w:rFonts w:ascii="Times New Roman" w:hAnsi="Times New Roman" w:eastAsia="PMingLiU" w:cs="Times New Roman"/>
          <w:b w:val="0"/>
          <w:color w:val="000000"/>
          <w:sz w:val="24"/>
        </w:rPr>
        <w:t>固定融合與品質感知融合在正常、跨次及異常條件下的完整比較。</w:t>
      </w:r>
    </w:p>
    <w:p>
      <w:pPr>
        <w:pStyle w:val="ListBullet"/>
      </w:pPr>
      <w:r>
        <w:rPr>
          <w:rFonts w:ascii="Times New Roman" w:hAnsi="Times New Roman" w:eastAsia="PMingLiU" w:cs="Times New Roman"/>
          <w:b w:val="0"/>
          <w:color w:val="000000"/>
          <w:sz w:val="24"/>
        </w:rPr>
        <w:t>具明確模組介面、資料流、字長、記憶體、延遲、故障處理與能耗預算的嵌入式韌體及 MCU／FPGA 架構。</w:t>
      </w:r>
    </w:p>
    <w:p>
      <w:pPr>
        <w:pStyle w:val="ListBullet"/>
      </w:pPr>
      <w:r>
        <w:rPr>
          <w:rFonts w:ascii="Times New Roman" w:hAnsi="Times New Roman" w:eastAsia="PMingLiU" w:cs="Times New Roman"/>
          <w:b w:val="0"/>
          <w:color w:val="000000"/>
          <w:sz w:val="24"/>
        </w:rPr>
        <w:t>可供後續設計低雜訊類比前端、可程式化資料轉換或生醫訊號處理 IC 的系統規格。</w:t>
      </w:r>
    </w:p>
    <w:p>
      <w:pPr>
        <w:pStyle w:val="Heading1"/>
        <w:ind w:firstLine="0"/>
      </w:pPr>
      <w:r>
        <w:rPr>
          <w:rFonts w:ascii="Times New Roman" w:hAnsi="Times New Roman" w:eastAsia="Microsoft JhengHei" w:cs="Times New Roman"/>
          <w:b/>
          <w:color w:val="000000"/>
          <w:sz w:val="28"/>
        </w:rPr>
        <w:t>七、研究環境需求與未來學習方向</w:t>
      </w:r>
    </w:p>
    <w:tbl>
      <w:tblPr>
        <w:tblW w:type="auto" w:w="0"/>
        <w:tblLayout w:type="fixed"/>
        <w:tblLook w:firstColumn="1" w:firstRow="1" w:lastColumn="0" w:lastRow="0" w:noHBand="0" w:noVBand="1" w:val="04A0"/>
        <w:jc w:val="center"/>
        <w:tblBorders>
          <w:top w:val="single" w:sz="5" w:color="B7B7B7"/>
          <w:left w:val="single" w:sz="5" w:color="B7B7B7"/>
          <w:bottom w:val="single" w:sz="5" w:color="B7B7B7"/>
          <w:right w:val="single" w:sz="5" w:color="B7B7B7"/>
          <w:insideH w:val="single" w:sz="5" w:color="B7B7B7"/>
          <w:insideV w:val="single" w:sz="5" w:color="B7B7B7"/>
        </w:tblBorders>
      </w:tblPr>
      <w:tblGrid>
        <w:gridCol w:w="3099"/>
        <w:gridCol w:w="3099"/>
        <w:gridCol w:w="3099"/>
      </w:tblGrid>
      <w:tr>
        <w:trPr>
          <w:cantSplit/>
        </w:trPr>
        <w:tc>
          <w:tcPr>
            <w:tcW w:type="dxa" w:w="2324"/>
            <w:shd w:fill="D9E2F3"/>
            <w:vAlign w:val="center"/>
            <w:tcMar>
              <w:top w:w="90" w:type="dxa"/>
              <w:start w:w="110" w:type="dxa"/>
              <w:bottom w:w="90" w:type="dxa"/>
              <w:end w:w="110" w:type="dxa"/>
            </w:tcMar>
          </w:tcPr>
          <w:p>
            <w:pPr>
              <w:spacing w:line="276" w:lineRule="auto" w:before="20" w:after="20"/>
              <w:ind w:firstLine="0"/>
              <w:jc w:val="center"/>
            </w:pPr>
            <w:r>
              <w:rPr>
                <w:rFonts w:ascii="Times New Roman" w:hAnsi="Times New Roman" w:eastAsia="Microsoft JhengHei" w:cs="Times New Roman"/>
                <w:b/>
                <w:color w:val="000000"/>
                <w:sz w:val="20"/>
              </w:rPr>
              <w:t>所需研究能力</w:t>
            </w:r>
          </w:p>
        </w:tc>
        <w:tc>
          <w:tcPr>
            <w:tcW w:type="dxa" w:w="3572"/>
            <w:shd w:fill="D9E2F3"/>
            <w:vAlign w:val="center"/>
            <w:tcMar>
              <w:top w:w="90" w:type="dxa"/>
              <w:start w:w="110" w:type="dxa"/>
              <w:bottom w:w="90" w:type="dxa"/>
              <w:end w:w="110" w:type="dxa"/>
            </w:tcMar>
          </w:tcPr>
          <w:p>
            <w:pPr>
              <w:spacing w:line="276" w:lineRule="auto" w:before="20" w:after="20"/>
              <w:ind w:firstLine="0"/>
              <w:jc w:val="center"/>
            </w:pPr>
            <w:r>
              <w:rPr>
                <w:rFonts w:ascii="Times New Roman" w:hAnsi="Times New Roman" w:eastAsia="Microsoft JhengHei" w:cs="Times New Roman"/>
                <w:b/>
                <w:color w:val="000000"/>
                <w:sz w:val="20"/>
              </w:rPr>
              <w:t>本計畫對應內容</w:t>
            </w:r>
          </w:p>
        </w:tc>
        <w:tc>
          <w:tcPr>
            <w:tcW w:type="dxa" w:w="3175"/>
            <w:shd w:fill="D9E2F3"/>
            <w:vAlign w:val="center"/>
            <w:tcMar>
              <w:top w:w="90" w:type="dxa"/>
              <w:start w:w="110" w:type="dxa"/>
              <w:bottom w:w="90" w:type="dxa"/>
              <w:end w:w="110" w:type="dxa"/>
            </w:tcMar>
          </w:tcPr>
          <w:p>
            <w:pPr>
              <w:spacing w:line="276" w:lineRule="auto" w:before="20" w:after="20"/>
              <w:ind w:firstLine="0"/>
              <w:jc w:val="center"/>
            </w:pPr>
            <w:r>
              <w:rPr>
                <w:rFonts w:ascii="Times New Roman" w:hAnsi="Times New Roman" w:eastAsia="Microsoft JhengHei" w:cs="Times New Roman"/>
                <w:b/>
                <w:color w:val="000000"/>
                <w:sz w:val="20"/>
              </w:rPr>
              <w:t>入學後深化方向</w:t>
            </w:r>
          </w:p>
        </w:tc>
      </w:tr>
      <w:tr>
        <w:trPr>
          <w:cantSplit/>
        </w:trPr>
        <w:tc>
          <w:tcPr>
            <w:tcW w:type="dxa" w:w="2324"/>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非侵入式生醫感測與類比前端</w:t>
            </w:r>
          </w:p>
        </w:tc>
        <w:tc>
          <w:tcPr>
            <w:tcW w:type="dxa" w:w="3572"/>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sEMG 微弱訊號擷取、接觸品質、增益、雜訊與動態範圍。</w:t>
            </w:r>
          </w:p>
        </w:tc>
        <w:tc>
          <w:tcPr>
            <w:tcW w:type="dxa" w:w="3175"/>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可程式化 AFE、智慧感測器與感測控制。</w:t>
            </w:r>
          </w:p>
        </w:tc>
      </w:tr>
      <w:tr>
        <w:trPr>
          <w:cantSplit/>
        </w:trPr>
        <w:tc>
          <w:tcPr>
            <w:tcW w:type="dxa" w:w="2324"/>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低功耗混合訊號與穿戴電子</w:t>
            </w:r>
          </w:p>
        </w:tc>
        <w:tc>
          <w:tcPr>
            <w:tcW w:type="dxa" w:w="3572"/>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取樣、量化、事件觸發、定點 DSP 與功耗預算。</w:t>
            </w:r>
          </w:p>
        </w:tc>
        <w:tc>
          <w:tcPr>
            <w:tcW w:type="dxa" w:w="3175"/>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ADC／AFE／數位處理協同設計及醫療物聯網節點。</w:t>
            </w:r>
          </w:p>
        </w:tc>
      </w:tr>
      <w:tr>
        <w:trPr>
          <w:cantSplit/>
        </w:trPr>
        <w:tc>
          <w:tcPr>
            <w:tcW w:type="dxa" w:w="2324"/>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生醫訊號處理與嵌入式整合</w:t>
            </w:r>
          </w:p>
        </w:tc>
        <w:tc>
          <w:tcPr>
            <w:tcW w:type="dxa" w:w="3572"/>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多模態融合、品質估測、即時分類與故障降級。</w:t>
            </w:r>
          </w:p>
        </w:tc>
        <w:tc>
          <w:tcPr>
            <w:tcW w:type="dxa" w:w="3175"/>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邊緣運算、多感測融合及系統級實證。</w:t>
            </w:r>
          </w:p>
        </w:tc>
      </w:tr>
      <w:tr>
        <w:trPr>
          <w:cantSplit/>
        </w:trPr>
        <w:tc>
          <w:tcPr>
            <w:tcW w:type="dxa" w:w="2324"/>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醫工系統與人體量測</w:t>
            </w:r>
          </w:p>
        </w:tc>
        <w:tc>
          <w:tcPr>
            <w:tcW w:type="dxa" w:w="3572"/>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穿戴式量測、工程驗證與跨次實驗設計。</w:t>
            </w:r>
          </w:p>
        </w:tc>
        <w:tc>
          <w:tcPr>
            <w:tcW w:type="dxa" w:w="3175"/>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依研究資源延伸至輔具、復健、人機介面或健康監測。</w:t>
            </w:r>
          </w:p>
        </w:tc>
      </w:tr>
    </w:tbl>
    <w:p>
      <w:pPr>
        <w:spacing w:line="360" w:lineRule="auto" w:after="80"/>
        <w:ind w:firstLine="480"/>
        <w:jc w:val="both"/>
      </w:pPr>
    </w:p>
    <w:p>
      <w:pPr>
        <w:spacing w:line="360" w:lineRule="auto" w:after="80"/>
        <w:ind w:firstLine="480"/>
        <w:jc w:val="both"/>
      </w:pPr>
      <w:r>
        <w:rPr>
          <w:rFonts w:ascii="Times New Roman" w:hAnsi="Times New Roman" w:eastAsia="PMingLiU" w:cs="Times New Roman"/>
          <w:b w:val="0"/>
          <w:color w:val="000000"/>
          <w:sz w:val="24"/>
        </w:rPr>
        <w:t>本計畫需要結合非侵入式生醫感測、低功耗混合訊號、穿戴式電子、生醫訊號處理與嵌入式系統整合等研究資源。智慧醫電及醫工研究環境通常具備跨電路、訊號、韌體與生醫應用的訓練，可協助我由現有的 IMU 與嵌入式經驗，進一步學習微弱生理訊號擷取、前端規格設計、即時韌體架構、低功耗資料路徑及人體量測方法。我希望透過本研究建立從演算法原型、感測器驅動、即時資料流到硬體部署與測試的完整開發能力，作為未來投入韌體工程與嵌入式系統開發的技術基礎；並依實驗室設備調整感測通道與應用情境，同時維持「以訊號品質驅動多模態融合與硬體運作」的核心研究問題。</w:t>
      </w:r>
    </w:p>
    <w:p>
      <w:pPr>
        <w:pStyle w:val="Heading1"/>
        <w:ind w:firstLine="0"/>
      </w:pPr>
      <w:r>
        <w:rPr>
          <w:rFonts w:ascii="Times New Roman" w:hAnsi="Times New Roman" w:eastAsia="Microsoft JhengHei" w:cs="Times New Roman"/>
          <w:b/>
          <w:color w:val="000000"/>
          <w:sz w:val="28"/>
        </w:rPr>
        <w:t>八、可行性、風險與替代方案</w:t>
      </w:r>
    </w:p>
    <w:tbl>
      <w:tblPr>
        <w:tblW w:type="auto" w:w="0"/>
        <w:tblLayout w:type="fixed"/>
        <w:tblLook w:firstColumn="1" w:firstRow="1" w:lastColumn="0" w:lastRow="0" w:noHBand="0" w:noVBand="1" w:val="04A0"/>
        <w:jc w:val="center"/>
        <w:tblBorders>
          <w:top w:val="single" w:sz="5" w:color="B7B7B7"/>
          <w:left w:val="single" w:sz="5" w:color="B7B7B7"/>
          <w:bottom w:val="single" w:sz="5" w:color="B7B7B7"/>
          <w:right w:val="single" w:sz="5" w:color="B7B7B7"/>
          <w:insideH w:val="single" w:sz="5" w:color="B7B7B7"/>
          <w:insideV w:val="single" w:sz="5" w:color="B7B7B7"/>
        </w:tblBorders>
      </w:tblPr>
      <w:tblGrid>
        <w:gridCol w:w="4649"/>
        <w:gridCol w:w="4649"/>
      </w:tblGrid>
      <w:tr>
        <w:trPr>
          <w:cantSplit/>
        </w:trPr>
        <w:tc>
          <w:tcPr>
            <w:tcW w:type="dxa" w:w="2835"/>
            <w:shd w:fill="D9E2F3"/>
            <w:vAlign w:val="center"/>
            <w:tcMar>
              <w:top w:w="90" w:type="dxa"/>
              <w:start w:w="110" w:type="dxa"/>
              <w:bottom w:w="90" w:type="dxa"/>
              <w:end w:w="110" w:type="dxa"/>
            </w:tcMar>
          </w:tcPr>
          <w:p>
            <w:pPr>
              <w:spacing w:line="276" w:lineRule="auto" w:before="20" w:after="20"/>
              <w:ind w:firstLine="0"/>
              <w:jc w:val="center"/>
            </w:pPr>
            <w:r>
              <w:rPr>
                <w:rFonts w:ascii="Times New Roman" w:hAnsi="Times New Roman" w:eastAsia="Microsoft JhengHei" w:cs="Times New Roman"/>
                <w:b/>
                <w:color w:val="000000"/>
                <w:sz w:val="20"/>
              </w:rPr>
              <w:t>可能風險</w:t>
            </w:r>
          </w:p>
        </w:tc>
        <w:tc>
          <w:tcPr>
            <w:tcW w:type="dxa" w:w="6236"/>
            <w:shd w:fill="D9E2F3"/>
            <w:vAlign w:val="center"/>
            <w:tcMar>
              <w:top w:w="90" w:type="dxa"/>
              <w:start w:w="110" w:type="dxa"/>
              <w:bottom w:w="90" w:type="dxa"/>
              <w:end w:w="110" w:type="dxa"/>
            </w:tcMar>
          </w:tcPr>
          <w:p>
            <w:pPr>
              <w:spacing w:line="276" w:lineRule="auto" w:before="20" w:after="20"/>
              <w:ind w:firstLine="0"/>
              <w:jc w:val="center"/>
            </w:pPr>
            <w:r>
              <w:rPr>
                <w:rFonts w:ascii="Times New Roman" w:hAnsi="Times New Roman" w:eastAsia="Microsoft JhengHei" w:cs="Times New Roman"/>
                <w:b/>
                <w:color w:val="000000"/>
                <w:sz w:val="20"/>
              </w:rPr>
              <w:t>因應方式</w:t>
            </w:r>
          </w:p>
        </w:tc>
      </w:tr>
      <w:tr>
        <w:trPr>
          <w:cantSplit/>
        </w:trPr>
        <w:tc>
          <w:tcPr>
            <w:tcW w:type="dxa" w:w="2835"/>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無法立即取得自製類比前端</w:t>
            </w:r>
          </w:p>
        </w:tc>
        <w:tc>
          <w:tcPr>
            <w:tcW w:type="dxa" w:w="6236"/>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先用商用 AFE 驗證訊號與規格，再將量測結果轉為電路設計需求。</w:t>
            </w:r>
          </w:p>
        </w:tc>
      </w:tr>
      <w:tr>
        <w:trPr>
          <w:cantSplit/>
        </w:trPr>
        <w:tc>
          <w:tcPr>
            <w:tcW w:type="dxa" w:w="2835"/>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人體資料量不足</w:t>
            </w:r>
          </w:p>
        </w:tc>
        <w:tc>
          <w:tcPr>
            <w:tcW w:type="dxa" w:w="6236"/>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先用公開資料集與台架異常注入完成演算法；人體測試依倫理與資源逐步擴充。</w:t>
            </w:r>
          </w:p>
        </w:tc>
      </w:tr>
      <w:tr>
        <w:trPr>
          <w:cantSplit/>
        </w:trPr>
        <w:tc>
          <w:tcPr>
            <w:tcW w:type="dxa" w:w="2835"/>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跨人模型過於困難</w:t>
            </w:r>
          </w:p>
        </w:tc>
        <w:tc>
          <w:tcPr>
            <w:tcW w:type="dxa" w:w="6236"/>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先完成個人內與跨次驗證，再研究少量校正或個人化正規化。</w:t>
            </w:r>
          </w:p>
        </w:tc>
      </w:tr>
      <w:tr>
        <w:trPr>
          <w:cantSplit/>
        </w:trPr>
        <w:tc>
          <w:tcPr>
            <w:tcW w:type="dxa" w:w="2835"/>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品質分數無法精確區分異常</w:t>
            </w:r>
          </w:p>
        </w:tc>
        <w:tc>
          <w:tcPr>
            <w:tcW w:type="dxa" w:w="6236"/>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先採正常／低品質二階段判斷，以可解釋門檻完成基準研究。</w:t>
            </w:r>
          </w:p>
        </w:tc>
      </w:tr>
      <w:tr>
        <w:trPr>
          <w:cantSplit/>
        </w:trPr>
        <w:tc>
          <w:tcPr>
            <w:tcW w:type="dxa" w:w="2835"/>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FPGA 或 IC 設計時程不足</w:t>
            </w:r>
          </w:p>
        </w:tc>
        <w:tc>
          <w:tcPr>
            <w:tcW w:type="dxa" w:w="6236"/>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保留 MCU 定點實現為最小可行成果；FPGA 與 IC 作後續深化。</w:t>
            </w:r>
          </w:p>
        </w:tc>
      </w:tr>
    </w:tbl>
    <w:p>
      <w:pPr>
        <w:spacing w:line="360" w:lineRule="auto" w:after="80"/>
        <w:ind w:firstLine="480"/>
        <w:jc w:val="both"/>
      </w:pPr>
    </w:p>
    <w:p>
      <w:pPr>
        <w:pStyle w:val="Heading1"/>
        <w:ind w:firstLine="0"/>
      </w:pPr>
      <w:r>
        <w:rPr>
          <w:rFonts w:ascii="Times New Roman" w:hAnsi="Times New Roman" w:eastAsia="Microsoft JhengHei" w:cs="Times New Roman"/>
          <w:b/>
          <w:color w:val="000000"/>
          <w:sz w:val="28"/>
        </w:rPr>
        <w:t>九、研究進度</w:t>
      </w:r>
    </w:p>
    <w:tbl>
      <w:tblPr>
        <w:tblW w:type="auto" w:w="0"/>
        <w:tblLayout w:type="fixed"/>
        <w:tblLook w:firstColumn="1" w:firstRow="1" w:lastColumn="0" w:lastRow="0" w:noHBand="0" w:noVBand="1" w:val="04A0"/>
        <w:jc w:val="center"/>
        <w:tblBorders>
          <w:top w:val="single" w:sz="5" w:color="B7B7B7"/>
          <w:left w:val="single" w:sz="5" w:color="B7B7B7"/>
          <w:bottom w:val="single" w:sz="5" w:color="B7B7B7"/>
          <w:right w:val="single" w:sz="5" w:color="B7B7B7"/>
          <w:insideH w:val="single" w:sz="5" w:color="B7B7B7"/>
          <w:insideV w:val="single" w:sz="5" w:color="B7B7B7"/>
        </w:tblBorders>
      </w:tblPr>
      <w:tblGrid>
        <w:gridCol w:w="4649"/>
        <w:gridCol w:w="4649"/>
      </w:tblGrid>
      <w:tr>
        <w:trPr>
          <w:cantSplit/>
        </w:trPr>
        <w:tc>
          <w:tcPr>
            <w:tcW w:type="dxa" w:w="1814"/>
            <w:shd w:fill="D9E2F3"/>
            <w:vAlign w:val="center"/>
            <w:tcMar>
              <w:top w:w="90" w:type="dxa"/>
              <w:start w:w="110" w:type="dxa"/>
              <w:bottom w:w="90" w:type="dxa"/>
              <w:end w:w="110" w:type="dxa"/>
            </w:tcMar>
          </w:tcPr>
          <w:p>
            <w:pPr>
              <w:spacing w:line="276" w:lineRule="auto" w:before="20" w:after="20"/>
              <w:ind w:firstLine="0"/>
              <w:jc w:val="center"/>
            </w:pPr>
            <w:r>
              <w:rPr>
                <w:rFonts w:ascii="Times New Roman" w:hAnsi="Times New Roman" w:eastAsia="Microsoft JhengHei" w:cs="Times New Roman"/>
                <w:b/>
                <w:color w:val="000000"/>
                <w:sz w:val="20"/>
              </w:rPr>
              <w:t>期程</w:t>
            </w:r>
          </w:p>
        </w:tc>
        <w:tc>
          <w:tcPr>
            <w:tcW w:type="dxa" w:w="7257"/>
            <w:shd w:fill="D9E2F3"/>
            <w:vAlign w:val="center"/>
            <w:tcMar>
              <w:top w:w="90" w:type="dxa"/>
              <w:start w:w="110" w:type="dxa"/>
              <w:bottom w:w="90" w:type="dxa"/>
              <w:end w:w="110" w:type="dxa"/>
            </w:tcMar>
          </w:tcPr>
          <w:p>
            <w:pPr>
              <w:spacing w:line="276" w:lineRule="auto" w:before="20" w:after="20"/>
              <w:ind w:firstLine="0"/>
              <w:jc w:val="center"/>
            </w:pPr>
            <w:r>
              <w:rPr>
                <w:rFonts w:ascii="Times New Roman" w:hAnsi="Times New Roman" w:eastAsia="Microsoft JhengHei" w:cs="Times New Roman"/>
                <w:b/>
                <w:color w:val="000000"/>
                <w:sz w:val="20"/>
              </w:rPr>
              <w:t>主要工作</w:t>
            </w:r>
          </w:p>
        </w:tc>
      </w:tr>
      <w:tr>
        <w:trPr>
          <w:cantSplit/>
        </w:trPr>
        <w:tc>
          <w:tcPr>
            <w:tcW w:type="dxa" w:w="1814"/>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碩一上</w:t>
            </w:r>
          </w:p>
        </w:tc>
        <w:tc>
          <w:tcPr>
            <w:tcW w:type="dxa" w:w="7257"/>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補強生醫電子、數位訊號處理與 IC 基礎；完成同步擷取、前端規格及基準資料。</w:t>
            </w:r>
          </w:p>
        </w:tc>
      </w:tr>
      <w:tr>
        <w:trPr>
          <w:cantSplit/>
        </w:trPr>
        <w:tc>
          <w:tcPr>
            <w:tcW w:type="dxa" w:w="1814"/>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碩一下</w:t>
            </w:r>
          </w:p>
        </w:tc>
        <w:tc>
          <w:tcPr>
            <w:tcW w:type="dxa" w:w="7257"/>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建立品質指標、跨次／異常資料及單一模態與固定融合基準。</w:t>
            </w:r>
          </w:p>
        </w:tc>
      </w:tr>
      <w:tr>
        <w:trPr>
          <w:cantSplit/>
        </w:trPr>
        <w:tc>
          <w:tcPr>
            <w:tcW w:type="dxa" w:w="1814"/>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碩二上</w:t>
            </w:r>
          </w:p>
        </w:tc>
        <w:tc>
          <w:tcPr>
            <w:tcW w:type="dxa" w:w="7257"/>
            <w:vAlign w:val="center"/>
            <w:tcMar>
              <w:top w:w="90" w:type="dxa"/>
              <w:start w:w="110" w:type="dxa"/>
              <w:bottom w:w="90" w:type="dxa"/>
              <w:end w:w="110" w:type="dxa"/>
            </w:tcMar>
            <w:shd w:fill="FFFFFF"/>
          </w:tcPr>
          <w:p>
            <w:pPr>
              <w:spacing w:line="276" w:lineRule="auto" w:before="20" w:after="20"/>
              <w:ind w:firstLine="0"/>
              <w:jc w:val="left"/>
            </w:pPr>
            <w:r>
              <w:rPr>
                <w:rFonts w:ascii="Times New Roman" w:hAnsi="Times New Roman" w:eastAsia="PMingLiU" w:cs="Times New Roman"/>
                <w:b w:val="0"/>
                <w:color w:val="000000"/>
                <w:sz w:val="20"/>
              </w:rPr>
              <w:t>完成品質感知融合、定點化、MCU／FPGA 部署與能耗量測。</w:t>
            </w:r>
          </w:p>
        </w:tc>
      </w:tr>
      <w:tr>
        <w:trPr>
          <w:cantSplit/>
        </w:trPr>
        <w:tc>
          <w:tcPr>
            <w:tcW w:type="dxa" w:w="1814"/>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碩二下</w:t>
            </w:r>
          </w:p>
        </w:tc>
        <w:tc>
          <w:tcPr>
            <w:tcW w:type="dxa" w:w="7257"/>
            <w:shd w:fill="F7F7F7"/>
            <w:vAlign w:val="center"/>
            <w:tcMar>
              <w:top w:w="90" w:type="dxa"/>
              <w:start w:w="110" w:type="dxa"/>
              <w:bottom w:w="90" w:type="dxa"/>
              <w:end w:w="110" w:type="dxa"/>
            </w:tcMar>
          </w:tcPr>
          <w:p>
            <w:pPr>
              <w:spacing w:line="276" w:lineRule="auto" w:before="20" w:after="20"/>
              <w:ind w:firstLine="0"/>
              <w:jc w:val="left"/>
            </w:pPr>
            <w:r>
              <w:rPr>
                <w:rFonts w:ascii="Times New Roman" w:hAnsi="Times New Roman" w:eastAsia="PMingLiU" w:cs="Times New Roman"/>
                <w:b w:val="0"/>
                <w:color w:val="000000"/>
                <w:sz w:val="20"/>
              </w:rPr>
              <w:t>補充統計與系統實驗，整理硬體規格、完成論文與口試。</w:t>
            </w:r>
          </w:p>
        </w:tc>
      </w:tr>
    </w:tbl>
    <w:p>
      <w:pPr>
        <w:spacing w:line="360" w:lineRule="auto" w:after="80"/>
        <w:ind w:firstLine="480"/>
        <w:jc w:val="both"/>
      </w:pPr>
    </w:p>
    <w:p>
      <w:pPr>
        <w:pStyle w:val="Heading1"/>
        <w:ind w:firstLine="0"/>
      </w:pPr>
      <w:r>
        <w:rPr>
          <w:rFonts w:ascii="Times New Roman" w:hAnsi="Times New Roman" w:eastAsia="Microsoft JhengHei" w:cs="Times New Roman"/>
          <w:b/>
          <w:color w:val="000000"/>
          <w:sz w:val="28"/>
        </w:rPr>
        <w:t>參考文獻</w:t>
      </w:r>
    </w:p>
    <w:p>
      <w:pPr>
        <w:spacing w:line="276" w:lineRule="auto" w:after="100"/>
        <w:ind w:left="425" w:hanging="425"/>
        <w:jc w:val="left"/>
      </w:pPr>
      <w:r>
        <w:rPr>
          <w:rFonts w:ascii="Times New Roman" w:hAnsi="Times New Roman" w:eastAsia="PMingLiU" w:cs="Times New Roman"/>
          <w:b w:val="0"/>
          <w:color w:val="000000"/>
          <w:sz w:val="20"/>
        </w:rPr>
        <w:t>[1] Krasoulis, A., et al. (2017). Improved prosthetic hand control with concurrent use of myoelectric and inertial measurements. Journal of NeuroEngineering and Rehabilitation, 14, 71. PMID: 28697795.</w:t>
      </w:r>
    </w:p>
    <w:p>
      <w:pPr>
        <w:spacing w:line="276" w:lineRule="auto" w:after="100"/>
        <w:ind w:left="425" w:hanging="425"/>
        <w:jc w:val="left"/>
      </w:pPr>
      <w:r>
        <w:rPr>
          <w:rFonts w:ascii="Times New Roman" w:hAnsi="Times New Roman" w:eastAsia="PMingLiU" w:cs="Times New Roman"/>
          <w:b w:val="0"/>
          <w:color w:val="000000"/>
          <w:sz w:val="20"/>
        </w:rPr>
        <w:t>[2] A Multi-Modal Under-Sensorized Wearable System for Optimal Kinematic and Muscular Tracking of Human Upper Limb Motion (2023). Sensors, 23. PMCID: PMC10098930.</w:t>
      </w:r>
    </w:p>
    <w:p>
      <w:pPr>
        <w:spacing w:line="276" w:lineRule="auto" w:after="100"/>
        <w:ind w:left="425" w:hanging="425"/>
        <w:jc w:val="left"/>
      </w:pPr>
      <w:r>
        <w:rPr>
          <w:rFonts w:ascii="Times New Roman" w:hAnsi="Times New Roman" w:eastAsia="PMingLiU" w:cs="Times New Roman"/>
          <w:b w:val="0"/>
          <w:color w:val="000000"/>
          <w:sz w:val="20"/>
        </w:rPr>
        <w:t>[3] Campbell, E., et al. (2024). Robust myoelectric pattern recognition methods for reducing users' calibration burden: challenges and future. Frontiers in Bioengineering and Biotechnology. PMCID: PMC10839078.</w:t>
      </w:r>
    </w:p>
    <w:p>
      <w:pPr>
        <w:spacing w:line="276" w:lineRule="auto" w:after="100"/>
        <w:ind w:left="425" w:hanging="425"/>
        <w:jc w:val="left"/>
      </w:pPr>
      <w:r>
        <w:rPr>
          <w:rFonts w:ascii="Times New Roman" w:hAnsi="Times New Roman" w:eastAsia="PMingLiU" w:cs="Times New Roman"/>
          <w:b w:val="0"/>
          <w:color w:val="000000"/>
          <w:sz w:val="20"/>
        </w:rPr>
        <w:t>[4] Kim, K. S., et al. (2021). sEMG-Based Hand Posture Recognition Considering Electrode Shift, Feature Vectors, and Posture Groups. Sensors, 21(23), 7681. PMID: 34833756.</w:t>
      </w:r>
    </w:p>
    <w:p>
      <w:pPr>
        <w:spacing w:line="276" w:lineRule="auto" w:after="100"/>
        <w:ind w:left="425" w:hanging="425"/>
        <w:jc w:val="left"/>
      </w:pPr>
      <w:r>
        <w:rPr>
          <w:rFonts w:ascii="Times New Roman" w:hAnsi="Times New Roman" w:eastAsia="PMingLiU" w:cs="Times New Roman"/>
          <w:b w:val="0"/>
          <w:color w:val="000000"/>
          <w:sz w:val="20"/>
        </w:rPr>
        <w:t>[5] Cheng, W., et al. (2018). Learning Datum-Wise Sampling Frequency for Energy-Efficient Human Activity Recognition. Proceedings of AAAI, 32(1). https://doi.org/10.1609/aaai.v32i1.11862</w:t>
      </w:r>
    </w:p>
    <w:p>
      <w:pPr>
        <w:spacing w:line="276" w:lineRule="auto" w:after="100"/>
        <w:ind w:left="425" w:hanging="425"/>
        <w:jc w:val="left"/>
      </w:pPr>
      <w:r>
        <w:rPr>
          <w:rFonts w:ascii="Times New Roman" w:hAnsi="Times New Roman" w:eastAsia="PMingLiU" w:cs="Times New Roman"/>
          <w:b w:val="0"/>
          <w:color w:val="000000"/>
          <w:sz w:val="20"/>
        </w:rPr>
        <w:t>[6] A neural algorithm for the non-uniform and adaptive sampling of biomedical data (2016). Computers in Biology and Medicine, 71, 223–230. https://doi.org/10.1016/j.compbiomed.2016.02.004</w:t>
      </w:r>
    </w:p>
    <w:p>
      <w:pPr>
        <w:spacing w:line="276" w:lineRule="auto" w:after="100"/>
        <w:ind w:left="425" w:hanging="425"/>
        <w:jc w:val="left"/>
      </w:pPr>
      <w:r>
        <w:rPr>
          <w:rFonts w:ascii="Times New Roman" w:hAnsi="Times New Roman" w:eastAsia="PMingLiU" w:cs="Times New Roman"/>
          <w:b w:val="0"/>
          <w:color w:val="000000"/>
          <w:sz w:val="20"/>
        </w:rPr>
        <w:t>[7] sEMG-Based Hand Gesture Recognition Using Binarized Neural Network (2023). Sensors, 23(3), 1526. PMCID: PMC9920778.</w:t>
      </w:r>
    </w:p>
    <w:p>
      <w:pPr>
        <w:spacing w:line="276" w:lineRule="auto" w:after="100"/>
        <w:ind w:left="425" w:hanging="425"/>
        <w:jc w:val="left"/>
      </w:pPr>
      <w:r>
        <w:rPr>
          <w:rFonts w:ascii="Times New Roman" w:hAnsi="Times New Roman" w:eastAsia="PMingLiU" w:cs="Times New Roman"/>
          <w:b w:val="0"/>
          <w:color w:val="000000"/>
          <w:sz w:val="20"/>
        </w:rPr>
        <w:t>[8] FPGA-based Lightweight QDS-CNN System for sEMG Gesture and Force Level Recognition (2024). IEEE Transactions on Biomedical Circuits and Systems. IEEE document 10430450.</w:t>
      </w:r>
    </w:p>
    <w:sectPr w:rsidR="00FC693F" w:rsidRPr="0006063C" w:rsidSect="00034616">
      <w:footerReference w:type="default" r:id="rId9"/>
      <w:pgSz w:w="11906" w:h="16838"/>
      <w:pgMar w:top="1361" w:right="1531" w:bottom="1247" w:left="153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Times New Roman" w:hAnsi="Times New Roman" w:eastAsia="Microsoft JhengHei" w:cs="Times New Roman"/>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80" w:before="0"/>
      <w:ind w:firstLine="480"/>
      <w:jc w:val="both"/>
    </w:pPr>
    <w:rPr>
      <w:rFonts w:ascii="Times New Roman" w:hAnsi="Times New Roman" w:eastAsia="PMingLiU"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eastAsia="Microsoft JhengHei"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ind w:firstLine="0"/>
      <w:outlineLvl w:val="1"/>
    </w:pPr>
    <w:rPr>
      <w:rFonts w:asciiTheme="majorHAnsi" w:eastAsiaTheme="majorEastAsia" w:hAnsiTheme="majorHAnsi" w:cstheme="majorBidi" w:ascii="Times New Roman" w:hAnsi="Times New Roman" w:eastAsia="Microsoft JhengHei"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jc w:val="center"/>
    </w:pPr>
    <w:rPr>
      <w:rFonts w:asciiTheme="majorHAnsi" w:eastAsiaTheme="majorEastAsia" w:hAnsiTheme="majorHAnsi" w:cstheme="majorBidi" w:ascii="Times New Roman" w:hAnsi="Times New Roman" w:eastAsia="Microsoft JhengHei"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40"/>
      <w:ind w:left="454" w:hanging="227"/>
      <w:contextualSpacing/>
    </w:pPr>
    <w:rPr>
      <w:rFonts w:ascii="Times New Roman" w:hAnsi="Times New Roman" w:eastAsia="PMingLiU" w:cs="Times New Roman"/>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40"/>
      <w:ind w:left="454" w:hanging="227"/>
      <w:contextualSpacing/>
    </w:pPr>
    <w:rPr>
      <w:rFonts w:ascii="Times New Roman" w:hAnsi="Times New Roman" w:eastAsia="PMingLiU" w:cs="Times New Roman"/>
      <w:b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具訊號品質感知之 IMU 與表面肌電多模態動作意圖辨識及低功耗可硬體化架構</dc:title>
  <dc:subject>研究計畫</dc:subject>
  <dc:creator>python-docx</dc:creator>
  <cp:keywords>研究計畫, 機器人控制, 生醫訊號, 嵌入式系統</cp:keywords>
  <dc:description>generated by python-docx</dc:description>
  <cp:lastModifiedBy/>
  <cp:revision>1</cp:revision>
  <dcterms:created xsi:type="dcterms:W3CDTF">2013-12-23T23:15:00Z</dcterms:created>
  <dcterms:modified xsi:type="dcterms:W3CDTF">2013-12-23T23:15:00Z</dcterms:modified>
  <cp:category/>
</cp:coreProperties>
</file>