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p>
    <w:p>
      <w:pPr>
        <w:pStyle w:val="Normal"/>
        <w:numPr>
          <w:ilvl w:val="0"/>
          <w:numId w:val="5"/>
        </w:numPr>
        <w:rPr>
          <w:lang w:val="en-US"/>
        </w:rPr>
      </w:pPr>
      <w:r>
        <w:rPr>
          <w:lang w:val="en-US"/>
        </w:rPr>
        <w:t>Define airport and runways in your input file!</w:t>
      </w:r>
    </w:p>
    <w:p>
      <w:pPr>
        <w:pStyle w:val="Normal"/>
        <w:numPr>
          <w:ilvl w:val="0"/>
          <w:numId w:val="5"/>
        </w:numPr>
        <w:rPr>
          <w:lang w:val="en-US"/>
        </w:rPr>
      </w:pPr>
      <w:r>
        <w:rPr>
          <w:lang w:val="en-US"/>
        </w:rPr>
        <w:t>Teleport to different locations.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754" w:type="dxa"/>
        <w:jc w:val="left"/>
        <w:tblInd w:w="222" w:type="dxa"/>
        <w:tblLayout w:type="fixed"/>
        <w:tblCellMar>
          <w:top w:w="0" w:type="dxa"/>
          <w:left w:w="108" w:type="dxa"/>
          <w:bottom w:w="0" w:type="dxa"/>
          <w:right w:w="108" w:type="dxa"/>
        </w:tblCellMar>
        <w:tblLook w:firstRow="1" w:noVBand="1" w:lastRow="0" w:firstColumn="1" w:lastColumn="0" w:noHBand="0" w:val="04a0"/>
      </w:tblPr>
      <w:tblGrid>
        <w:gridCol w:w="4992"/>
        <w:gridCol w:w="4761"/>
      </w:tblGrid>
      <w:tr>
        <w:trPr/>
        <w:tc>
          <w:tcPr>
            <w:tcW w:w="499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collision detection to be able to land on water etc.</w:t>
              <w:br/>
            </w:r>
            <w:r>
              <w:rPr>
                <w:rFonts w:eastAsia="NSimSun" w:cs="Arial"/>
                <w:b/>
                <w:bCs/>
                <w:color w:val="C9211E"/>
                <w:kern w:val="2"/>
                <w:sz w:val="22"/>
                <w:szCs w:val="22"/>
                <w:lang w:val="en-US" w:eastAsia="zh-CN" w:bidi="hi-IN"/>
              </w:rPr>
              <w:t>NOTE!!! DOES NOT WORK AT THE MOMENT!! SIM BUG???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crash damage.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POIs.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city markers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fauna markers</w:t>
            </w:r>
            <w:r>
              <w:rPr>
                <w:sz w:val="22"/>
                <w:szCs w:val="22"/>
                <w:lang w:val="en-US"/>
              </w:rPr>
              <w:t>.</w:t>
            </w:r>
          </w:p>
        </w:tc>
      </w:tr>
      <w:tr>
        <w:trPr>
          <w:trHeight w:val="132" w:hRule="atLeast"/>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airport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waypoint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all assistance settings.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Teleport to coordinate of your choice when entering an area with </w:t>
            </w:r>
            <w:r>
              <w:rPr>
                <w:rFonts w:eastAsia="NSimSun" w:cs="Arial"/>
                <w:kern w:val="2"/>
                <w:sz w:val="22"/>
                <w:szCs w:val="22"/>
                <w:lang w:val="en-US" w:eastAsia="zh-CN" w:bidi="hi-IN"/>
              </w:rPr>
              <w:t>specified heading, length, width and height in meters of the cubic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w:t>
            </w:r>
            <w:r>
              <w:rPr>
                <w:b/>
                <w:bCs/>
                <w:sz w:val="22"/>
                <w:szCs w:val="22"/>
                <w:lang w:val="en-US"/>
              </w:rPr>
              <w:t>Exit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Same as above, but triggers when the pilot exits the defined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=110.000#text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de3</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de4</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mfarea2</w:t>
            </w:r>
            <w:r>
              <w:rPr>
                <w:rFonts w:eastAsia="NSimSun" w:cs="Arial"/>
                <w:kern w:val="2"/>
                <w:sz w:val="22"/>
                <w:szCs w:val="22"/>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w:t>
            </w:r>
            <w:r>
              <w:rPr>
                <w:sz w:val="22"/>
                <w:szCs w:val="22"/>
                <w:lang w:val="en-US"/>
              </w:rPr>
              <w:t>=coordinate#heading#length#width#height#coordinate#altitude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w:t>
            </w:r>
            <w:r>
              <w:rPr>
                <w:b/>
                <w:bCs/>
                <w:sz w:val="22"/>
                <w:szCs w:val="22"/>
                <w:lang w:val="en-US"/>
              </w:rPr>
              <w:t>Exit</w:t>
            </w:r>
            <w:r>
              <w:rPr>
                <w:sz w:val="22"/>
                <w:szCs w:val="22"/>
                <w:lang w:val="en-US"/>
              </w:rPr>
              <w:t>=coordinate#heading#length#width#height#coordinate#altitude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Application>LibreOffice/7.1.2.2$Windows_X86_64 LibreOffice_project/8a45595d069ef5570103caea1b71cc9d82b2aae4</Application>
  <AppVersion>15.0000</AppVersion>
  <Pages>24</Pages>
  <Words>4954</Words>
  <Characters>35895</Characters>
  <CharactersWithSpaces>40292</CharactersWithSpaces>
  <Paragraphs>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2021-05-14T10:19:31Z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