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Effects of bariatric surger and weight loss on resting-state functional connectivity</w:t>
      </w:r>
    </w:p>
    <w:p>
      <w:pPr>
        <w:pStyle w:val="Author"/>
        <w:rPr/>
      </w:pPr>
      <w:r>
        <w:rPr/>
        <w:t>xxx [1]</w:t>
      </w:r>
    </w:p>
    <w:p>
      <w:pPr>
        <w:pStyle w:val="Author"/>
        <w:rPr/>
      </w:pPr>
      <w:r>
        <w:rPr/>
        <w:t>xxx [1][2]</w:t>
      </w:r>
    </w:p>
    <w:p>
      <w:pPr>
        <w:pStyle w:val="Author"/>
        <w:rPr/>
      </w:pPr>
      <w:r>
        <w:rPr/>
        <w:t>xxx [1][2][3]</w:t>
      </w:r>
    </w:p>
    <w:p>
      <w:pPr>
        <w:pStyle w:val="Author"/>
        <w:rPr/>
      </w:pPr>
      <w:r>
        <w:rPr/>
        <w:t>xxx [1][2]</w:t>
      </w:r>
    </w:p>
    <w:p>
      <w:pPr>
        <w:pStyle w:val="Date"/>
        <w:rPr/>
      </w:pPr>
      <w:r>
        <w:rPr/>
        <w:t>1 Max-Planck-Institute for Human Cognitive and Brain Sciences, Leipzig 2 CRC 1052 “Obesity Mechanisms”, Subproject A1, University of Leipzig 3 Day Clinic for Cognitive Neurology, University Clinic Leipzig</w:t>
      </w:r>
    </w:p>
    <w:p>
      <w:pPr>
        <w:pStyle w:val="Normal"/>
        <w:rPr/>
      </w:pPr>
      <w:r>
        <w:rPr/>
      </w:r>
      <w:r>
        <w:br w:type="page"/>
      </w:r>
    </w:p>
    <w:p>
      <w:pPr>
        <w:pStyle w:val="Heading1"/>
        <w:rPr/>
      </w:pPr>
      <w:bookmarkStart w:id="0" w:name="abstract"/>
      <w:r>
        <w:rPr/>
        <w:t>Abstract</w:t>
      </w:r>
      <w:bookmarkEnd w:id="0"/>
    </w:p>
    <w:p>
      <w:pPr>
        <w:pStyle w:val="Normal"/>
        <w:rPr/>
      </w:pPr>
      <w:r>
        <w:rPr/>
      </w:r>
      <w:r>
        <w:br w:type="page"/>
      </w:r>
    </w:p>
    <w:p>
      <w:pPr>
        <w:pStyle w:val="Heading1"/>
        <w:rPr/>
      </w:pPr>
      <w:bookmarkStart w:id="1" w:name="introduction"/>
      <w:r>
        <w:rPr/>
        <w:t>Introduction</w:t>
      </w:r>
      <w:bookmarkEnd w:id="1"/>
    </w:p>
    <w:p>
      <w:pPr>
        <w:pStyle w:val="TextBody"/>
        <w:rPr/>
      </w:pPr>
      <w:r>
        <w:rPr/>
        <w:t xml:space="preserve">1. Obesity is a major health concern. </w:t>
      </w:r>
      <w:r>
        <w:rPr/>
        <w:t xml:space="preserve">Defined as an excessive amount of body fat with negative health effects, being overweight and obese has been long associated with an increased risk for diabetes and cardiovascular disease. More recently, mid-life obesity has been recognized as a risk factor for dementia and cognitive decline. Further, neuroimaging studies have demonstrated cross-sectional associations of indices of obesity and  different measures of brain structure, such as grey matter volume and white matter microstructure, and longitudinal studies have argued that these represent adverse effects of obesity-related metabolic changes.  </w:t>
      </w:r>
    </w:p>
    <w:p>
      <w:pPr>
        <w:pStyle w:val="TextBody"/>
        <w:rPr/>
      </w:pPr>
      <w:r>
        <w:rPr/>
        <w:t xml:space="preserve">However, obesity can also be considered a neurocognitive disorder.  Central signaling pathways in the brain regulate eating behavior by integrating bodily signals (e.g. gastrointestinal (GI) and fat-derived signaling hormones) and external cues and motivation. The brain thereby plays a crucial role for obesity development and maintenance.  </w:t>
      </w:r>
    </w:p>
    <w:p>
      <w:pPr>
        <w:pStyle w:val="TextBody"/>
        <w:rPr/>
      </w:pPr>
      <w:r>
        <w:rPr/>
        <w:t xml:space="preserve">Among the treatment options for obesity, bariatric surgery is the most radical method for rapidly improving weight status, metabolic condition and comorbidities. </w:t>
      </w:r>
      <w:r>
        <w:rPr/>
        <w:t xml:space="preserve">Sleeve gastrectomy and </w:t>
      </w:r>
      <w:r>
        <w:rPr/>
        <w:t xml:space="preserve">Roux-en-Y gastric bypass (RYGB) </w:t>
      </w:r>
      <w:r>
        <w:rPr/>
        <w:t>are</w:t>
      </w:r>
      <w:r>
        <w:rPr/>
        <w:t xml:space="preserve"> the most common procedure</w:t>
      </w:r>
      <w:r>
        <w:rPr/>
        <w:t>s. While both procedures restrict the stomach volume and lead to malabsorption,  hormonal changes and altered eating behavior are now accepted to be responsible for the major part of the induced weight loss.</w:t>
      </w:r>
    </w:p>
    <w:p>
      <w:pPr>
        <w:pStyle w:val="TextBody"/>
        <w:rPr/>
      </w:pPr>
      <w:r>
        <w:rPr/>
        <w:t>SG and RYGB procedures strongly reduce caloric intake, possibly driven by a reduced pr</w:t>
      </w:r>
      <w:r>
        <w:rPr/>
        <w:t xml:space="preserve">eference </w:t>
      </w:r>
      <w:r>
        <w:rPr/>
        <w:t>for high-caloric food items. Further, changes in taste and olfactory perception have been reported which may further contribute to reduced caloric intake. Taken together, alterations in hedonic eating behavior seem to be important after bariatric surgery.. hanges in food perception have also been reported. Further, the secretion of gastrointestinal hormones is influenced by the surgical procedure, leading to an upregulation of the secretion of postprandial GLP-1 and YY, which results in higher satiety feelings, anda  downregulation of the orexigenic hormone ghrelin for a review see []. Differences in bile acid secretion and gut microbiota composition are also likely to play an important role in mediating the effects of SG/RYGB for weight loss.</w:t>
      </w:r>
    </w:p>
    <w:p>
      <w:pPr>
        <w:pStyle w:val="TextBody"/>
        <w:rPr/>
      </w:pPr>
      <w:r>
        <w:rPr/>
        <w:t xml:space="preserve">Here, different functional brain networks have been reported to differ between indivuals with obesity and lean individuals. </w:t>
      </w:r>
    </w:p>
    <w:p>
      <w:pPr>
        <w:pStyle w:val="TextBody"/>
        <w:rPr/>
      </w:pPr>
      <w:r>
        <w:rPr/>
        <w:t>Reward/salience network</w:t>
      </w:r>
    </w:p>
    <w:p>
      <w:pPr>
        <w:pStyle w:val="TextBody"/>
        <w:rPr/>
      </w:pPr>
      <w:r>
        <w:rPr/>
        <w:t xml:space="preserve">functional magnetic resonance imaging (fMRI) studies have shown that individuals with obesity show higher activation in response to high-caloric versus low-caloric food cues than individuals without obesity. Furthermore, a weakened response to receipt of high-caloric food has been observed. Relevant regions within the brain’s reward and salience network including the  ventromedial prefrontal cortex (vmPFC), the striatum (STR), the anterior insula (antIns) and the anterior cingulate cortex (ACC) have been repeatedly reported to show altered activation pattern has been linked to food valuation processes in decision-making in lean individuals (Bartra, McGuire, and Kable 2013; Hare, Malmaud, and Rangel 2011; Hutcherson et al. 2012; Schmidt et al. 2018; Wiemerslage et al. 2016).  </w:t>
      </w:r>
    </w:p>
    <w:p>
      <w:pPr>
        <w:pStyle w:val="TextBody"/>
        <w:rPr/>
      </w:pPr>
      <w:r>
        <w:rPr/>
        <w:t>Interoception/Homeostasis (Hypothalamus/DMN)</w:t>
      </w:r>
    </w:p>
    <w:p>
      <w:pPr>
        <w:pStyle w:val="TextBody"/>
        <w:rPr/>
      </w:pPr>
      <w:r>
        <w:rPr/>
        <w:t>Self-regulation (frontal-executive network)</w:t>
      </w:r>
    </w:p>
    <w:p>
      <w:pPr>
        <w:pStyle w:val="TextBody"/>
        <w:rPr/>
      </w:pPr>
      <w:r>
        <w:rPr/>
        <w:t>Somatosensation</w:t>
      </w:r>
    </w:p>
    <w:p>
      <w:pPr>
        <w:pStyle w:val="TextBody"/>
        <w:rPr/>
      </w:pPr>
      <w:r>
        <w:rPr/>
        <w:t>Treatment of obesity thus dietary interventions such as caloric restriction and related metabolic improvements, and weight loss have been suggested to improve neuronal plasticity and cognitive performance [@Witte_2009; @Zhang_2018; @Veronese_2017].</w:t>
      </w:r>
    </w:p>
    <w:p>
      <w:pPr>
        <w:pStyle w:val="TextBody"/>
        <w:rPr/>
      </w:pPr>
      <w:r>
        <w:rPr/>
        <w:t>In some cases behavioral intervention fail to yield the desired success regarding weight loss. There are non-behavioral alternatives at hand.</w:t>
      </w:r>
    </w:p>
    <w:p>
      <w:pPr>
        <w:pStyle w:val="TextBody"/>
        <w:rPr/>
      </w:pPr>
      <w:r>
        <w:rPr/>
        <w:t>&lt;!-- bars most invasive (brain metabolism), last resort --&gt;</w:t>
      </w:r>
    </w:p>
    <w:p>
      <w:pPr>
        <w:pStyle w:val="TextBody"/>
        <w:rPr/>
      </w:pPr>
      <w:r>
        <w:rPr/>
        <w:t xml:space="preserve">Bariatric surgery is one promising option to combat morbid obesity, as it rapidly improves weight status, metabolic dysfunctions, and co-morbidities, such as diabetes [@]. </w:t>
      </w:r>
    </w:p>
    <w:p>
      <w:pPr>
        <w:pStyle w:val="TextBody"/>
        <w:rPr/>
      </w:pPr>
      <w:r>
        <w:rPr/>
        <w:t>In this study, we aim to investigate the impact of bariatric surery on..</w:t>
      </w:r>
    </w:p>
    <w:p>
      <w:pPr>
        <w:pStyle w:val="TextBody"/>
        <w:rPr/>
      </w:pPr>
      <w:r>
        <w:rPr/>
        <w:t>Little is known about the potential beneficial effects of bariatric surgery on brain function in the obese population, in particular with regard to hedonic motivations for food, which play a fundamental role in weight relapse.  Besides malabsorption and restricted food ingestion, patients report post-surgical changes in food preferences and eating behavior. Those psychophysiological and behavioral effects may be related to post-surgical changes in visceral sensory perceptions and endocrinological signaling. Corresponding information is processed by the fronto-mesolimbic system and affects appetite and reward signalling which may influence weight regulation (Mulla, Middelbeek, and Patti 2017, @Nudel_2019).  The reward network entailing the ventromedial prefrontal cortex (vmPFC), the striatum (STR) but also the anterior insula (antIns) has been linked to food valuation processes in decision-making in lean individuals (Bartra, McGuire, and Kable 2013; Hare, Malmaud, and Rangel 2011; Hutcherson et al. 2012; Schmidt et al. 2018; Wiemerslage et al. 2016).  Similarly, several studies have found differences in resting-state activity in reward regions depending on weight status.</w:t>
      </w:r>
    </w:p>
    <w:p>
      <w:pPr>
        <w:pStyle w:val="TextBody"/>
        <w:rPr/>
      </w:pPr>
      <w:r>
        <w:rPr/>
        <w:t>Obese individuals exhibited increased connectivity between frontal and mesolimbic regions and weaker connectivity within regions of the mesolimbic system (encompassing limbic and striatal regions). These differences seemed to normalize, as trends reversed when looking at the resting state of obese individuals after compared to before the surgery (Duan et al. 2020).</w:t>
      </w:r>
    </w:p>
    <w:p>
      <w:pPr>
        <w:pStyle w:val="TextBody"/>
        <w:rPr/>
      </w:pPr>
      <w:r>
        <w:rPr/>
        <w:t>On the other hand, BMI prior to the surgery was associated with changes in connectivity (Duan et al. 2020).</w:t>
      </w:r>
    </w:p>
    <w:p>
      <w:pPr>
        <w:pStyle w:val="TextBody"/>
        <w:rPr/>
      </w:pPr>
      <w:r>
        <w:rPr/>
        <w:t>s concerning such processes following a surgical intervention are inconclusive.</w:t>
      </w:r>
    </w:p>
    <w:p>
      <w:pPr>
        <w:pStyle w:val="TextBody"/>
        <w:rPr/>
      </w:pPr>
      <w:r>
        <w:rPr/>
        <w:t>Weight regulation and energy expenditure is dependent on a complex interplay of external and internal sensory processing, as well as molecular homeostasis regulation. Obesity may be cause or effect of a decompensation of the psychophysiological system that ensures homeostasis. The default mode network is commonly associated with processing of self-referent as well as introspective information, such as hunger sensation [@;@] and appetite (Tregellas et al. 2011).  It is mainly composed of the posterior cingulate cortex (PCC)/precuneus, the medial prefrontal cortex (MPFC) and inferior and lateral parietal cortex (IPC, LPC; approx. BA 39) (Raichle 2015). The right ventral anterior cingulate cortex (VACC), superior frontal cortex (SFC), and inferior temporal cortex (ITC) show weaker but also reliable association with the PCC over the course of one year. Even broader conceptions count left VACC, middle temporal gyrus (MTG), and parahippocampal cortex, although associations with the PCC are not as stable (Chou et al. 2012).  Functional connectivity of this network has been shown to be linked to BMI (Beyer et al. 2017) and altered after bariatric surgery (Olivo et al. 2016). Generally, studies show an increased activation in the default mode network, especially in the precuneus and posterior cingulate cortex (PCC) in obese individuals [Kullmann et al. (2011); @]. A longitudinal study that confirmed the stronger connectivity (of PCC with anterior STG and anterior temporal fusiform gyrus and the Precuneus with the anterior STG). However, default mode connectivity in these regions seemed weakened over the course of one year. Because differences between lean controls and obese individuals that existed prebariatric surgery were no longer detectable 1 year after the surgery, the authors argue for a normalization in functional connectivity(Olivo et al. 2017). This is consistent with other findings of reduction of functional connectivity of these and other regions of the default mode network, such as the VMPFC (Li et al. 2018)  after the surgery.</w:t>
      </w:r>
    </w:p>
    <w:p>
      <w:pPr>
        <w:pStyle w:val="TextBody"/>
        <w:rPr/>
      </w:pPr>
      <w:r>
        <w:rPr/>
        <w:t>The exact mechanisms of how bariatric surgery affects functional plasticity needs to be investigated. Among patients undergoing surgery, change in BMI was negatively correlated with the changes in connectivity of the default mode network, namely between the PCC/precuneus and the DLPFC (Li et al. 2018).</w:t>
      </w:r>
    </w:p>
    <w:p>
      <w:pPr>
        <w:pStyle w:val="TextBody"/>
        <w:rPr/>
      </w:pPr>
      <w:r>
        <w:rPr/>
        <w:t>On the other hand, connectivity also served as a predictor of weight loss after surgery.</w:t>
      </w:r>
    </w:p>
    <w:p>
      <w:pPr>
        <w:pStyle w:val="TextBody"/>
        <w:rPr/>
      </w:pPr>
      <w:r>
        <w:rPr/>
        <w:t>On the other hand, there are also indicators of reduced functional integrity, e.g. for the anterior cingulate cortex (ACC) at resting state compared to lean individuals (Kullmann et al. 2011).</w:t>
      </w:r>
    </w:p>
    <w:p>
      <w:pPr>
        <w:pStyle w:val="TextBody"/>
        <w:rPr/>
      </w:pPr>
      <w:r>
        <w:rPr/>
      </w:r>
    </w:p>
    <w:p>
      <w:pPr>
        <w:pStyle w:val="TextBody"/>
        <w:rPr/>
      </w:pPr>
      <w:r>
        <w:rPr/>
      </w:r>
    </w:p>
    <w:p>
      <w:pPr>
        <w:pStyle w:val="FirstParagraph"/>
        <w:rPr/>
      </w:pPr>
      <w:r>
        <w:rPr/>
        <w:t xml:space="preserve">Over the past decades, the global burden of obesity has increasingly been confronted as a matter of urgency by research. </w:t>
      </w:r>
      <w:r>
        <w:rPr>
          <w:i/>
        </w:rPr>
        <w:t>something about comorbidities</w:t>
      </w:r>
      <w:r>
        <w:rPr/>
        <w:t xml:space="preserve"> Besides metabolic dysfunctions, obesity has been consistently associated with reduced gray matter volume, less intact white matter structure and reduced cognitive function (Beyer et al. 2019; Zhang et al. 2018). Luckily, dietary interventions such as caloric restriction and related metabolic improvements, and weight loss have been suggested to improve neuronal plasticity and cognitive performance (Witte et al. 2009; Zhang et al. 2018; Veronese et al. 2017). In some cases behavioral intervention fail to yield the desired success regarding weight loss. There are non-behavioral alternatives at hand.  Bariatric surgery is one promising option to combat morbid obesity, as it rapidly improves weight status, metabolic dysfunctions, and co-morbidities, such as diabetes [@]. Roux-en-Y gastric bypass (RYGB) is the most common procedure as it not only restricts the food intake by reducing stomach volume but also affects the absorption of macronutrients and the hormonal profile [@].  Other widely used procedures are vertical sleeve gastrectomy (VSG) and gastric banding (GB) which only restrict food consumption. </w:t>
      </w:r>
    </w:p>
    <w:p>
      <w:pPr>
        <w:pStyle w:val="TextBody"/>
        <w:rPr/>
      </w:pPr>
      <w:r>
        <w:rPr/>
        <w:t>Precise mechanisms are yet to be elucidated. As a first step, a comprehensive understanding of the concurrent physiological changes underlying weight loss and recovery is needed. This will inform inferences about potential mechanisms and either support interventions proven to be effective or ideally allow imitating them will less invasive alternatives.</w:t>
      </w:r>
    </w:p>
    <w:p>
      <w:pPr>
        <w:pStyle w:val="TextBody"/>
        <w:rPr/>
      </w:pPr>
      <w:r>
        <w:rPr/>
        <w:t xml:space="preserve">Recently, research focuses have slowly shifted to investigate brain metabolism structural and functional changes after surgery. </w:t>
      </w:r>
    </w:p>
    <w:p>
      <w:pPr>
        <w:pStyle w:val="TextBody"/>
        <w:rPr/>
      </w:pPr>
      <w:r>
        <w:rPr/>
      </w:r>
    </w:p>
    <w:p>
      <w:pPr>
        <w:pStyle w:val="TextBody"/>
        <w:rPr/>
      </w:pPr>
      <w:r>
        <w:rPr/>
        <w:t>As described previously, several studies have investigated the effects of bariatric surgery on the intrinsic functional connectivity in patients. Yet, to our knowledge there is no quasi-experimental study, comparing a cohort of patients to a cohort with similar characteristics but unexposed to the intervention, i.e. bariatric surgery, over an extended time period as would be demanded to draw more substantiated inference (</w:t>
      </w:r>
      <w:r>
        <w:rPr>
          <w:b/>
        </w:rPr>
        <w:t>???</w:t>
      </w:r>
      <w:r>
        <w:rPr/>
        <w:t>).  In this study, we aim to bridge this gap and investigate possible dynamics of within-reward network connectivity before and after bariatric surgery by comparison with a contemporaneously measured waiting-control group. Moreover, we will explore whether the changes in functional connectivity are associated with the amount of weight lost after bariatric surgery treatment in obesity to explore a potential gradient link. In addition, we will investigate potential changes in within-network functional connectivity after surgery in other resting-state networks such as default mode network (DMN). Participants are measured at baseline, at 6 months and at 24 months to capture both phases of rapid weight-loss and maintenance as expected from non-surgical interventions (Shai et al. 2008).</w:t>
      </w:r>
    </w:p>
    <w:p>
      <w:pPr>
        <w:pStyle w:val="Normal"/>
        <w:rPr/>
      </w:pPr>
      <w:r>
        <w:rPr/>
      </w:r>
      <w:r>
        <w:br w:type="page"/>
      </w:r>
    </w:p>
    <w:p>
      <w:pPr>
        <w:pStyle w:val="Heading1"/>
        <w:rPr/>
      </w:pPr>
      <w:bookmarkStart w:id="2" w:name="methods"/>
      <w:r>
        <w:rPr/>
        <w:t>Methods</w:t>
      </w:r>
      <w:bookmarkEnd w:id="2"/>
    </w:p>
    <w:p>
      <w:pPr>
        <w:pStyle w:val="Heading2"/>
        <w:rPr/>
      </w:pPr>
      <w:bookmarkStart w:id="3" w:name="sample-and-study-design"/>
      <w:r>
        <w:rPr/>
        <w:t>Sample and study design</w:t>
      </w:r>
      <w:bookmarkEnd w:id="3"/>
    </w:p>
    <w:p>
      <w:pPr>
        <w:pStyle w:val="FirstParagraph"/>
        <w:rPr/>
      </w:pPr>
      <w:r>
        <w:rPr/>
        <w:t xml:space="preserve">The ADIPOSITAS-Study conducted in the Charité Berlin is a observational, prospective and longitudinal design described in detail by Prehn et al. (2020). Data collection is still ongoing but only data available in April 2019 is used. The procedures followed were in accordance with the Helsinki Declaration. This study was registered at clinicaltrials.gov as NCT01554228 and described in more detailed in the preregistration under </w:t>
      </w:r>
      <w:hyperlink r:id="rId2">
        <w:r>
          <w:rPr>
            <w:rStyle w:val="InternetLink"/>
          </w:rPr>
          <w:t>https://osf.io/mzyxv</w:t>
        </w:r>
      </w:hyperlink>
      <w:r>
        <w:rPr/>
        <w:t xml:space="preserve">.  Participants were recruited from the Center for Bariatric and Metabolic Surgery if they were between age </w:t>
      </w:r>
      <w:r>
        <w:rPr/>
      </w:r>
      <m:oMath xmlns:m="http://schemas.openxmlformats.org/officeDocument/2006/math">
        <m:r>
          <w:rPr>
            <w:rFonts w:ascii="Cambria Math" w:hAnsi="Cambria Math"/>
          </w:rPr>
          <m:t xml:space="preserve">18</m:t>
        </m:r>
      </m:oMath>
      <w:r>
        <w:rPr/>
        <w:t xml:space="preserve"> and </w:t>
      </w:r>
      <w:r>
        <w:rPr/>
      </w:r>
      <m:oMath xmlns:m="http://schemas.openxmlformats.org/officeDocument/2006/math">
        <m:r>
          <w:rPr>
            <w:rFonts w:ascii="Cambria Math" w:hAnsi="Cambria Math"/>
          </w:rPr>
          <m:t xml:space="preserve">70</m:t>
        </m:r>
      </m:oMath>
      <w:r>
        <w:rPr/>
        <w:t xml:space="preserve"> and fulfilled the inclusion criteria. These were, in accordance with BARS guidelines, a failure of conservative obesity treatment and either (1) a BMI </w:t>
      </w:r>
      <w:r>
        <w:rPr/>
      </w:r>
      <m:oMath xmlns:m="http://schemas.openxmlformats.org/officeDocument/2006/math">
        <m:r>
          <w:rPr>
            <w:rFonts w:ascii="Cambria Math" w:hAnsi="Cambria Math"/>
          </w:rPr>
          <m:t xml:space="preserve">40</m:t>
        </m:r>
      </m:oMath>
      <w:r>
        <w:rPr/>
        <w:t xml:space="preserve"> km/m</w:t>
      </w:r>
      <w:r>
        <w:rPr/>
      </w:r>
      <m:oMath xmlns:m="http://schemas.openxmlformats.org/officeDocument/2006/math">
        <m:sSup>
          <m:e/>
          <m:sup>
            <m:r>
              <w:rPr>
                <w:rFonts w:ascii="Cambria Math" w:hAnsi="Cambria Math"/>
              </w:rPr>
              <m:t xml:space="preserve">2</m:t>
            </m:r>
          </m:sup>
        </m:sSup>
      </m:oMath>
      <w:r>
        <w:rPr/>
        <w:t xml:space="preserve"> or (2) a BMI </w:t>
      </w:r>
      <w:r>
        <w:rPr/>
      </w:r>
      <m:oMath xmlns:m="http://schemas.openxmlformats.org/officeDocument/2006/math">
        <m:r>
          <w:rPr>
            <w:rFonts w:ascii="Cambria Math" w:hAnsi="Cambria Math"/>
          </w:rPr>
          <m:t xml:space="preserve">35</m:t>
        </m:r>
      </m:oMath>
      <w:r>
        <w:rPr/>
        <w:t xml:space="preserve"> kg/m</w:t>
      </w:r>
      <w:r>
        <w:rPr/>
      </w:r>
      <m:oMath xmlns:m="http://schemas.openxmlformats.org/officeDocument/2006/math">
        <m:sSup>
          <m:e/>
          <m:sup>
            <m:r>
              <w:rPr>
                <w:rFonts w:ascii="Cambria Math" w:hAnsi="Cambria Math"/>
              </w:rPr>
              <m:t xml:space="preserve">2</m:t>
            </m:r>
          </m:sup>
        </m:sSup>
      </m:oMath>
      <w:r>
        <w:rPr/>
        <w:t xml:space="preserve"> and at least one typical co-morbidity (e.g. type-2 diabetes, hypertension, non-alcoholic fatty liver disease)(Mechanick et al. 2013). Participants with a history of cancer, chronic inflammatory disease and addiction, other severe untreated diseases, brain pathologies identified in the MRI scan or cognitive impairments (MMSE score </w:t>
      </w:r>
      <w:r>
        <w:rPr/>
      </w:r>
      <m:oMath xmlns:m="http://schemas.openxmlformats.org/officeDocument/2006/math">
        <m:r>
          <w:rPr>
            <w:rFonts w:ascii="Cambria Math" w:hAnsi="Cambria Math"/>
          </w:rPr>
          <m:t xml:space="preserve">34</m:t>
        </m:r>
      </m:oMath>
      <w:r>
        <w:rPr/>
        <w:t xml:space="preserve">) were excluded from the study.  Measures were taken at baseline (BL), </w:t>
      </w:r>
      <w:r>
        <w:rPr/>
      </w:r>
      <m:oMath xmlns:m="http://schemas.openxmlformats.org/officeDocument/2006/math">
        <m:r>
          <w:rPr>
            <w:rFonts w:ascii="Cambria Math" w:hAnsi="Cambria Math"/>
          </w:rPr>
          <m:t xml:space="preserve">6</m:t>
        </m:r>
      </m:oMath>
      <w:r>
        <w:rPr/>
        <w:t xml:space="preserve"> (FU1) and </w:t>
      </w:r>
      <w:r>
        <w:rPr/>
      </w:r>
      <m:oMath xmlns:m="http://schemas.openxmlformats.org/officeDocument/2006/math">
        <m:r>
          <w:rPr>
            <w:rFonts w:ascii="Cambria Math" w:hAnsi="Cambria Math"/>
          </w:rPr>
          <m:t xml:space="preserve">12</m:t>
        </m:r>
      </m:oMath>
      <w:r>
        <w:rPr/>
        <w:t xml:space="preserve"> (FU2) months post-surgery or after the baseline appointment but not all participants have complete data for all time points (see Table @ref(tab:tabdescr)). 20 participants had complete data, 16 provided data for two time points and 14 for only one time point. The current sample is the subsample of </w:t>
      </w:r>
      <w:r>
        <w:rPr/>
      </w:r>
      <m:oMath xmlns:m="http://schemas.openxmlformats.org/officeDocument/2006/math">
        <m:r>
          <w:rPr>
            <w:rFonts w:ascii="Cambria Math" w:hAnsi="Cambria Math"/>
          </w:rPr>
          <m:t xml:space="preserve">69</m:t>
        </m:r>
      </m:oMath>
      <w:r>
        <w:rPr/>
        <w:t xml:space="preserve"> subjects that were originally enrolled in the study entailing only subjects that have received MRI. Analyses were performed on all participants that provided at least one data point of fMRI data (detailed information on data availability in @ref(tab:tabsample)).</w:t>
      </w:r>
    </w:p>
    <w:p>
      <w:pPr>
        <w:pStyle w:val="TextBody"/>
        <w:rPr/>
      </w:pPr>
      <w:r>
        <w:rPr/>
        <w:t xml:space="preserve">The final sample entailed morbidly obese individuals (n = 50, 37 female; ages 44.3 </w:t>
      </w:r>
      <w:r>
        <w:rPr/>
      </w:r>
      <m:oMath xmlns:m="http://schemas.openxmlformats.org/officeDocument/2006/math">
        <m:r>
          <w:rPr>
            <w:rFonts w:ascii="Cambria Math" w:hAnsi="Cambria Math"/>
          </w:rPr>
          <m:t xml:space="preserve">±</m:t>
        </m:r>
      </m:oMath>
      <w:r>
        <w:rPr/>
        <w:t xml:space="preserve"> 11.64 SD years (range 21-68), that either underwent surgery (n = 17, 26 female) or were waiting list controls (n = 17, 11 female). The study design was quasi-experimental, as patient in the waiting control list had also been recommended to undergo bariatric surgery, but were still waiting for their health insurance’s approval.</w:t>
      </w:r>
    </w:p>
    <w:p>
      <w:pPr>
        <w:pStyle w:val="Compact"/>
        <w:rPr/>
      </w:pPr>
      <w:r>
        <w:rPr/>
        <w:t xml:space="preserve">Histograms on baseline characteristics revealed, that patients in the control group did not differ notably from the intervention group regarding BMI and log mean FD, and only slightly in distribution of sex and age, the control group had a higher number of male participants (n = 6 vs. n = 10) and a higher mean age (47.25 vs. 39.33).  As intervention, </w:t>
      </w:r>
      <w:r>
        <w:rPr/>
      </w:r>
      <m:oMath xmlns:m="http://schemas.openxmlformats.org/officeDocument/2006/math">
        <m:r>
          <w:rPr>
            <w:rFonts w:ascii="Cambria Math" w:hAnsi="Cambria Math"/>
          </w:rPr>
          <m:t xml:space="preserve">0</m:t>
        </m:r>
      </m:oMath>
      <w:r>
        <w:rPr/>
        <w:t xml:space="preserve"> participants received surgery that combines restrictive and malabsorptive mechanisms (RYGB) and </w:t>
      </w:r>
      <w:r>
        <w:rPr/>
      </w:r>
      <m:oMath xmlns:m="http://schemas.openxmlformats.org/officeDocument/2006/math">
        <m:r>
          <w:rPr>
            <w:rFonts w:ascii="Cambria Math" w:hAnsi="Cambria Math"/>
          </w:rPr>
          <m:t xml:space="preserve">0</m:t>
        </m:r>
      </m:oMath>
      <w:r>
        <w:rPr/>
        <w:t xml:space="preserve"> surgery purely restricting energy intake (VSG: n = </w:t>
      </w:r>
      <w:r>
        <w:rPr/>
      </w:r>
      <m:oMath xmlns:m="http://schemas.openxmlformats.org/officeDocument/2006/math">
        <m:r>
          <w:rPr>
            <w:rFonts w:ascii="Cambria Math" w:hAnsi="Cambria Math"/>
          </w:rPr>
          <m:t xml:space="preserve">0</m:t>
        </m:r>
      </m:oMath>
      <w:r>
        <w:rPr/>
        <w:t xml:space="preserve">, GB: n = </w:t>
      </w:r>
      <w:r>
        <w:rPr/>
      </w:r>
      <m:oMath xmlns:m="http://schemas.openxmlformats.org/officeDocument/2006/math">
        <m:r>
          <w:rPr>
            <w:rFonts w:ascii="Cambria Math" w:hAnsi="Cambria Math"/>
          </w:rPr>
          <m:t xml:space="preserve">0</m:t>
        </m:r>
      </m:oMath>
      <w:r>
        <w:rPr/>
        <w:t>).</w:t>
      </w:r>
    </w:p>
    <w:p>
      <w:pPr>
        <w:pStyle w:val="TextBody"/>
        <w:rPr/>
      </w:pPr>
      <w:r>
        <w:rPr/>
        <w:t>Subjects arrived in the morning (between 07:00 and 12:00) after an overnight fast. They underwent medical assessments including an interview, blood draw and anthropometric measurements before having a one our break for STANDARDIZED?? breakfast. MRI scanning was done after further psychological tests (for details see Prehn et al. (2020)).</w:t>
      </w:r>
    </w:p>
    <w:p>
      <w:pPr>
        <w:pStyle w:val="TextBody"/>
        <w:rPr/>
      </w:pPr>
      <w:r>
        <w:rPr/>
        <w:drawing>
          <wp:inline distT="0" distB="0" distL="114935" distR="114935">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p>
    <w:p>
      <w:pPr>
        <w:pStyle w:val="Heading2"/>
        <w:rPr/>
      </w:pPr>
      <w:bookmarkStart w:id="4" w:name="fmri-acquisition"/>
      <w:r>
        <w:rPr/>
        <w:t>fMRI acquisition</w:t>
      </w:r>
      <w:bookmarkEnd w:id="4"/>
    </w:p>
    <w:p>
      <w:pPr>
        <w:pStyle w:val="FirstParagraph"/>
        <w:rPr/>
      </w:pPr>
      <w:r>
        <w:rPr/>
        <w:t>MRI images were retrieved with a 12-channel head coil of a 3 Tesla Siemens Trio system.  T1-weighted anatomical images were acquired as described in Prehn et al. (2020) (with MPRAGE, TR = 1900 ms, TE = 2.52 ms, a = 9, voxel size = 1 x 1 x 1 mm</w:t>
      </w:r>
      <w:r>
        <w:rPr/>
      </w:r>
      <m:oMath xmlns:m="http://schemas.openxmlformats.org/officeDocument/2006/math">
        <m:sSup>
          <m:e/>
          <m:sup>
            <m:r>
              <w:rPr>
                <w:rFonts w:ascii="Cambria Math" w:hAnsi="Cambria Math"/>
              </w:rPr>
              <m:t xml:space="preserve">3</m:t>
            </m:r>
          </m:sup>
        </m:sSup>
      </m:oMath>
      <w:r>
        <w:rPr/>
        <w:t>, 192 sagital slices).  Resting state gradient echo were acquired in 34 slices at an 90</w:t>
      </w:r>
      <w:r>
        <w:rPr/>
      </w:r>
      <m:oMath xmlns:m="http://schemas.openxmlformats.org/officeDocument/2006/math">
        <m:sSup>
          <m:e/>
          <m:sup>
            <m:r>
              <w:rPr>
                <w:rFonts w:ascii="Cambria Math" w:hAnsi="Cambria Math"/>
              </w:rPr>
              <m:t xml:space="preserve">∘</m:t>
            </m:r>
          </m:sup>
        </m:sSup>
      </m:oMath>
      <w:r>
        <w:rPr/>
        <w:t xml:space="preserve"> flip angel with a repetition time (TR) of 2.3 s and echo time (TE) of 30 ms; image matrix = 64 x 64 voxel with in-plane resolution of 3 mm x 3 mm and a slice thickness of 4 mm, 150 volumes. The total acquisition time was 5:45 minutes. Field map or phase-encode reversed images were not acquired. Participants were instructed to close their eyes but to remain awake during scanning.</w:t>
      </w:r>
    </w:p>
    <w:p>
      <w:pPr>
        <w:pStyle w:val="Heading2"/>
        <w:rPr/>
      </w:pPr>
      <w:bookmarkStart w:id="5" w:name="pre-proceessing"/>
      <w:r>
        <w:rPr/>
        <w:t>Pre-proceessing</w:t>
      </w:r>
      <w:bookmarkEnd w:id="5"/>
    </w:p>
    <w:p>
      <w:pPr>
        <w:pStyle w:val="FirstParagraph"/>
        <w:rPr/>
      </w:pPr>
      <w:r>
        <w:rPr/>
        <w:t xml:space="preserve">Data preprocessing was conducted with FSL and Freesurfer using a nipype (version 14.0.2) workflow implemented in python 2.7. The preprocessing workflow included anatomical, functional and diffusion-weighted imaging preprocessing and wrapped modules from FSL version 6.0.1, Freesurfer version 6.0.0p1, ANTS . Details have been published on github </w:t>
      </w:r>
      <w:r>
        <w:rPr>
          <w:rStyle w:val="InternetLink"/>
        </w:rPr>
        <w:t>https//:.???.com</w:t>
      </w:r>
      <w:r>
        <w:rPr/>
        <w:t xml:space="preserve">  The T1-weighted image was segmented to remove non-brain tissue and together with the functional images normalized to a default brain template from the Monteal Neurological Institute (MNI) space. Functional images were smoothed with an </w:t>
      </w:r>
      <w:r>
        <w:rPr/>
      </w:r>
      <m:oMath xmlns:m="http://schemas.openxmlformats.org/officeDocument/2006/math">
        <m:r>
          <w:rPr>
            <w:rFonts w:ascii="Cambria Math" w:hAnsi="Cambria Math"/>
          </w:rPr>
          <m:t xml:space="preserve">0</m:t>
        </m:r>
      </m:oMath>
      <w:r>
        <w:rPr/>
        <w:t xml:space="preserve"> mm FWHM Gaussian kernel.</w:t>
      </w:r>
    </w:p>
    <w:p>
      <w:pPr>
        <w:pStyle w:val="TextBody"/>
        <w:rPr/>
      </w:pPr>
      <w:r>
        <w:rPr/>
        <w:t>Preprocessing pipeline included removal of first four volumes and a transformation of the blood oxygen level dependent (BOLD) time series into the subject’s anatomical space. This transform combines parameters from motion correction (FSL’s MCFLIRT), fieldmap distortion correction (based on fieldmap and FSL’s FUGUE) and coregistration to the subject’s anatomical template space (using Freesurfer’s bbregister and the transform from individual to longitudinal template space in Freesurfer’s longitudinal processing stream).</w:t>
      </w:r>
    </w:p>
    <w:p>
      <w:pPr>
        <w:pStyle w:val="TextBody"/>
        <w:rPr/>
      </w:pPr>
      <w:r>
        <w:rPr/>
        <w:t>Volumes were further preprocessed with ICA-AROMA and compCor (CC) and, optionally, with a subsequent global signal regression (GSR) (Ciric et al. 2017; Parkes et al. 2018) to reduce the effect of physiological noise and head motion on the connectivity estimates. As global signal regression is very efficient in removing the correlation of head motion and connectivity dependence, but is known to introduces spatial dependency and spurious correlations, we performed GSR after ICA-AROMA in a separate sensitivity analysis.</w:t>
      </w:r>
    </w:p>
    <w:p>
      <w:pPr>
        <w:pStyle w:val="Heading3"/>
        <w:rPr/>
      </w:pPr>
      <w:bookmarkStart w:id="6" w:name="seed-region-of-interest-roi"/>
      <w:r>
        <w:rPr/>
        <w:t>Seed region of interest (ROI)</w:t>
      </w:r>
      <w:bookmarkEnd w:id="6"/>
    </w:p>
    <w:p>
      <w:pPr>
        <w:pStyle w:val="FirstParagraph"/>
        <w:rPr/>
      </w:pPr>
      <w:r>
        <w:rPr/>
        <w:t>Seed regions were … mm spheres in the precuneus (MNI: x,y,z = x,x,x) associated with the default mode network, and the Nucleus Accumbens (MNI: x,y,z = x,x,x) by averaging the time series across voxels.</w:t>
      </w:r>
    </w:p>
    <w:p>
      <w:pPr>
        <w:pStyle w:val="Heading3"/>
        <w:rPr/>
      </w:pPr>
      <w:bookmarkStart w:id="7" w:name="connectivity-maps"/>
      <w:r>
        <w:rPr/>
        <w:t>Connectivity maps</w:t>
      </w:r>
      <w:bookmarkEnd w:id="7"/>
    </w:p>
    <w:p>
      <w:pPr>
        <w:pStyle w:val="FirstParagraph"/>
        <w:rPr/>
      </w:pPr>
      <w:r>
        <w:rPr/>
        <w:t>Voxel-wise seed-based connectivity maps in the individual subject’s space (which was coregistered to the Freesurfer longitudinally preprocessed timepoint (more details)) were calculated using Pearson’s correlation between average seed time series from pre-defined ROIs within the reward network (Nucleus accumbens, NAcc) and the DMN (precuneus, PCC). Subsequently, r-to-z transform was applied to the correlation to obtain normally distributed functional connectivity (using nilearn, nipype and python). Then, we will transform the connectivity maps into MNI space with a non-linear warp derived from anatomical preprocessing of the longitudinally preprocessed timepoints (using ANTS).</w:t>
      </w:r>
    </w:p>
    <w:p>
      <w:pPr>
        <w:pStyle w:val="Heading3"/>
        <w:rPr/>
      </w:pPr>
      <w:bookmarkStart w:id="8" w:name="quality-assessment"/>
      <w:r>
        <w:rPr/>
        <w:t>Quality Assessment</w:t>
      </w:r>
      <w:bookmarkEnd w:id="8"/>
    </w:p>
    <w:p>
      <w:pPr>
        <w:pStyle w:val="FirstParagraph"/>
        <w:rPr/>
      </w:pPr>
      <w:r>
        <w:rPr/>
        <w:t>Participants in which head motion artifacts affected the T1-weighted image preprocessing (e.g. caused Freesurfer to fail or perform very poorly, i.e. rated “Failed” according to Klapwijk et al. (2019)) were excluded because a subject’s motion is highly similar across scans and we thus suspect the fMRI data to also suffer from motion artifacts in these subjects. As the expected average head motion is high (Hodgson et al. 2016), we did not exclude any other participants based on head motion estimates because it is difficult to determine a critical threshold in this sample.  We therefore apply best-practice motion correction (ICA-AROMA and CC, plus optionally GSR) and monitor the reduction of motion-related artifact according to current recommendations (Ciric et al. 2018). As quality checks statistical analysis were performed on both with and without global signal regression, considering the controversial discussion about GSR introducing negative correlations and spatial bias into connectivity data (Ciric et al. 2017; Murphy and Fox 2017). Additionally, mean framewise displacement (FD) was extracted from 6 translational/rotational motion parameters of the whole time series according to Power et al. (2012), log-transformed and examined within and separate from the main models.</w:t>
      </w:r>
    </w:p>
    <w:p>
      <w:pPr>
        <w:pStyle w:val="Heading3"/>
        <w:rPr/>
      </w:pPr>
      <w:bookmarkStart w:id="9" w:name="outcomes"/>
      <w:r>
        <w:rPr/>
        <w:t>Outcomes</w:t>
      </w:r>
      <w:bookmarkEnd w:id="9"/>
    </w:p>
    <w:p>
      <w:pPr>
        <w:pStyle w:val="FirstParagraph"/>
        <w:rPr/>
      </w:pPr>
      <w:r>
        <w:rPr/>
        <w:t>The main outcome measure was the aggregated functional connectivity (FC) values for the two ROI NAcc and PCC.</w:t>
      </w:r>
    </w:p>
    <w:p>
      <w:pPr>
        <w:pStyle w:val="Heading2"/>
        <w:rPr/>
      </w:pPr>
      <w:bookmarkStart w:id="10" w:name="analysis"/>
      <w:r>
        <w:rPr/>
        <w:t>Analysis</w:t>
      </w:r>
      <w:bookmarkEnd w:id="10"/>
    </w:p>
    <w:p>
      <w:pPr>
        <w:pStyle w:val="FirstParagraph"/>
        <w:rPr/>
      </w:pPr>
      <w:r>
        <w:rPr/>
        <w:t xml:space="preserve">Statistical analysis were performed in MATLAB using the sandwich estimator (SwE) toolbox 2.2.1 (Guillaume et al. 2014) as implemented in SPM12 and R version 3.6.1 (Team and others 2013). During analyses an implicit mask and an explicit mask were used. Therefore, the MNI ICBM 2009a Nonlinear Symmetric brain mask </w:t>
      </w:r>
      <w:hyperlink r:id="rId4">
        <w:r>
          <w:rPr>
            <w:rStyle w:val="InternetLink"/>
          </w:rPr>
          <w:t>http://www.bic.mni.mcgill.ca/ServicesAtlases/ICBM152NLin2009</w:t>
        </w:r>
      </w:hyperlink>
      <w:r>
        <w:rPr/>
        <w:t xml:space="preserve"> were re-sampled to 3 x 3 x 3 mm</w:t>
      </w:r>
      <w:r>
        <w:rPr/>
      </w:r>
      <m:oMath xmlns:m="http://schemas.openxmlformats.org/officeDocument/2006/math">
        <m:sSup>
          <m:e/>
          <m:sup>
            <m:r>
              <w:rPr>
                <w:rFonts w:ascii="Cambria Math" w:hAnsi="Cambria Math"/>
              </w:rPr>
              <m:t xml:space="preserve">3</m:t>
            </m:r>
          </m:sup>
        </m:sSup>
      </m:oMath>
      <w:r>
        <w:rPr/>
        <w:t xml:space="preserve"> and binarized at threshold </w:t>
      </w:r>
      <w:r>
        <w:rPr/>
      </w:r>
      <m:oMath xmlns:m="http://schemas.openxmlformats.org/officeDocument/2006/math">
        <m:r>
          <w:rPr>
            <w:rFonts w:ascii="Cambria Math" w:hAnsi="Cambria Math"/>
          </w:rPr>
          <m:t xml:space="preserve">0.5</m:t>
        </m:r>
      </m:oMath>
      <w:r>
        <w:rPr/>
        <w:t>.</w:t>
      </w:r>
    </w:p>
    <w:p>
      <w:pPr>
        <w:pStyle w:val="TextBody"/>
        <w:rPr/>
      </w:pPr>
      <w:r>
        <w:rPr/>
        <w:t xml:space="preserve">Two theoretically derived models were set up. The first model was aimed at testing the interaction of time and group: </w:t>
      </w:r>
      <w:r>
        <w:rPr/>
      </w:r>
      <m:oMath xmlns:m="http://schemas.openxmlformats.org/officeDocument/2006/math">
        <m:r>
          <w:rPr>
            <w:rFonts w:ascii="Cambria Math" w:hAnsi="Cambria Math"/>
          </w:rPr>
          <m:t xml:space="preserve">F</m:t>
        </m:r>
        <m:r>
          <w:rPr>
            <w:rFonts w:ascii="Cambria Math" w:hAnsi="Cambria Math"/>
          </w:rPr>
          <m:t xml:space="preserve">C</m:t>
        </m:r>
        <m:r>
          <w:rPr>
            <w:rFonts w:ascii="Cambria Math" w:hAnsi="Cambria Math"/>
          </w:rPr>
          <m:t xml:space="preserve">=</m:t>
        </m:r>
        <m:r>
          <w:rPr>
            <w:rFonts w:ascii="Cambria Math" w:hAnsi="Cambria Math"/>
          </w:rPr>
          <m:t xml:space="preserve">g</m:t>
        </m:r>
        <m:r>
          <w:rPr>
            <w:rFonts w:ascii="Cambria Math" w:hAnsi="Cambria Math"/>
          </w:rPr>
          <m:t xml:space="preserve">r</m:t>
        </m:r>
        <m:r>
          <w:rPr>
            <w:rFonts w:ascii="Cambria Math" w:hAnsi="Cambria Math"/>
          </w:rPr>
          <m:t xml:space="preserve">o</m:t>
        </m:r>
        <m:r>
          <w:rPr>
            <w:rFonts w:ascii="Cambria Math" w:hAnsi="Cambria Math"/>
          </w:rPr>
          <m:t xml:space="preserve">u</m:t>
        </m:r>
        <m:r>
          <w:rPr>
            <w:rFonts w:ascii="Cambria Math" w:hAnsi="Cambria Math"/>
          </w:rPr>
          <m:t xml:space="preserve">p</m:t>
        </m:r>
        <m:r>
          <w:rPr>
            <w:rFonts w:ascii="Cambria Math" w:hAnsi="Cambria Math"/>
          </w:rPr>
          <m:t xml:space="preserve">+</m:t>
        </m:r>
        <m:r>
          <w:rPr>
            <w:rFonts w:ascii="Cambria Math" w:hAnsi="Cambria Math"/>
          </w:rPr>
          <m:t xml:space="preserve">t</m:t>
        </m:r>
        <m:r>
          <w:rPr>
            <w:rFonts w:ascii="Cambria Math" w:hAnsi="Cambria Math"/>
          </w:rPr>
          <m:t xml:space="preserve">i</m:t>
        </m:r>
        <m:r>
          <w:rPr>
            <w:rFonts w:ascii="Cambria Math" w:hAnsi="Cambria Math"/>
          </w:rPr>
          <m:t xml:space="preserve">m</m:t>
        </m:r>
        <m:r>
          <w:rPr>
            <w:rFonts w:ascii="Cambria Math" w:hAnsi="Cambria Math"/>
          </w:rPr>
          <m:t xml:space="preserve">e</m:t>
        </m:r>
        <m:r>
          <w:rPr>
            <w:rFonts w:ascii="Cambria Math" w:hAnsi="Cambria Math"/>
          </w:rPr>
          <m:t xml:space="preserve">+</m:t>
        </m:r>
        <m:r>
          <w:rPr>
            <w:rFonts w:ascii="Cambria Math" w:hAnsi="Cambria Math"/>
          </w:rPr>
          <m:t xml:space="preserve">g</m:t>
        </m:r>
        <m:r>
          <w:rPr>
            <w:rFonts w:ascii="Cambria Math" w:hAnsi="Cambria Math"/>
          </w:rPr>
          <m:t xml:space="preserve">r</m:t>
        </m:r>
        <m:r>
          <w:rPr>
            <w:rFonts w:ascii="Cambria Math" w:hAnsi="Cambria Math"/>
          </w:rPr>
          <m:t xml:space="preserve">o</m:t>
        </m:r>
        <m:r>
          <w:rPr>
            <w:rFonts w:ascii="Cambria Math" w:hAnsi="Cambria Math"/>
          </w:rPr>
          <m:t xml:space="preserve">u</m:t>
        </m:r>
        <m:r>
          <w:rPr>
            <w:rFonts w:ascii="Cambria Math" w:hAnsi="Cambria Math"/>
          </w:rPr>
          <m:t xml:space="preserve">p</m:t>
        </m:r>
        <m:r>
          <w:rPr>
            <w:rFonts w:ascii="Cambria Math" w:hAnsi="Cambria Math"/>
          </w:rPr>
          <m:t xml:space="preserve">∗</m:t>
        </m:r>
        <m:r>
          <w:rPr>
            <w:rFonts w:ascii="Cambria Math" w:hAnsi="Cambria Math"/>
          </w:rPr>
          <m:t xml:space="preserve">t</m:t>
        </m:r>
        <m:r>
          <w:rPr>
            <w:rFonts w:ascii="Cambria Math" w:hAnsi="Cambria Math"/>
          </w:rPr>
          <m:t xml:space="preserve">i</m:t>
        </m:r>
        <m:r>
          <w:rPr>
            <w:rFonts w:ascii="Cambria Math" w:hAnsi="Cambria Math"/>
          </w:rPr>
          <m:t xml:space="preserve">m</m:t>
        </m:r>
        <m:r>
          <w:rPr>
            <w:rFonts w:ascii="Cambria Math" w:hAnsi="Cambria Math"/>
          </w:rPr>
          <m:t xml:space="preserve">e</m:t>
        </m:r>
      </m:oMath>
      <w:r>
        <w:rPr/>
        <w:t xml:space="preserve">. The second model on the influence of between-subject differences in average BMI and longitudinal within-subject change in BMI was specified as follows: </w:t>
      </w:r>
      <w:r>
        <w:rPr/>
      </w:r>
      <m:oMath xmlns:m="http://schemas.openxmlformats.org/officeDocument/2006/math">
        <m:r>
          <w:rPr>
            <w:rFonts w:ascii="Cambria Math" w:hAnsi="Cambria Math"/>
          </w:rPr>
          <m:t xml:space="preserve">F</m:t>
        </m:r>
        <m:r>
          <w:rPr>
            <w:rFonts w:ascii="Cambria Math" w:hAnsi="Cambria Math"/>
          </w:rPr>
          <m:t xml:space="preserve">C</m:t>
        </m:r>
        <m:r>
          <w:rPr>
            <w:rFonts w:ascii="Cambria Math" w:hAnsi="Cambria Math"/>
          </w:rPr>
          <m:t xml:space="preserve">=</m:t>
        </m:r>
        <m:r>
          <w:rPr>
            <w:rFonts w:ascii="Cambria Math" w:hAnsi="Cambria Math"/>
          </w:rPr>
          <m:t xml:space="preserve">b</m:t>
        </m:r>
        <m:r>
          <w:rPr>
            <w:rFonts w:ascii="Cambria Math" w:hAnsi="Cambria Math"/>
          </w:rPr>
          <m:t xml:space="preserve">e</m:t>
        </m:r>
        <m:r>
          <w:rPr>
            <w:rFonts w:ascii="Cambria Math" w:hAnsi="Cambria Math"/>
          </w:rPr>
          <m:t xml:space="preserve">t</m:t>
        </m:r>
        <m:r>
          <w:rPr>
            <w:rFonts w:ascii="Cambria Math" w:hAnsi="Cambria Math"/>
          </w:rPr>
          <m:t xml:space="preserve">w</m:t>
        </m:r>
        <m:r>
          <w:rPr>
            <w:rFonts w:ascii="Cambria Math" w:hAnsi="Cambria Math"/>
          </w:rPr>
          <m:t xml:space="preserve">e</m:t>
        </m:r>
        <m:r>
          <w:rPr>
            <w:rFonts w:ascii="Cambria Math" w:hAnsi="Cambria Math"/>
          </w:rPr>
          <m:t xml:space="preserve">e</m:t>
        </m:r>
        <m:r>
          <w:rPr>
            <w:rFonts w:ascii="Cambria Math" w:hAnsi="Cambria Math"/>
          </w:rPr>
          <m:t xml:space="preserve">n</m:t>
        </m:r>
        <m:r>
          <w:rPr>
            <w:rFonts w:ascii="Cambria Math" w:hAnsi="Cambria Math"/>
          </w:rPr>
          <m:t xml:space="preserve">−</m:t>
        </m:r>
        <m:r>
          <w:rPr>
            <w:rFonts w:ascii="Cambria Math" w:hAnsi="Cambria Math"/>
          </w:rPr>
          <m:t xml:space="preserve">s</m:t>
        </m:r>
        <m:r>
          <w:rPr>
            <w:rFonts w:ascii="Cambria Math" w:hAnsi="Cambria Math"/>
          </w:rPr>
          <m:t xml:space="preserve">u</m:t>
        </m:r>
        <m:r>
          <w:rPr>
            <w:rFonts w:ascii="Cambria Math" w:hAnsi="Cambria Math"/>
          </w:rPr>
          <m:t xml:space="preserve">b</m:t>
        </m:r>
        <m:r>
          <w:rPr>
            <w:rFonts w:ascii="Cambria Math" w:hAnsi="Cambria Math"/>
          </w:rPr>
          <m:t xml:space="preserve">j</m:t>
        </m:r>
        <m:r>
          <w:rPr>
            <w:rFonts w:ascii="Cambria Math" w:hAnsi="Cambria Math"/>
          </w:rPr>
          <m:t xml:space="preserve">e</m:t>
        </m:r>
        <m:r>
          <w:rPr>
            <w:rFonts w:ascii="Cambria Math" w:hAnsi="Cambria Math"/>
          </w:rPr>
          <m:t xml:space="preserve">c</m:t>
        </m:r>
        <m:r>
          <w:rPr>
            <w:rFonts w:ascii="Cambria Math" w:hAnsi="Cambria Math"/>
          </w:rPr>
          <m:t xml:space="preserve">t</m:t>
        </m:r>
        <m:r>
          <w:rPr>
            <w:rFonts w:ascii="Cambria Math" w:hAnsi="Cambria Math"/>
          </w:rPr>
          <m:t xml:space="preserve">B</m:t>
        </m:r>
        <m:r>
          <w:rPr>
            <w:rFonts w:ascii="Cambria Math" w:hAnsi="Cambria Math"/>
          </w:rPr>
          <m:t xml:space="preserve">M</m:t>
        </m:r>
        <m:r>
          <w:rPr>
            <w:rFonts w:ascii="Cambria Math" w:hAnsi="Cambria Math"/>
          </w:rPr>
          <m:t xml:space="preserve">I</m:t>
        </m:r>
        <m:r>
          <w:rPr>
            <w:rFonts w:ascii="Cambria Math" w:hAnsi="Cambria Math"/>
          </w:rPr>
          <m:t xml:space="preserve">+</m:t>
        </m:r>
        <m:r>
          <w:rPr>
            <w:rFonts w:ascii="Cambria Math" w:hAnsi="Cambria Math"/>
          </w:rPr>
          <m:t xml:space="preserve">w</m:t>
        </m:r>
        <m:r>
          <w:rPr>
            <w:rFonts w:ascii="Cambria Math" w:hAnsi="Cambria Math"/>
          </w:rPr>
          <m:t xml:space="preserve">i</m:t>
        </m:r>
        <m:r>
          <w:rPr>
            <w:rFonts w:ascii="Cambria Math" w:hAnsi="Cambria Math"/>
          </w:rPr>
          <m:t xml:space="preserve">t</m:t>
        </m:r>
        <m:r>
          <w:rPr>
            <w:rFonts w:ascii="Cambria Math" w:hAnsi="Cambria Math"/>
          </w:rPr>
          <m:t xml:space="preserve">h</m:t>
        </m:r>
        <m:r>
          <w:rPr>
            <w:rFonts w:ascii="Cambria Math" w:hAnsi="Cambria Math"/>
          </w:rPr>
          <m:t xml:space="preserve">i</m:t>
        </m:r>
        <m:r>
          <w:rPr>
            <w:rFonts w:ascii="Cambria Math" w:hAnsi="Cambria Math"/>
          </w:rPr>
          <m:t xml:space="preserve">n</m:t>
        </m:r>
        <m:r>
          <w:rPr>
            <w:rFonts w:ascii="Cambria Math" w:hAnsi="Cambria Math"/>
          </w:rPr>
          <m:t xml:space="preserve">−</m:t>
        </m:r>
        <m:r>
          <w:rPr>
            <w:rFonts w:ascii="Cambria Math" w:hAnsi="Cambria Math"/>
          </w:rPr>
          <m:t xml:space="preserve">s</m:t>
        </m:r>
        <m:r>
          <w:rPr>
            <w:rFonts w:ascii="Cambria Math" w:hAnsi="Cambria Math"/>
          </w:rPr>
          <m:t xml:space="preserve">u</m:t>
        </m:r>
        <m:r>
          <w:rPr>
            <w:rFonts w:ascii="Cambria Math" w:hAnsi="Cambria Math"/>
          </w:rPr>
          <m:t xml:space="preserve">b</m:t>
        </m:r>
        <m:r>
          <w:rPr>
            <w:rFonts w:ascii="Cambria Math" w:hAnsi="Cambria Math"/>
          </w:rPr>
          <m:t xml:space="preserve">j</m:t>
        </m:r>
        <m:r>
          <w:rPr>
            <w:rFonts w:ascii="Cambria Math" w:hAnsi="Cambria Math"/>
          </w:rPr>
          <m:t xml:space="preserve">e</m:t>
        </m:r>
        <m:r>
          <w:rPr>
            <w:rFonts w:ascii="Cambria Math" w:hAnsi="Cambria Math"/>
          </w:rPr>
          <m:t xml:space="preserve">c</m:t>
        </m:r>
        <m:r>
          <w:rPr>
            <w:rFonts w:ascii="Cambria Math" w:hAnsi="Cambria Math"/>
          </w:rPr>
          <m:t xml:space="preserve">t</m:t>
        </m:r>
        <m:r>
          <w:rPr>
            <w:rFonts w:ascii="Cambria Math" w:hAnsi="Cambria Math"/>
          </w:rPr>
          <m:t xml:space="preserve">B</m:t>
        </m:r>
        <m:r>
          <w:rPr>
            <w:rFonts w:ascii="Cambria Math" w:hAnsi="Cambria Math"/>
          </w:rPr>
          <m:t xml:space="preserve">M</m:t>
        </m:r>
        <m:r>
          <w:rPr>
            <w:rFonts w:ascii="Cambria Math" w:hAnsi="Cambria Math"/>
          </w:rPr>
          <m:t xml:space="preserve">I</m:t>
        </m:r>
      </m:oMath>
      <w:r>
        <w:rPr/>
        <w:t xml:space="preserve">. These were examined each for correlation maps of two different seed regions (NAcc / PCC), and for the purpose of comparison for correlation maps of two different preprocessing pipelines (only AROMA+CC / with GSR)), with two different covariate sets (with/ without mean FD), resulting in </w:t>
      </w:r>
      <w:r>
        <w:rPr/>
      </w:r>
      <m:oMath xmlns:m="http://schemas.openxmlformats.org/officeDocument/2006/math">
        <m:r>
          <w:rPr>
            <w:rFonts w:ascii="Cambria Math" w:hAnsi="Cambria Math"/>
          </w:rPr>
          <m:t xml:space="preserve">16</m:t>
        </m:r>
      </m:oMath>
      <w:r>
        <w:rPr/>
        <w:t xml:space="preserve"> a priori planned analyses. Initially, analyses were run with a brain mask but after post hoc considerations detailed below, models were re-run with a grey matter mask which reduced the number of tests (voxels of interest) from </w:t>
      </w:r>
      <w:r>
        <w:rPr/>
      </w:r>
      <m:oMath xmlns:m="http://schemas.openxmlformats.org/officeDocument/2006/math">
        <m:r>
          <w:rPr>
            <w:rFonts w:ascii="Cambria Math" w:hAnsi="Cambria Math"/>
          </w:rPr>
          <m:t xml:space="preserve">52378</m:t>
        </m:r>
      </m:oMath>
      <w:r>
        <w:rPr/>
        <w:t xml:space="preserve"> to </w:t>
      </w:r>
      <w:r>
        <w:rPr/>
      </w:r>
      <m:oMath xmlns:m="http://schemas.openxmlformats.org/officeDocument/2006/math">
        <m:r>
          <w:rPr>
            <w:rFonts w:ascii="Cambria Math" w:hAnsi="Cambria Math"/>
          </w:rPr>
          <m:t xml:space="preserve">29451</m:t>
        </m:r>
      </m:oMath>
      <w:r>
        <w:rPr/>
        <w:t xml:space="preserve">. As a result a total of </w:t>
      </w:r>
      <w:r>
        <w:rPr/>
      </w:r>
      <m:oMath xmlns:m="http://schemas.openxmlformats.org/officeDocument/2006/math">
        <m:r>
          <w:rPr>
            <w:rFonts w:ascii="Cambria Math" w:hAnsi="Cambria Math"/>
          </w:rPr>
          <m:t xml:space="preserve">32</m:t>
        </m:r>
      </m:oMath>
      <w:r>
        <w:rPr/>
        <w:t xml:space="preserve"> different analyses were performed. Computation with the grey matter mask were exploratory and deviate from the preregistration.</w:t>
      </w:r>
    </w:p>
    <w:p>
      <w:pPr>
        <w:pStyle w:val="TextBody"/>
        <w:rPr/>
      </w:pPr>
      <w:r>
        <w:rPr/>
        <w:t>The marginal model implemented via the SwE toolbox implicitly accounts for random effects without the need to specify them through the error term. It therefore accommodates any repeated measurement covariance structures. We used a modified SwE assuming different covariance structures for the intervention and the control group because of their unbalanced sample size, so heteroscedasticity would be considered.</w:t>
      </w:r>
    </w:p>
    <w:p>
      <w:pPr>
        <w:pStyle w:val="TextBody"/>
        <w:rPr/>
      </w:pPr>
      <w:r>
        <w:rPr/>
        <w:t xml:space="preserve">For the first model, time was introduced as factor because did not assume strict linearity for the increase in connectivity and sought to increase power to detect specific trends. The resulting flexible factorial design  contained one regressor for each time point per group. For the second and third model, we calculated the centered mean BMI and log mean FD per subject and the intra-subject-centered BMI as proposed by Guillaume et al. (2014). With a model containing average BMI and longitudinal change per subject, we investigated potential effects ………….. on the complete sample and subsequently in a exploratory fashion for the intervention group only as the effect of longitudinal change in BMI was expected to be driven by this subsample.  Age at baseline, sex, and log mean framewise displacement (FD) were entered into the first and second model as nuisance variables. Age and sex were between-subject covariates while FD is time-varying. Mean FD was log-transformed and age was demeaned by subtracting the overall mean across subjects and time points. As change in FD and change in BMI share variance (Beyer et al. 2019), the inclusion of log mean FD may be disputed and done optionally.  For that reason, we performed each analysis separately one with mean FD and without. Differences in results will be reported. For a better understanding of the unique contribution of average and longitudinal change FD measures, we employed a third post hoc model to disentangle the effects: </w:t>
      </w:r>
      <w:r>
        <w:rPr/>
      </w:r>
      <m:oMath xmlns:m="http://schemas.openxmlformats.org/officeDocument/2006/math">
        <m:r>
          <w:rPr>
            <w:rFonts w:ascii="Cambria Math" w:hAnsi="Cambria Math"/>
          </w:rPr>
          <m:t xml:space="preserve">F</m:t>
        </m:r>
        <m:r>
          <w:rPr>
            <w:rFonts w:ascii="Cambria Math" w:hAnsi="Cambria Math"/>
          </w:rPr>
          <m:t xml:space="preserve">C</m:t>
        </m:r>
        <m:r>
          <w:rPr>
            <w:rFonts w:ascii="Cambria Math" w:hAnsi="Cambria Math"/>
          </w:rPr>
          <m:t xml:space="preserve">=</m:t>
        </m:r>
        <m:r>
          <w:rPr>
            <w:rFonts w:ascii="Cambria Math" w:hAnsi="Cambria Math"/>
          </w:rPr>
          <m:t xml:space="preserve">b</m:t>
        </m:r>
        <m:r>
          <w:rPr>
            <w:rFonts w:ascii="Cambria Math" w:hAnsi="Cambria Math"/>
          </w:rPr>
          <m:t xml:space="preserve">e</m:t>
        </m:r>
        <m:r>
          <w:rPr>
            <w:rFonts w:ascii="Cambria Math" w:hAnsi="Cambria Math"/>
          </w:rPr>
          <m:t xml:space="preserve">t</m:t>
        </m:r>
        <m:r>
          <w:rPr>
            <w:rFonts w:ascii="Cambria Math" w:hAnsi="Cambria Math"/>
          </w:rPr>
          <m:t xml:space="preserve">w</m:t>
        </m:r>
        <m:r>
          <w:rPr>
            <w:rFonts w:ascii="Cambria Math" w:hAnsi="Cambria Math"/>
          </w:rPr>
          <m:t xml:space="preserve">e</m:t>
        </m:r>
        <m:r>
          <w:rPr>
            <w:rFonts w:ascii="Cambria Math" w:hAnsi="Cambria Math"/>
          </w:rPr>
          <m:t xml:space="preserve">e</m:t>
        </m:r>
        <m:r>
          <w:rPr>
            <w:rFonts w:ascii="Cambria Math" w:hAnsi="Cambria Math"/>
          </w:rPr>
          <m:t xml:space="preserve">n</m:t>
        </m:r>
        <m:r>
          <w:rPr>
            <w:rFonts w:ascii="Cambria Math" w:hAnsi="Cambria Math"/>
          </w:rPr>
          <m:t xml:space="preserve">−</m:t>
        </m:r>
        <m:r>
          <w:rPr>
            <w:rFonts w:ascii="Cambria Math" w:hAnsi="Cambria Math"/>
          </w:rPr>
          <m:t xml:space="preserve">s</m:t>
        </m:r>
        <m:r>
          <w:rPr>
            <w:rFonts w:ascii="Cambria Math" w:hAnsi="Cambria Math"/>
          </w:rPr>
          <m:t xml:space="preserve">u</m:t>
        </m:r>
        <m:r>
          <w:rPr>
            <w:rFonts w:ascii="Cambria Math" w:hAnsi="Cambria Math"/>
          </w:rPr>
          <m:t xml:space="preserve">b</m:t>
        </m:r>
        <m:r>
          <w:rPr>
            <w:rFonts w:ascii="Cambria Math" w:hAnsi="Cambria Math"/>
          </w:rPr>
          <m:t xml:space="preserve">j</m:t>
        </m:r>
        <m:r>
          <w:rPr>
            <w:rFonts w:ascii="Cambria Math" w:hAnsi="Cambria Math"/>
          </w:rPr>
          <m:t xml:space="preserve">e</m:t>
        </m:r>
        <m:r>
          <w:rPr>
            <w:rFonts w:ascii="Cambria Math" w:hAnsi="Cambria Math"/>
          </w:rPr>
          <m:t xml:space="preserve">c</m:t>
        </m:r>
        <m:r>
          <w:rPr>
            <w:rFonts w:ascii="Cambria Math" w:hAnsi="Cambria Math"/>
          </w:rPr>
          <m:t xml:space="preserve">t</m:t>
        </m:r>
        <m:r>
          <w:rPr>
            <w:rFonts w:ascii="Cambria Math" w:hAnsi="Cambria Math"/>
          </w:rPr>
          <m:t xml:space="preserve">F</m:t>
        </m:r>
        <m:r>
          <w:rPr>
            <w:rFonts w:ascii="Cambria Math" w:hAnsi="Cambria Math"/>
          </w:rPr>
          <m:t xml:space="preserve">D</m:t>
        </m:r>
        <m:r>
          <w:rPr>
            <w:rFonts w:ascii="Cambria Math" w:hAnsi="Cambria Math"/>
          </w:rPr>
          <m:t xml:space="preserve">+</m:t>
        </m:r>
        <m:r>
          <w:rPr>
            <w:rFonts w:ascii="Cambria Math" w:hAnsi="Cambria Math"/>
          </w:rPr>
          <m:t xml:space="preserve">w</m:t>
        </m:r>
        <m:r>
          <w:rPr>
            <w:rFonts w:ascii="Cambria Math" w:hAnsi="Cambria Math"/>
          </w:rPr>
          <m:t xml:space="preserve">i</m:t>
        </m:r>
        <m:r>
          <w:rPr>
            <w:rFonts w:ascii="Cambria Math" w:hAnsi="Cambria Math"/>
          </w:rPr>
          <m:t xml:space="preserve">t</m:t>
        </m:r>
        <m:r>
          <w:rPr>
            <w:rFonts w:ascii="Cambria Math" w:hAnsi="Cambria Math"/>
          </w:rPr>
          <m:t xml:space="preserve">h</m:t>
        </m:r>
        <m:r>
          <w:rPr>
            <w:rFonts w:ascii="Cambria Math" w:hAnsi="Cambria Math"/>
          </w:rPr>
          <m:t xml:space="preserve">i</m:t>
        </m:r>
        <m:r>
          <w:rPr>
            <w:rFonts w:ascii="Cambria Math" w:hAnsi="Cambria Math"/>
          </w:rPr>
          <m:t xml:space="preserve">n</m:t>
        </m:r>
        <m:r>
          <w:rPr>
            <w:rFonts w:ascii="Cambria Math" w:hAnsi="Cambria Math"/>
          </w:rPr>
          <m:t xml:space="preserve">−</m:t>
        </m:r>
        <m:r>
          <w:rPr>
            <w:rFonts w:ascii="Cambria Math" w:hAnsi="Cambria Math"/>
          </w:rPr>
          <m:t xml:space="preserve">s</m:t>
        </m:r>
        <m:r>
          <w:rPr>
            <w:rFonts w:ascii="Cambria Math" w:hAnsi="Cambria Math"/>
          </w:rPr>
          <m:t xml:space="preserve">u</m:t>
        </m:r>
        <m:r>
          <w:rPr>
            <w:rFonts w:ascii="Cambria Math" w:hAnsi="Cambria Math"/>
          </w:rPr>
          <m:t xml:space="preserve">b</m:t>
        </m:r>
        <m:r>
          <w:rPr>
            <w:rFonts w:ascii="Cambria Math" w:hAnsi="Cambria Math"/>
          </w:rPr>
          <m:t xml:space="preserve">j</m:t>
        </m:r>
        <m:r>
          <w:rPr>
            <w:rFonts w:ascii="Cambria Math" w:hAnsi="Cambria Math"/>
          </w:rPr>
          <m:t xml:space="preserve">e</m:t>
        </m:r>
        <m:r>
          <w:rPr>
            <w:rFonts w:ascii="Cambria Math" w:hAnsi="Cambria Math"/>
          </w:rPr>
          <m:t xml:space="preserve">c</m:t>
        </m:r>
        <m:r>
          <w:rPr>
            <w:rFonts w:ascii="Cambria Math" w:hAnsi="Cambria Math"/>
          </w:rPr>
          <m:t xml:space="preserve">t</m:t>
        </m:r>
        <m:r>
          <w:rPr>
            <w:rFonts w:ascii="Cambria Math" w:hAnsi="Cambria Math"/>
          </w:rPr>
          <m:t xml:space="preserve">F</m:t>
        </m:r>
        <m:r>
          <w:rPr>
            <w:rFonts w:ascii="Cambria Math" w:hAnsi="Cambria Math"/>
          </w:rPr>
          <m:t xml:space="preserve">D</m:t>
        </m:r>
      </m:oMath>
      <w:r>
        <w:rPr/>
        <w:t>. These post-hoc analyses deviate from the preregistration and should be considered to be exploratory.</w:t>
      </w:r>
    </w:p>
    <w:p>
      <w:pPr>
        <w:pStyle w:val="TextBody"/>
        <w:rPr/>
      </w:pPr>
      <w:r>
        <w:rPr/>
        <w:t xml:space="preserve">All parametric inferences on activation were drawn based on False Discovery Rate (FDR) adjusted p-values </w:t>
      </w:r>
      <w:r>
        <w:rPr/>
      </w:r>
      <m:oMath xmlns:m="http://schemas.openxmlformats.org/officeDocument/2006/math">
        <m:r>
          <w:rPr>
            <w:rFonts w:ascii="Cambria Math" w:hAnsi="Cambria Math"/>
          </w:rPr>
          <m:t xml:space="preserve">≤</m:t>
        </m:r>
        <m:r>
          <w:rPr>
            <w:rFonts w:ascii="Cambria Math" w:hAnsi="Cambria Math"/>
          </w:rPr>
          <m:t xml:space="preserve">0.05</m:t>
        </m:r>
      </m:oMath>
      <w:r>
        <w:rPr/>
        <w:t xml:space="preserve">. To ensure robustness of our results, we computed estimates with non-parametric test using Wild bootstrap with an unrestricted SwE on all contrasts of interest for voxelwise inference, p-values were FDR-corrected for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5</m:t>
        </m:r>
      </m:oMath>
      <w:r>
        <w:rPr/>
        <w:t>. In contrast to the parametric estimation, Wild Bootstrap avoids any parametric distributional assumptions (e.g. random field theory), and is unlike permutation based framework appropriate  for longitudinal data.</w:t>
      </w:r>
    </w:p>
    <w:p>
      <w:pPr>
        <w:pStyle w:val="Heading1"/>
        <w:rPr/>
      </w:pPr>
      <w:bookmarkStart w:id="11" w:name="results"/>
      <w:r>
        <w:rPr/>
        <w:t>Results</w:t>
      </w:r>
      <w:bookmarkEnd w:id="11"/>
    </w:p>
    <w:p>
      <w:pPr>
        <w:pStyle w:val="Heading2"/>
        <w:rPr/>
      </w:pPr>
      <w:bookmarkStart w:id="12" w:name="manipulation-check"/>
      <w:r>
        <w:rPr/>
        <w:t>Manipulation check</w:t>
      </w:r>
      <w:bookmarkEnd w:id="12"/>
    </w:p>
    <w:p>
      <w:pPr>
        <w:pStyle w:val="FirstParagraph"/>
        <w:rPr/>
      </w:pPr>
      <w:r>
        <w:rPr/>
        <w:t>We ran separate one-sample t-test for network activation at baseline controlling for log mean FD, age, and sex for each time point to check whether the assumed reward and default mode network was at all identifiable.</w:t>
      </w:r>
    </w:p>
    <w:p>
      <w:pPr>
        <w:pStyle w:val="Heading2"/>
        <w:rPr/>
      </w:pPr>
      <w:bookmarkStart w:id="13" w:name="X7fcb9d38f12d8ec3d6c4d4aef8ea8c9f18069d4"/>
      <w:r>
        <w:rPr/>
        <w:t>Interaction effect of intervention and time</w:t>
      </w:r>
      <w:bookmarkEnd w:id="13"/>
    </w:p>
    <w:p>
      <w:pPr>
        <w:pStyle w:val="FirstParagraph"/>
        <w:rPr/>
      </w:pPr>
      <w:r>
        <w:rPr/>
        <w:t xml:space="preserve">There was no interaction of group and time point regarding the resting state connectivity for neither the PCC nor the NAcc as was hypothesized. Nor was there a significant main effect for any of the covariates of interest (time, group) in voxelwise inference with FDR correction. Results obtained for parametric estimation and non-parametric wild bootstrap did not differ. When reducing the number of nuisance covariates by leaving out mean FD, connectivity was found between the PCC with one other voxel. In the connectivity maps only corrected with AROMA-CC co-activation of voxel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18</m:t>
        </m:r>
        <m:r>
          <w:rPr>
            <w:rFonts w:ascii="Cambria Math" w:hAnsi="Cambria Math"/>
          </w:rPr>
          <m:t xml:space="preserve">,</m:t>
        </m:r>
        <m:r>
          <w:rPr>
            <w:rFonts w:ascii="Cambria Math" w:hAnsi="Cambria Math"/>
          </w:rPr>
          <m:t xml:space="preserve">42</m:t>
        </m:r>
        <m:r>
          <w:rPr>
            <w:rFonts w:ascii="Cambria Math" w:hAnsi="Cambria Math"/>
          </w:rPr>
          <m:t xml:space="preserve">,</m:t>
        </m:r>
        <m:r>
          <w:rPr>
            <w:rFonts w:ascii="Cambria Math" w:hAnsi="Cambria Math"/>
          </w:rPr>
          <m:t xml:space="preserve">30</m:t>
        </m:r>
      </m:oMath>
      <w:r>
        <w:rPr/>
        <w:t xml:space="preserve"> [mm] yielded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4.72</m:t>
        </m:r>
      </m:oMath>
      <w:r>
        <w:rPr/>
        <w:t xml:space="preserve"> (</w:t>
      </w:r>
      <w:r>
        <w:rPr/>
      </w:r>
      <m:oMath xmlns:m="http://schemas.openxmlformats.org/officeDocument/2006/math">
        <m:sSub>
          <m:e>
            <m:r>
              <w:rPr>
                <w:rFonts w:ascii="Cambria Math" w:hAnsi="Cambria Math"/>
              </w:rPr>
              <m:t xml:space="preserve">q</m:t>
            </m:r>
          </m:e>
          <m:sub>
            <m:r>
              <w:rPr>
                <w:rFonts w:ascii="Cambria Math" w:hAnsi="Cambria Math"/>
              </w:rPr>
              <m:t xml:space="preserve">F</m:t>
            </m:r>
            <m:r>
              <w:rPr>
                <w:rFonts w:ascii="Cambria Math" w:hAnsi="Cambria Math"/>
              </w:rPr>
              <m:t xml:space="preserve">D</m:t>
            </m:r>
            <m:r>
              <w:rPr>
                <w:rFonts w:ascii="Cambria Math" w:hAnsi="Cambria Math"/>
              </w:rPr>
              <m:t xml:space="preserve">R</m:t>
            </m:r>
            <m:r>
              <w:rPr>
                <w:rFonts w:ascii="Cambria Math" w:hAnsi="Cambria Math"/>
              </w:rPr>
              <m:t xml:space="preserve">c</m:t>
            </m:r>
            <m:r>
              <w:rPr>
                <w:rFonts w:ascii="Cambria Math" w:hAnsi="Cambria Math"/>
              </w:rPr>
              <m:t xml:space="preserve">o</m:t>
            </m:r>
            <m:r>
              <w:rPr>
                <w:rFonts w:ascii="Cambria Math" w:hAnsi="Cambria Math"/>
              </w:rPr>
              <m:t xml:space="preserve">r</m:t>
            </m:r>
            <m:r>
              <w:rPr>
                <w:rFonts w:ascii="Cambria Math" w:hAnsi="Cambria Math"/>
              </w:rPr>
              <m:t xml:space="preserve">r</m:t>
            </m:r>
          </m:sub>
        </m:sSub>
        <m:r>
          <w:rPr>
            <w:rFonts w:ascii="Cambria Math" w:hAnsi="Cambria Math"/>
          </w:rPr>
          <m:t xml:space="preserve">=</m:t>
        </m:r>
        <m:r>
          <w:rPr>
            <w:rFonts w:ascii="Cambria Math" w:hAnsi="Cambria Math"/>
          </w:rPr>
          <m:t xml:space="preserve">0.040</m:t>
        </m:r>
      </m:oMath>
      <w:r>
        <w:rPr/>
        <w:t>). However, verification of the effect with non-parametric bootstrapping failed to yield significant (</w:t>
      </w:r>
      <w:r>
        <w:rPr/>
      </w:r>
      <m:oMath xmlns:m="http://schemas.openxmlformats.org/officeDocument/2006/math">
        <m:sSub>
          <m:e>
            <m:r>
              <w:rPr>
                <w:rFonts w:ascii="Cambria Math" w:hAnsi="Cambria Math"/>
              </w:rPr>
              <m:t xml:space="preserve">p</m:t>
            </m:r>
          </m:e>
          <m:sub>
            <m:r>
              <w:rPr>
                <w:rFonts w:ascii="Cambria Math" w:hAnsi="Cambria Math"/>
              </w:rPr>
              <m:t xml:space="preserve">F</m:t>
            </m:r>
            <m:r>
              <w:rPr>
                <w:rFonts w:ascii="Cambria Math" w:hAnsi="Cambria Math"/>
              </w:rPr>
              <m:t xml:space="preserve">W</m:t>
            </m:r>
            <m:r>
              <w:rPr>
                <w:rFonts w:ascii="Cambria Math" w:hAnsi="Cambria Math"/>
              </w:rPr>
              <m:t xml:space="preserve">E</m:t>
            </m:r>
            <m:r>
              <w:rPr>
                <w:rFonts w:ascii="Cambria Math" w:hAnsi="Cambria Math"/>
              </w:rPr>
              <m:t xml:space="preserve">c</m:t>
            </m:r>
            <m:r>
              <w:rPr>
                <w:rFonts w:ascii="Cambria Math" w:hAnsi="Cambria Math"/>
              </w:rPr>
              <m:t xml:space="preserve">o</m:t>
            </m:r>
            <m:r>
              <w:rPr>
                <w:rFonts w:ascii="Cambria Math" w:hAnsi="Cambria Math"/>
              </w:rPr>
              <m:t xml:space="preserve">r</m:t>
            </m:r>
            <m:r>
              <w:rPr>
                <w:rFonts w:ascii="Cambria Math" w:hAnsi="Cambria Math"/>
              </w:rPr>
              <m:t xml:space="preserve">r</m:t>
            </m:r>
          </m:sub>
        </m:sSub>
        <m:r>
          <w:rPr>
            <w:rFonts w:ascii="Cambria Math" w:hAnsi="Cambria Math"/>
          </w:rPr>
          <m:t xml:space="preserve">=</m:t>
        </m:r>
        <m:r>
          <w:rPr>
            <w:rFonts w:ascii="Cambria Math" w:hAnsi="Cambria Math"/>
          </w:rPr>
          <m:t xml:space="preserve">0.061</m:t>
        </m:r>
      </m:oMath>
      <w:r>
        <w:rPr/>
        <w:t xml:space="preserve">; </w:t>
      </w:r>
      <w:r>
        <w:rPr/>
      </w:r>
      <m:oMath xmlns:m="http://schemas.openxmlformats.org/officeDocument/2006/math">
        <m:sSub>
          <m:e>
            <m:r>
              <w:rPr>
                <w:rFonts w:ascii="Cambria Math" w:hAnsi="Cambria Math"/>
              </w:rPr>
              <m:t xml:space="preserve">q</m:t>
            </m:r>
          </m:e>
          <m:sub>
            <m:r>
              <w:rPr>
                <w:rFonts w:ascii="Cambria Math" w:hAnsi="Cambria Math"/>
              </w:rPr>
              <m:t xml:space="preserve">F</m:t>
            </m:r>
            <m:r>
              <w:rPr>
                <w:rFonts w:ascii="Cambria Math" w:hAnsi="Cambria Math"/>
              </w:rPr>
              <m:t xml:space="preserve">D</m:t>
            </m:r>
            <m:r>
              <w:rPr>
                <w:rFonts w:ascii="Cambria Math" w:hAnsi="Cambria Math"/>
              </w:rPr>
              <m:t xml:space="preserve">R</m:t>
            </m:r>
            <m:r>
              <w:rPr>
                <w:rFonts w:ascii="Cambria Math" w:hAnsi="Cambria Math"/>
              </w:rPr>
              <m:t xml:space="preserve">c</m:t>
            </m:r>
            <m:r>
              <w:rPr>
                <w:rFonts w:ascii="Cambria Math" w:hAnsi="Cambria Math"/>
              </w:rPr>
              <m:t xml:space="preserve">o</m:t>
            </m:r>
            <m:r>
              <w:rPr>
                <w:rFonts w:ascii="Cambria Math" w:hAnsi="Cambria Math"/>
              </w:rPr>
              <m:t xml:space="preserve">r</m:t>
            </m:r>
            <m:r>
              <w:rPr>
                <w:rFonts w:ascii="Cambria Math" w:hAnsi="Cambria Math"/>
              </w:rPr>
              <m:t xml:space="preserve">r</m:t>
            </m:r>
          </m:sub>
        </m:sSub>
        <m:r>
          <w:rPr>
            <w:rFonts w:ascii="Cambria Math" w:hAnsi="Cambria Math"/>
          </w:rPr>
          <m:t xml:space="preserve">=</m:t>
        </m:r>
        <m:r>
          <w:rPr>
            <w:rFonts w:ascii="Cambria Math" w:hAnsi="Cambria Math"/>
          </w:rPr>
          <m:t xml:space="preserve">0.999</m:t>
        </m:r>
      </m:oMath>
      <w:r>
        <w:rPr/>
        <w:t>). There was no other significant co-activation for any other region of interest for neither of the preprocessing variants.</w:t>
      </w:r>
    </w:p>
    <w:p>
      <w:pPr>
        <w:pStyle w:val="TextBody"/>
        <w:rPr/>
      </w:pPr>
      <w:r>
        <w:rPr/>
        <w:t>Parametric and non-parametric significance test for the model testing for group-time-interaction did not show any different results when using a grey matter mask. Again, parametric estimation and non-parametric estimation differed in regard to the group-time-interaction of PCC and voxel (</w:t>
      </w:r>
      <w:r>
        <w:rPr/>
      </w:r>
      <m:oMath xmlns:m="http://schemas.openxmlformats.org/officeDocument/2006/math">
        <m:r>
          <w:rPr>
            <w:rFonts w:ascii="Cambria Math" w:hAnsi="Cambria Math"/>
          </w:rPr>
          <m:t xml:space="preserve">18</m:t>
        </m:r>
        <m:r>
          <w:rPr>
            <w:rFonts w:ascii="Cambria Math" w:hAnsi="Cambria Math"/>
          </w:rPr>
          <m:t xml:space="preserve">,</m:t>
        </m:r>
        <m:r>
          <w:rPr>
            <w:rFonts w:ascii="Cambria Math" w:hAnsi="Cambria Math"/>
          </w:rPr>
          <m:t xml:space="preserve">42</m:t>
        </m:r>
        <m:r>
          <w:rPr>
            <w:rFonts w:ascii="Cambria Math" w:hAnsi="Cambria Math"/>
          </w:rPr>
          <m:t xml:space="preserve">,</m:t>
        </m:r>
        <m:r>
          <w:rPr>
            <w:rFonts w:ascii="Cambria Math" w:hAnsi="Cambria Math"/>
          </w:rPr>
          <m:t xml:space="preserve">30</m:t>
        </m:r>
      </m:oMath>
      <w:r>
        <w:rPr/>
        <w:t>) in the connectivity maps without GSR correction. While co-activation was significant in parametric estimation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4.72</m:t>
        </m:r>
      </m:oMath>
      <w:r>
        <w:rPr/>
        <w:t xml:space="preserve">, </w:t>
      </w:r>
      <w:r>
        <w:rPr/>
      </w:r>
      <m:oMath xmlns:m="http://schemas.openxmlformats.org/officeDocument/2006/math">
        <m:sSub>
          <m:e>
            <m:r>
              <w:rPr>
                <w:rFonts w:ascii="Cambria Math" w:hAnsi="Cambria Math"/>
              </w:rPr>
              <m:t xml:space="preserve">q</m:t>
            </m:r>
          </m:e>
          <m:sub>
            <m:r>
              <w:rPr>
                <w:rFonts w:ascii="Cambria Math" w:hAnsi="Cambria Math"/>
              </w:rPr>
              <m:t xml:space="preserve">F</m:t>
            </m:r>
            <m:r>
              <w:rPr>
                <w:rFonts w:ascii="Cambria Math" w:hAnsi="Cambria Math"/>
              </w:rPr>
              <m:t xml:space="preserve">D</m:t>
            </m:r>
            <m:r>
              <w:rPr>
                <w:rFonts w:ascii="Cambria Math" w:hAnsi="Cambria Math"/>
              </w:rPr>
              <m:t xml:space="preserve">R</m:t>
            </m:r>
            <m:r>
              <w:rPr>
                <w:rFonts w:ascii="Cambria Math" w:hAnsi="Cambria Math"/>
              </w:rPr>
              <m:t xml:space="preserve">c</m:t>
            </m:r>
            <m:r>
              <w:rPr>
                <w:rFonts w:ascii="Cambria Math" w:hAnsi="Cambria Math"/>
              </w:rPr>
              <m:t xml:space="preserve">o</m:t>
            </m:r>
            <m:r>
              <w:rPr>
                <w:rFonts w:ascii="Cambria Math" w:hAnsi="Cambria Math"/>
              </w:rPr>
              <m:t xml:space="preserve">r</m:t>
            </m:r>
            <m:r>
              <w:rPr>
                <w:rFonts w:ascii="Cambria Math" w:hAnsi="Cambria Math"/>
              </w:rPr>
              <m:t xml:space="preserve">r</m:t>
            </m:r>
          </m:sub>
        </m:sSub>
        <m:r>
          <w:rPr>
            <w:rFonts w:ascii="Cambria Math" w:hAnsi="Cambria Math"/>
          </w:rPr>
          <m:t xml:space="preserve">=</m:t>
        </m:r>
        <m:r>
          <w:rPr>
            <w:rFonts w:ascii="Cambria Math" w:hAnsi="Cambria Math"/>
          </w:rPr>
          <m:t xml:space="preserve">0.040</m:t>
        </m:r>
      </m:oMath>
      <w:r>
        <w:rPr/>
        <w:t>), it was non-significant when using wild bootstrap (</w:t>
      </w:r>
      <w:r>
        <w:rPr/>
      </w:r>
      <m:oMath xmlns:m="http://schemas.openxmlformats.org/officeDocument/2006/math">
        <m:sSub>
          <m:e>
            <m:r>
              <w:rPr>
                <w:rFonts w:ascii="Cambria Math" w:hAnsi="Cambria Math"/>
              </w:rPr>
              <m:t xml:space="preserve">q</m:t>
            </m:r>
          </m:e>
          <m:sub>
            <m:r>
              <w:rPr>
                <w:rFonts w:ascii="Cambria Math" w:hAnsi="Cambria Math"/>
              </w:rPr>
              <m:t xml:space="preserve">F</m:t>
            </m:r>
            <m:r>
              <w:rPr>
                <w:rFonts w:ascii="Cambria Math" w:hAnsi="Cambria Math"/>
              </w:rPr>
              <m:t xml:space="preserve">D</m:t>
            </m:r>
            <m:r>
              <w:rPr>
                <w:rFonts w:ascii="Cambria Math" w:hAnsi="Cambria Math"/>
              </w:rPr>
              <m:t xml:space="preserve">R</m:t>
            </m:r>
            <m:r>
              <w:rPr>
                <w:rFonts w:ascii="Cambria Math" w:hAnsi="Cambria Math"/>
              </w:rPr>
              <m:t xml:space="preserve">c</m:t>
            </m:r>
            <m:r>
              <w:rPr>
                <w:rFonts w:ascii="Cambria Math" w:hAnsi="Cambria Math"/>
              </w:rPr>
              <m:t xml:space="preserve">o</m:t>
            </m:r>
            <m:r>
              <w:rPr>
                <w:rFonts w:ascii="Cambria Math" w:hAnsi="Cambria Math"/>
              </w:rPr>
              <m:t xml:space="preserve">r</m:t>
            </m:r>
            <m:r>
              <w:rPr>
                <w:rFonts w:ascii="Cambria Math" w:hAnsi="Cambria Math"/>
              </w:rPr>
              <m:t xml:space="preserve">r</m:t>
            </m:r>
          </m:sub>
        </m:sSub>
        <m:r>
          <w:rPr>
            <w:rFonts w:ascii="Cambria Math" w:hAnsi="Cambria Math"/>
          </w:rPr>
          <m:t xml:space="preserve">=</m:t>
        </m:r>
        <m:r>
          <w:rPr>
            <w:rFonts w:ascii="Cambria Math" w:hAnsi="Cambria Math"/>
          </w:rPr>
          <m:t xml:space="preserve">0.998</m:t>
        </m:r>
      </m:oMath>
      <w:r>
        <w:rPr/>
        <w:t>).</w:t>
      </w:r>
    </w:p>
    <w:p>
      <w:pPr>
        <w:pStyle w:val="Heading2"/>
        <w:rPr/>
      </w:pPr>
      <w:bookmarkStart w:id="14" w:name="effect-of-bmi"/>
      <w:r>
        <w:rPr/>
        <w:t>Effect of BMI</w:t>
      </w:r>
      <w:bookmarkEnd w:id="14"/>
    </w:p>
    <w:p>
      <w:pPr>
        <w:pStyle w:val="FirstParagraph"/>
        <w:rPr/>
      </w:pPr>
      <w:r>
        <w:rPr/>
        <w:t>Next, we tested for significant effects of the average BMI and the individual change in BMI longitudinally across the three time points. There was no significant co-activation for neither the PCC nor the NAcc associated with average BMI nor change in BMI. Omitting mean FD as nuisance covariate did not change these results.  Upon inclusion of only a subsample entailing participants from the intervention group but not the waiting control group, there was still no effect for average BMI, but a significant effect of change in BMI on co-activation between the seed region NAcc and a voxel (</w:t>
      </w:r>
      <w:r>
        <w:rPr/>
      </w:r>
      <m:oMath xmlns:m="http://schemas.openxmlformats.org/officeDocument/2006/math">
        <m:r>
          <w:rPr>
            <w:rFonts w:ascii="Cambria Math" w:hAnsi="Cambria Math"/>
          </w:rPr>
          <m:t xml:space="preserve">−</m:t>
        </m:r>
        <m:r>
          <w:rPr>
            <w:rFonts w:ascii="Cambria Math" w:hAnsi="Cambria Math"/>
          </w:rPr>
          <m:t xml:space="preserve">18</m:t>
        </m:r>
        <m:r>
          <w:rPr>
            <w:rFonts w:ascii="Cambria Math" w:hAnsi="Cambria Math"/>
          </w:rPr>
          <m:t xml:space="preserve">,</m:t>
        </m:r>
        <m:r>
          <w:rPr>
            <w:rFonts w:ascii="Cambria Math" w:hAnsi="Cambria Math"/>
          </w:rPr>
          <m:t xml:space="preserve">−</m:t>
        </m:r>
        <m:r>
          <w:rPr>
            <w:rFonts w:ascii="Cambria Math" w:hAnsi="Cambria Math"/>
          </w:rPr>
          <m:t xml:space="preserve">42</m:t>
        </m:r>
        <m:r>
          <w:rPr>
            <w:rFonts w:ascii="Cambria Math" w:hAnsi="Cambria Math"/>
          </w:rPr>
          <m:t xml:space="preserve">,</m:t>
        </m:r>
        <m:r>
          <w:rPr>
            <w:rFonts w:ascii="Cambria Math" w:hAnsi="Cambria Math"/>
          </w:rPr>
          <m:t xml:space="preserve">−</m:t>
        </m:r>
        <m:r>
          <w:rPr>
            <w:rFonts w:ascii="Cambria Math" w:hAnsi="Cambria Math"/>
          </w:rPr>
          <m:t xml:space="preserve">9</m:t>
        </m:r>
      </m:oMath>
      <w:r>
        <w:rPr/>
        <w:t xml:space="preserve"> [mm]) with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4.64</m:t>
        </m:r>
      </m:oMath>
      <w:r>
        <w:rPr/>
        <w:t xml:space="preserve"> (</w:t>
      </w:r>
      <w:r>
        <w:rPr/>
      </w:r>
      <m:oMath xmlns:m="http://schemas.openxmlformats.org/officeDocument/2006/math">
        <m:sSub>
          <m:e>
            <m:r>
              <w:rPr>
                <w:rFonts w:ascii="Cambria Math" w:hAnsi="Cambria Math"/>
              </w:rPr>
              <m:t xml:space="preserve">p</m:t>
            </m:r>
          </m:e>
          <m:sub>
            <m:r>
              <w:rPr>
                <w:rFonts w:ascii="Cambria Math" w:hAnsi="Cambria Math"/>
              </w:rPr>
              <m:t xml:space="preserve">F</m:t>
            </m:r>
            <m:r>
              <w:rPr>
                <w:rFonts w:ascii="Cambria Math" w:hAnsi="Cambria Math"/>
              </w:rPr>
              <m:t xml:space="preserve">W</m:t>
            </m:r>
            <m:r>
              <w:rPr>
                <w:rFonts w:ascii="Cambria Math" w:hAnsi="Cambria Math"/>
              </w:rPr>
              <m:t xml:space="preserve">E</m:t>
            </m:r>
            <m:r>
              <w:rPr>
                <w:rFonts w:ascii="Cambria Math" w:hAnsi="Cambria Math"/>
              </w:rPr>
              <m:t xml:space="preserve">c</m:t>
            </m:r>
            <m:r>
              <w:rPr>
                <w:rFonts w:ascii="Cambria Math" w:hAnsi="Cambria Math"/>
              </w:rPr>
              <m:t xml:space="preserve">o</m:t>
            </m:r>
            <m:r>
              <w:rPr>
                <w:rFonts w:ascii="Cambria Math" w:hAnsi="Cambria Math"/>
              </w:rPr>
              <m:t xml:space="preserve">r</m:t>
            </m:r>
            <m:r>
              <w:rPr>
                <w:rFonts w:ascii="Cambria Math" w:hAnsi="Cambria Math"/>
              </w:rPr>
              <m:t xml:space="preserve">r</m:t>
            </m:r>
          </m:sub>
        </m:sSub>
        <m:r>
          <w:rPr>
            <w:rFonts w:ascii="Cambria Math" w:hAnsi="Cambria Math"/>
          </w:rPr>
          <m:t xml:space="preserve">=</m:t>
        </m:r>
        <m:r>
          <w:rPr>
            <w:rFonts w:ascii="Cambria Math" w:hAnsi="Cambria Math"/>
          </w:rPr>
          <m:t xml:space="preserve">0.049</m:t>
        </m:r>
      </m:oMath>
      <w:r>
        <w:rPr/>
        <w:t>) (in GSR corrected connectivity maps). However the effect did not survive recalculation with Wild bootstrap (</w:t>
      </w:r>
      <w:r>
        <w:rPr/>
      </w:r>
      <m:oMath xmlns:m="http://schemas.openxmlformats.org/officeDocument/2006/math">
        <m:sSub>
          <m:e>
            <m:r>
              <w:rPr>
                <w:rFonts w:ascii="Cambria Math" w:hAnsi="Cambria Math"/>
              </w:rPr>
              <m:t xml:space="preserve">p</m:t>
            </m:r>
          </m:e>
          <m:sub>
            <m:r>
              <w:rPr>
                <w:rFonts w:ascii="Cambria Math" w:hAnsi="Cambria Math"/>
              </w:rPr>
              <m:t xml:space="preserve">F</m:t>
            </m:r>
            <m:r>
              <w:rPr>
                <w:rFonts w:ascii="Cambria Math" w:hAnsi="Cambria Math"/>
              </w:rPr>
              <m:t xml:space="preserve">W</m:t>
            </m:r>
            <m:r>
              <w:rPr>
                <w:rFonts w:ascii="Cambria Math" w:hAnsi="Cambria Math"/>
              </w:rPr>
              <m:t xml:space="preserve">E</m:t>
            </m:r>
            <m:r>
              <w:rPr>
                <w:rFonts w:ascii="Cambria Math" w:hAnsi="Cambria Math"/>
              </w:rPr>
              <m:t xml:space="preserve">c</m:t>
            </m:r>
            <m:r>
              <w:rPr>
                <w:rFonts w:ascii="Cambria Math" w:hAnsi="Cambria Math"/>
              </w:rPr>
              <m:t xml:space="preserve">o</m:t>
            </m:r>
            <m:r>
              <w:rPr>
                <w:rFonts w:ascii="Cambria Math" w:hAnsi="Cambria Math"/>
              </w:rPr>
              <m:t xml:space="preserve">r</m:t>
            </m:r>
            <m:r>
              <w:rPr>
                <w:rFonts w:ascii="Cambria Math" w:hAnsi="Cambria Math"/>
              </w:rPr>
              <m:t xml:space="preserve">r</m:t>
            </m:r>
          </m:sub>
        </m:sSub>
        <m:r>
          <w:rPr>
            <w:rFonts w:ascii="Cambria Math" w:hAnsi="Cambria Math"/>
          </w:rPr>
          <m:t xml:space="preserve">=</m:t>
        </m:r>
        <m:r>
          <w:rPr>
            <w:rFonts w:ascii="Cambria Math" w:hAnsi="Cambria Math"/>
          </w:rPr>
          <m:t xml:space="preserve">0.426</m:t>
        </m:r>
      </m:oMath>
      <w:r>
        <w:rPr/>
        <w:t>). The effect also disappeared when running those tests without mean FD as nuisance covariate.  Running the tests on a subsample of only two time points and omitting data from the third did not yield any significant co-activation with the regions of interest for neither of the preprocessing variants. Omitting mean FD did not change these results.</w:t>
      </w:r>
    </w:p>
    <w:p>
      <w:pPr>
        <w:pStyle w:val="TextBody"/>
        <w:rPr/>
      </w:pPr>
      <w:r>
        <w:rPr/>
        <w:t>Results obtained from analyses with the grey matter masks were equal to those reported for the brain masks except test statistics for the above reported significant longitudinal effect for the NAcc in the intervention group differed only marginally (</w:t>
      </w:r>
      <w:r>
        <w:rPr/>
      </w:r>
      <m:oMath xmlns:m="http://schemas.openxmlformats.org/officeDocument/2006/math">
        <m:sSub>
          <m:e>
            <m:r>
              <w:rPr>
                <w:rFonts w:ascii="Cambria Math" w:hAnsi="Cambria Math"/>
              </w:rPr>
              <m:t xml:space="preserve">q</m:t>
            </m:r>
          </m:e>
          <m:sub>
            <m:r>
              <w:rPr>
                <w:rFonts w:ascii="Cambria Math" w:hAnsi="Cambria Math"/>
              </w:rPr>
              <m:t xml:space="preserve">F</m:t>
            </m:r>
            <m:r>
              <w:rPr>
                <w:rFonts w:ascii="Cambria Math" w:hAnsi="Cambria Math"/>
              </w:rPr>
              <m:t xml:space="preserve">D</m:t>
            </m:r>
            <m:r>
              <w:rPr>
                <w:rFonts w:ascii="Cambria Math" w:hAnsi="Cambria Math"/>
              </w:rPr>
              <m:t xml:space="preserve">R</m:t>
            </m:r>
            <m:r>
              <w:rPr>
                <w:rFonts w:ascii="Cambria Math" w:hAnsi="Cambria Math"/>
              </w:rPr>
              <m:t xml:space="preserve">c</m:t>
            </m:r>
            <m:r>
              <w:rPr>
                <w:rFonts w:ascii="Cambria Math" w:hAnsi="Cambria Math"/>
              </w:rPr>
              <m:t xml:space="preserve">o</m:t>
            </m:r>
            <m:r>
              <w:rPr>
                <w:rFonts w:ascii="Cambria Math" w:hAnsi="Cambria Math"/>
              </w:rPr>
              <m:t xml:space="preserve">r</m:t>
            </m:r>
            <m:r>
              <w:rPr>
                <w:rFonts w:ascii="Cambria Math" w:hAnsi="Cambria Math"/>
              </w:rPr>
              <m:t xml:space="preserve">r</m:t>
            </m:r>
          </m:sub>
        </m:sSub>
        <m:r>
          <w:rPr>
            <w:rFonts w:ascii="Cambria Math" w:hAnsi="Cambria Math"/>
          </w:rPr>
          <m:t xml:space="preserve">=</m:t>
        </m:r>
        <m:r>
          <w:rPr>
            <w:rFonts w:ascii="Cambria Math" w:hAnsi="Cambria Math"/>
          </w:rPr>
          <m:t xml:space="preserve">0.048</m:t>
        </m:r>
      </m:oMath>
      <w:r>
        <w:rPr/>
        <w:t>) and did not survive recalculation with Wild bootstrap either (</w:t>
      </w:r>
      <w:r>
        <w:rPr/>
      </w:r>
      <m:oMath xmlns:m="http://schemas.openxmlformats.org/officeDocument/2006/math">
        <m:sSub>
          <m:e>
            <m:r>
              <w:rPr>
                <w:rFonts w:ascii="Cambria Math" w:hAnsi="Cambria Math"/>
              </w:rPr>
              <m:t xml:space="preserve">q</m:t>
            </m:r>
          </m:e>
          <m:sub>
            <m:r>
              <w:rPr>
                <w:rFonts w:ascii="Cambria Math" w:hAnsi="Cambria Math"/>
              </w:rPr>
              <m:t xml:space="preserve">F</m:t>
            </m:r>
            <m:r>
              <w:rPr>
                <w:rFonts w:ascii="Cambria Math" w:hAnsi="Cambria Math"/>
              </w:rPr>
              <m:t xml:space="preserve">D</m:t>
            </m:r>
            <m:r>
              <w:rPr>
                <w:rFonts w:ascii="Cambria Math" w:hAnsi="Cambria Math"/>
              </w:rPr>
              <m:t xml:space="preserve">R</m:t>
            </m:r>
            <m:r>
              <w:rPr>
                <w:rFonts w:ascii="Cambria Math" w:hAnsi="Cambria Math"/>
              </w:rPr>
              <m:t xml:space="preserve">c</m:t>
            </m:r>
            <m:r>
              <w:rPr>
                <w:rFonts w:ascii="Cambria Math" w:hAnsi="Cambria Math"/>
              </w:rPr>
              <m:t xml:space="preserve">o</m:t>
            </m:r>
            <m:r>
              <w:rPr>
                <w:rFonts w:ascii="Cambria Math" w:hAnsi="Cambria Math"/>
              </w:rPr>
              <m:t xml:space="preserve">r</m:t>
            </m:r>
            <m:r>
              <w:rPr>
                <w:rFonts w:ascii="Cambria Math" w:hAnsi="Cambria Math"/>
              </w:rPr>
              <m:t xml:space="preserve">r</m:t>
            </m:r>
          </m:sub>
        </m:sSub>
        <m:r>
          <w:rPr>
            <w:rFonts w:ascii="Cambria Math" w:hAnsi="Cambria Math"/>
          </w:rPr>
          <m:t xml:space="preserve">=</m:t>
        </m:r>
        <m:r>
          <w:rPr>
            <w:rFonts w:ascii="Cambria Math" w:hAnsi="Cambria Math"/>
          </w:rPr>
          <m:t xml:space="preserve">0.552</m:t>
        </m:r>
      </m:oMath>
      <w:r>
        <w:rPr/>
        <w:t>). In regard to the exploratory expeditions on subsamples, consistent with previous results, no significant co-activation was found when using the grey matter mask.</w:t>
      </w:r>
    </w:p>
    <w:p>
      <w:pPr>
        <w:pStyle w:val="Heading2"/>
        <w:rPr/>
      </w:pPr>
      <w:bookmarkStart w:id="15" w:name="X4ab2a88d931fff03b1942cf69c66ccdcae30138"/>
      <w:r>
        <w:rPr/>
        <w:t>Further investigation of the effect of FD</w:t>
      </w:r>
      <w:bookmarkEnd w:id="15"/>
    </w:p>
    <w:p>
      <w:pPr>
        <w:pStyle w:val="FirstParagraph"/>
        <w:rPr/>
      </w:pPr>
      <w:r>
        <w:rPr/>
        <w:t>To investigate the unique contributions of the average value of and the longitudinal change in mean FD, we constructed a model that entailed both of the predictors as covariates of interest and only age and sex as nuisance covariates. Surprisingly, there was no significant effect neither for the total sample, nor for the intervention group only.  Similarly, analysis with the grey matter mask did not reveal any findings either.</w:t>
      </w:r>
    </w:p>
    <w:p>
      <w:pPr>
        <w:pStyle w:val="TextBody"/>
        <w:rPr/>
      </w:pPr>
      <w:r>
        <w:rPr/>
        <w:t>Unthresholded maps for the t-tests as well as contrasts of average BMI and change BMI of the main model, and post-hoc contrasts for average FD and change FD will be are published on NeuroVault.</w:t>
      </w:r>
    </w:p>
    <w:p>
      <w:pPr>
        <w:pStyle w:val="Heading1"/>
        <w:rPr/>
      </w:pPr>
      <w:bookmarkStart w:id="16" w:name="discussion"/>
      <w:r>
        <w:rPr/>
        <w:t>Discussion</w:t>
      </w:r>
      <w:bookmarkEnd w:id="16"/>
    </w:p>
    <w:p>
      <w:pPr>
        <w:pStyle w:val="FirstParagraph"/>
        <w:rPr/>
      </w:pPr>
      <w:r>
        <w:rPr/>
        <w:t>Utilizing resting-state functional MRI on morbidly obese individuals that either underwent or awaited bariatric surgery over the course of one year.  Building on the evidence for post-surgery changes in functional activity, this study explored the longitudinal relationship between surgery-induced weight loss and functional integrity in target networks indicated by resting-state functional connectivity. Over the course of one year we collected neuroimaging and anthropometric data from 33 morbidly obese patients undergoing bariatric surgery and compared them to the longitudinal data of 17 patients on the waiting list.  With the model on group-time-interaction, we primarily investigated whether changes in functional connectivity over time vary depending whether participants have received surgery or not, while controlling for individual variance in resting-state connectivity over time and at baseline. Beyond that, also main effects of the intervention and of the time were examined.  The second model further investigates if changes in connectivity are a function of an average BMI (controlled for individual variance in BMI) and the longitudinal change in BMI.</w:t>
      </w:r>
    </w:p>
    <w:p>
      <w:pPr>
        <w:pStyle w:val="TextBody"/>
        <w:rPr/>
      </w:pPr>
      <w:r>
        <w:rPr/>
        <w:t>To summarize, there were few significant co-activation that emerged from the marginal models. Co-activation was locally highly specific and (NOT???) in accordance with our hypothesis regarding network activity changes. Given the multiplicity of of models resulting from variations of inspected networks and sensitivity analysis for different preprocessing and correction approached, the obtained significant correlations between seed regions and voxels are likely to be false positive. Ventures to verify effects by re-calculating with non-parametric Wild bootstrap confirmed supported presumption as effects were not robust across estimation procedures.</w:t>
      </w:r>
    </w:p>
    <w:p>
      <w:pPr>
        <w:pStyle w:val="TextBody"/>
        <w:rPr/>
      </w:pPr>
      <w:r>
        <w:rPr/>
        <w:t xml:space="preserve">Our results are not consistent with the present literature. Although there are few studies investigating the impact of bariatric surgery on functional connectivity at resting state, the present articles do significant changes in network activation [@;@;@]. </w:t>
      </w:r>
    </w:p>
    <w:p>
      <w:pPr>
        <w:pStyle w:val="TextBody"/>
        <w:rPr/>
      </w:pPr>
      <w:r>
        <w:rPr/>
        <w:t>However, hypotheses about the plasticity functional networks following bariatric surgery could not be validated. Due to the shortcomings of the inferential paradigm used, our null findings may either put conclusions drawn from previous research into question or may neither provide evidence for the presence nor the absence of the effect.  A previous repeated measurement design with patients undergoing bariatric surgery and behavioral dietary intervention manipulating satiety showed a differential effect of satiety between intervention groups on the resting-state functional connectivity seeded in the precuneus. After the intervention, the functional connectivity was higher in bariatric patients. It decreased after a meal while dietary patients showed an increase (Lepping et al. 2015). prandrial state is a relevant factor when investigating spontaneous brain activity (Wiemerslage et al. 2016). putamine, insula</w:t>
      </w:r>
    </w:p>
    <w:p>
      <w:pPr>
        <w:pStyle w:val="TextBody"/>
        <w:rPr/>
      </w:pPr>
      <w:r>
        <w:rPr/>
        <w:t>Common challenge in medical intervention studies is the difficulty to draw causal inference about the effect of interventions such as surgeries because randomization is often unethical or unfeasible as done in randomized control trials. To isolate the effect of the surgical intervention to a maximum possible extent, the intervention group has to be comparable to a control group in regard to predisposition. Studies comparing the sample of bariatric patients to lean individuals or behavioral dieters may have investigated risk or contributing factors to the condition or other dispositional difference between groups, e.g. in cognitive control, openness or responsiveness to behavioral interventions [@;@]. However, they provide insufficient evidence to directly evaluate impact of the surgical procedure. Prospective non-randomization trial study design are secondary to randomized control trials in regard to internal control. By establishing temporality, longitudinal measurements support the validity of conclusions about the effects of the surgery. Contrasting pre- and post-surgery measures change while controlling for individual variance. The waiting list control group equivalent in BMI, treatment history and treatment recommendation allows controlling for concurrent factors (Thiese 2014). Incorporating these consideration, our study aimed at a higher internal validity for conclusions about the effects of bariatric surgery on functional connectivity.</w:t>
      </w:r>
    </w:p>
    <w:p>
      <w:pPr>
        <w:pStyle w:val="TextBody"/>
        <w:rPr/>
      </w:pPr>
      <w:r>
        <w:rPr/>
        <w:t>Size and composition of our sample did not allow separate analyses for the sexes. The disproportionate sex distribution is reflective prevalence differences and under-utilization of bariatric surgery by men (Fuchs et al. 2015; Chooi, Ding, and Magkos 2019).</w:t>
      </w:r>
    </w:p>
    <w:p>
      <w:pPr>
        <w:pStyle w:val="TextBody"/>
        <w:rPr/>
      </w:pPr>
      <w:r>
        <w:rPr/>
        <w:t xml:space="preserve">Due to the limitation of the traditional ANOVA framework (with respect to the spherity assumption, handling missing data, handling continuous data), it is often recommended to use modern models such as mixed-effect models and marginal models (Chen et al. 2013; Guillaume et al. 2014; McFarquhar 2019). McFarquhar (2019) demonstrated that specifying complex multi-level models and deriving the correct contrast weights with standard neuroimaging software packages such as SPM and FSL can be quite tedious and complicated if done appropriately. However, for the purpose of comparison, we re-ran the analysis for the group-time-interaction with age and sex as nuisance covariates.  An advantage of the group-time interaction in our model is that the </w:t>
      </w:r>
      <w:r>
        <w:rPr/>
      </w:r>
      <m:oMath xmlns:m="http://schemas.openxmlformats.org/officeDocument/2006/math">
        <m:r>
          <w:rPr>
            <w:rFonts w:ascii="Cambria Math" w:hAnsi="Cambria Math"/>
          </w:rPr>
          <m:t xml:space="preserve">F</m:t>
        </m:r>
      </m:oMath>
      <w:r>
        <w:rPr/>
        <w:t>-ratio does not require partitioning the error and includes only factors and time-invariant nuisance convariates. The model was set up as flexible factorial design with factors “subject”, “group”, and “time” assuming unequal group variances.  Differences could be attributed to different corrections for non-spherity and assumptions on voxel covariance structures. Detailed comparisons between SPM12, SwE, and other software packages have been described elsewhere (McFarquhar et al. 2016).  Opposed to flexible factorial models, where each individual is modelled separately, models are parsimonious and preserve more degrees of freedom.</w:t>
      </w:r>
    </w:p>
    <w:p>
      <w:pPr>
        <w:pStyle w:val="TextBody"/>
        <w:rPr/>
      </w:pPr>
      <w:r>
        <w:rPr/>
        <w:t xml:space="preserve">Based on concerns expressed in the literature [@], we tried to closely inspect and rigorously control for the influence of head motion. The presence of multicollinearity of our predictors has been established before. As described in Monti (2011) in the presence of multicollinearity, the unique contribution of the regressor for the prediction cannot be disentangled. Confidence in </w:t>
      </w:r>
      <w:r>
        <w:rPr/>
      </w:r>
      <m:oMath xmlns:m="http://schemas.openxmlformats.org/officeDocument/2006/math">
        <m:r>
          <w:rPr>
            <w:rFonts w:ascii="Cambria Math" w:hAnsi="Cambria Math"/>
          </w:rPr>
          <m:t xml:space="preserve">β</m:t>
        </m:r>
      </m:oMath>
      <w:r>
        <w:rPr/>
        <w:t xml:space="preserve"> estimates will suffers and estimates can behave erratic depending on which regressors included in the model.</w:t>
      </w:r>
    </w:p>
    <w:p>
      <w:pPr>
        <w:pStyle w:val="Heading1"/>
        <w:rPr/>
      </w:pPr>
      <w:bookmarkStart w:id="17" w:name="code-availability"/>
      <w:r>
        <w:rPr/>
        <w:t>Code availability</w:t>
      </w:r>
      <w:bookmarkEnd w:id="17"/>
    </w:p>
    <w:p>
      <w:pPr>
        <w:pStyle w:val="FirstParagraph"/>
        <w:rPr/>
      </w:pPr>
      <w:r>
        <w:rPr/>
        <w:t xml:space="preserve">All code is available in the github repository </w:t>
      </w:r>
      <w:hyperlink r:id="rId5">
        <w:r>
          <w:rPr>
            <w:rStyle w:val="InternetLink"/>
          </w:rPr>
          <w:t>https://github.com/hsx1/adi2_rsfmri</w:t>
        </w:r>
      </w:hyperlink>
      <w:r>
        <w:rPr/>
        <w:t>. The code includes script for data preparation and analysis of different models.</w:t>
      </w:r>
    </w:p>
    <w:p>
      <w:pPr>
        <w:pStyle w:val="Heading1"/>
        <w:rPr/>
      </w:pPr>
      <w:bookmarkStart w:id="18" w:name="declaration-of-interest"/>
      <w:r>
        <w:rPr/>
        <w:t>Declaration of interest</w:t>
      </w:r>
      <w:bookmarkEnd w:id="18"/>
    </w:p>
    <w:p>
      <w:pPr>
        <w:pStyle w:val="Heading1"/>
        <w:rPr/>
      </w:pPr>
      <w:bookmarkStart w:id="19" w:name="funding"/>
      <w:r>
        <w:rPr/>
        <w:t>Funding</w:t>
      </w:r>
      <w:bookmarkEnd w:id="19"/>
    </w:p>
    <w:p>
      <w:pPr>
        <w:pStyle w:val="Heading1"/>
        <w:rPr/>
      </w:pPr>
      <w:bookmarkStart w:id="20" w:name="acknowledgments"/>
      <w:r>
        <w:rPr/>
        <w:t>Acknowledgments</w:t>
      </w:r>
      <w:bookmarkEnd w:id="20"/>
    </w:p>
    <w:p>
      <w:pPr>
        <w:pStyle w:val="Heading1"/>
        <w:rPr/>
      </w:pPr>
      <w:bookmarkStart w:id="21" w:name="author-contributions"/>
      <w:r>
        <w:rPr/>
        <w:t>Author Contributions</w:t>
      </w:r>
      <w:bookmarkEnd w:id="21"/>
    </w:p>
    <w:p>
      <w:pPr>
        <w:pStyle w:val="FirstParagraph"/>
        <w:rPr/>
      </w:pPr>
      <w:r>
        <w:rPr/>
        <w:t>Stud conception and design Aqcuisiiton of data: Analysis andinterpretation of data: Frafting of manuscript: Ciritical revision:</w:t>
      </w:r>
    </w:p>
    <w:p>
      <w:pPr>
        <w:pStyle w:val="Normal"/>
        <w:rPr/>
      </w:pPr>
      <w:r>
        <w:rPr/>
      </w:r>
      <w:r>
        <w:br w:type="page"/>
      </w:r>
    </w:p>
    <w:p>
      <w:pPr>
        <w:pStyle w:val="Heading1"/>
        <w:rPr/>
      </w:pPr>
      <w:bookmarkStart w:id="22" w:name="references"/>
      <w:r>
        <w:rPr/>
        <w:t>References</w:t>
      </w:r>
      <w:bookmarkEnd w:id="22"/>
    </w:p>
    <w:p>
      <w:pPr>
        <w:pStyle w:val="Bibliography"/>
        <w:rPr/>
      </w:pPr>
      <w:r>
        <w:rPr/>
        <w:t xml:space="preserve">Bartra, Oscar, Joseph T McGuire, and Joseph W Kable. 2013. “The Valuation System: A Coordinate-Based Meta-Analysis of Bold fMRI Experiments Examining Neural Correlates of Subjective Value.” </w:t>
      </w:r>
      <w:r>
        <w:rPr>
          <w:i/>
        </w:rPr>
        <w:t>Neuroimage</w:t>
      </w:r>
      <w:r>
        <w:rPr/>
        <w:t xml:space="preserve"> 76 (August): 412–27. </w:t>
      </w:r>
      <w:hyperlink r:id="rId6">
        <w:r>
          <w:rPr>
            <w:rStyle w:val="InternetLink"/>
          </w:rPr>
          <w:t>https://doi.org/10.1016/j.neuroimage.2013.02.063</w:t>
        </w:r>
      </w:hyperlink>
      <w:r>
        <w:rPr/>
        <w:t>.</w:t>
      </w:r>
      <w:bookmarkStart w:id="23" w:name="ref-Bartra_2013"/>
      <w:bookmarkEnd w:id="23"/>
    </w:p>
    <w:p>
      <w:pPr>
        <w:pStyle w:val="Bibliography"/>
        <w:rPr/>
      </w:pPr>
      <w:r>
        <w:rPr/>
        <w:t xml:space="preserve">Beyer, Frauke, Isabel García-García, Matthias Heinrich, Matthias L. Schroeter, Julia Sacher, Tobias Luck, Steffi G. Riedel-Heller, Michael Stumvoll, Arno Villringer, and A. Veronica Witte. 2019. “Neuroanatomical Correlates of Food Addiction Symptoms and Body Mass Index in the General Population.” </w:t>
      </w:r>
      <w:r>
        <w:rPr>
          <w:i/>
        </w:rPr>
        <w:t>Human Brain Mapping</w:t>
      </w:r>
      <w:r>
        <w:rPr/>
        <w:t xml:space="preserve"> 40 (9): 2747–58. </w:t>
      </w:r>
      <w:hyperlink r:id="rId7">
        <w:r>
          <w:rPr>
            <w:rStyle w:val="InternetLink"/>
          </w:rPr>
          <w:t>https://doi.org/10.1002/hbm.24557</w:t>
        </w:r>
      </w:hyperlink>
      <w:r>
        <w:rPr/>
        <w:t>.</w:t>
      </w:r>
      <w:bookmarkStart w:id="24" w:name="ref-Beyer_2019"/>
      <w:bookmarkEnd w:id="24"/>
    </w:p>
    <w:p>
      <w:pPr>
        <w:pStyle w:val="Bibliography"/>
        <w:rPr/>
      </w:pPr>
      <w:r>
        <w:rPr/>
        <w:t xml:space="preserve">Beyer, Frauke, Sharzhad Kharabian Masouleh, Julia M Huntenburg, Leonie Lampe, Tobias Luck, Steffi G Riedel-Heller, Markus Loeffler, et al. 2017. “Higher Body Mass Index Is Associated with Reduced Posterior Default Mode Connectivity in Older Adults.” </w:t>
      </w:r>
      <w:r>
        <w:rPr>
          <w:i/>
        </w:rPr>
        <w:t>Human Brain Mapping</w:t>
      </w:r>
      <w:r>
        <w:rPr/>
        <w:t xml:space="preserve"> 38 (7): 3502–15. </w:t>
      </w:r>
      <w:hyperlink r:id="rId8">
        <w:r>
          <w:rPr>
            <w:rStyle w:val="InternetLink"/>
          </w:rPr>
          <w:t>https://doi.org/10.1002/hbm.23605</w:t>
        </w:r>
      </w:hyperlink>
      <w:r>
        <w:rPr/>
        <w:t>.</w:t>
      </w:r>
      <w:bookmarkStart w:id="25" w:name="ref-Beyer_2017"/>
      <w:bookmarkEnd w:id="25"/>
    </w:p>
    <w:p>
      <w:pPr>
        <w:pStyle w:val="Bibliography"/>
        <w:rPr/>
      </w:pPr>
      <w:r>
        <w:rPr/>
        <w:t xml:space="preserve">Chen, Gang, Ziad S. Saad, Jennifer C. Britton, Daniel S. Pine, and Robert W. Cox. 2013. “Linear Mixed-Effects Modeling Approach to FMRI Group Analysis.” </w:t>
      </w:r>
      <w:r>
        <w:rPr>
          <w:i/>
        </w:rPr>
        <w:t>NeuroImage</w:t>
      </w:r>
      <w:r>
        <w:rPr/>
        <w:t xml:space="preserve"> 73 (June): 176–90. </w:t>
      </w:r>
      <w:hyperlink r:id="rId9">
        <w:r>
          <w:rPr>
            <w:rStyle w:val="InternetLink"/>
          </w:rPr>
          <w:t>https://doi.org/10.1016/j.neuroimage.2013.01.047</w:t>
        </w:r>
      </w:hyperlink>
      <w:r>
        <w:rPr/>
        <w:t>.</w:t>
      </w:r>
      <w:bookmarkStart w:id="26" w:name="ref-Chen_2013"/>
      <w:bookmarkEnd w:id="26"/>
    </w:p>
    <w:p>
      <w:pPr>
        <w:pStyle w:val="Bibliography"/>
        <w:rPr/>
      </w:pPr>
      <w:r>
        <w:rPr/>
        <w:t xml:space="preserve">Chooi, Yu Chung, Cherlyn Ding, and Faidon Magkos. 2019. “The Epidemiology of Obesity.” </w:t>
      </w:r>
      <w:r>
        <w:rPr>
          <w:i/>
        </w:rPr>
        <w:t>Metabolism</w:t>
      </w:r>
      <w:r>
        <w:rPr/>
        <w:t xml:space="preserve"> 92 (March): 6–10. </w:t>
      </w:r>
      <w:hyperlink r:id="rId10">
        <w:r>
          <w:rPr>
            <w:rStyle w:val="InternetLink"/>
          </w:rPr>
          <w:t>https://doi.org/10.1016/j.metabol.2018.09.005</w:t>
        </w:r>
      </w:hyperlink>
      <w:r>
        <w:rPr/>
        <w:t>.</w:t>
      </w:r>
      <w:bookmarkStart w:id="27" w:name="ref-Chooi_2019"/>
      <w:bookmarkEnd w:id="27"/>
    </w:p>
    <w:p>
      <w:pPr>
        <w:pStyle w:val="Bibliography"/>
        <w:rPr/>
      </w:pPr>
      <w:r>
        <w:rPr/>
        <w:t xml:space="preserve">Chou, Y.-h., L. P. Panych, C. C. Dickey, J. R. Petrella, and N.-k. Chen. 2012. “Investigation of Long-Term Reproducibility of Intrinsic Connectivity Network Mapping: A Resting-State fMRI Study.” </w:t>
      </w:r>
      <w:r>
        <w:rPr>
          <w:i/>
        </w:rPr>
        <w:t>American Journal of Neuroradiology</w:t>
      </w:r>
      <w:r>
        <w:rPr/>
        <w:t xml:space="preserve"> 33 (5): 833–38. </w:t>
      </w:r>
      <w:hyperlink r:id="rId11">
        <w:r>
          <w:rPr>
            <w:rStyle w:val="InternetLink"/>
          </w:rPr>
          <w:t>https://doi.org/10.3174/ajnr.A2894</w:t>
        </w:r>
      </w:hyperlink>
      <w:r>
        <w:rPr/>
        <w:t>.</w:t>
      </w:r>
      <w:bookmarkStart w:id="28" w:name="ref-Chou_2012"/>
      <w:bookmarkEnd w:id="28"/>
    </w:p>
    <w:p>
      <w:pPr>
        <w:pStyle w:val="Bibliography"/>
        <w:rPr/>
      </w:pPr>
      <w:r>
        <w:rPr/>
        <w:t xml:space="preserve">Ciric, Rastko, Adon F. G. Rosen, Guray Erus, Matthew Cieslak, Azeez Adebimpe, Philip A. Cook, Danielle S. Bassett, Christos Davatzikos, Daniel H. Wolf, and Theodore D. Satterthwaite. 2018. “Mitigating Head Motion Artifact in Functional Connectivity MRI.” </w:t>
      </w:r>
      <w:r>
        <w:rPr>
          <w:i/>
        </w:rPr>
        <w:t>Nature Protocols</w:t>
      </w:r>
      <w:r>
        <w:rPr/>
        <w:t xml:space="preserve"> 13 (12): 2801–26. </w:t>
      </w:r>
      <w:hyperlink r:id="rId12">
        <w:r>
          <w:rPr>
            <w:rStyle w:val="InternetLink"/>
          </w:rPr>
          <w:t>https://doi.org/10.1038/s41596-018-0065-y</w:t>
        </w:r>
      </w:hyperlink>
      <w:r>
        <w:rPr/>
        <w:t>.</w:t>
      </w:r>
      <w:bookmarkStart w:id="29" w:name="ref-Ciric_2018"/>
      <w:bookmarkEnd w:id="29"/>
    </w:p>
    <w:p>
      <w:pPr>
        <w:pStyle w:val="Bibliography"/>
        <w:rPr/>
      </w:pPr>
      <w:r>
        <w:rPr/>
        <w:t xml:space="preserve">Ciric, Rastko, Daniel H Wolf, Jonathan D Power, David R Roalf, Graham L Baum, Kosha Ruparel, Russell T Shinohara, et al. 2017. “Benchmarking of Participant-Level Confound Regression Strategies for the Control of Motion Artifact in Studies of Functional Connectivity.” </w:t>
      </w:r>
      <w:r>
        <w:rPr>
          <w:i/>
        </w:rPr>
        <w:t>NeuroImage</w:t>
      </w:r>
      <w:r>
        <w:rPr/>
        <w:t xml:space="preserve"> 154 (July): 174–87. </w:t>
      </w:r>
      <w:hyperlink r:id="rId13">
        <w:r>
          <w:rPr>
            <w:rStyle w:val="InternetLink"/>
          </w:rPr>
          <w:t>https://doi.org/10.1016/j.neuroimage.2017.03.020</w:t>
        </w:r>
      </w:hyperlink>
      <w:r>
        <w:rPr/>
        <w:t>.</w:t>
      </w:r>
      <w:bookmarkStart w:id="30" w:name="ref-Ciric_2017"/>
      <w:bookmarkEnd w:id="30"/>
    </w:p>
    <w:p>
      <w:pPr>
        <w:pStyle w:val="Bibliography"/>
        <w:rPr/>
      </w:pPr>
      <w:r>
        <w:rPr/>
        <w:t xml:space="preserve">Duan, Shijun, Gang Ji, Guanya Li, Yang Hu, Wenchao Zhang, Jia Wang, Dardo Tomasi, et al. 2020. “Bariatric Surgery Induces Alterations in Effective Connectivity Between the Orbitofrontal Cortex and Limbic Regions in Obese Patients.” </w:t>
      </w:r>
      <w:r>
        <w:rPr>
          <w:i/>
        </w:rPr>
        <w:t>Science China Information Sciences</w:t>
      </w:r>
      <w:r>
        <w:rPr/>
        <w:t xml:space="preserve"> 63 (7). </w:t>
      </w:r>
      <w:hyperlink r:id="rId14">
        <w:r>
          <w:rPr>
            <w:rStyle w:val="InternetLink"/>
          </w:rPr>
          <w:t>https://doi.org/10.1007/s11432-019-2817-x</w:t>
        </w:r>
      </w:hyperlink>
      <w:r>
        <w:rPr/>
        <w:t>.</w:t>
      </w:r>
      <w:bookmarkStart w:id="31" w:name="ref-Duan_2020"/>
      <w:bookmarkEnd w:id="31"/>
    </w:p>
    <w:p>
      <w:pPr>
        <w:pStyle w:val="Bibliography"/>
        <w:rPr/>
      </w:pPr>
      <w:r>
        <w:rPr/>
        <w:t xml:space="preserve">Fuchs, Hans F., Ryan C. Broderick, Cristina R. Harnsberger, David C. Chang, Bryan J. Sandler, Garth R. Jacobsen, and Santiago Horgan. 2015. “Benefits of Bariatric Surgery Do Not Reach Obese Men.” </w:t>
      </w:r>
      <w:r>
        <w:rPr>
          <w:i/>
        </w:rPr>
        <w:t>Journal of Laparoendoscopic &amp; Advanced Surgical Techniques</w:t>
      </w:r>
      <w:r>
        <w:rPr/>
        <w:t xml:space="preserve"> 25 (3): 196–201. </w:t>
      </w:r>
      <w:hyperlink r:id="rId15">
        <w:r>
          <w:rPr>
            <w:rStyle w:val="InternetLink"/>
          </w:rPr>
          <w:t>https://doi.org/10.1089/lap.2014.0639</w:t>
        </w:r>
      </w:hyperlink>
      <w:r>
        <w:rPr/>
        <w:t>.</w:t>
      </w:r>
      <w:bookmarkStart w:id="32" w:name="ref-Fuchs_2015"/>
      <w:bookmarkEnd w:id="32"/>
    </w:p>
    <w:p>
      <w:pPr>
        <w:pStyle w:val="Bibliography"/>
        <w:rPr/>
      </w:pPr>
      <w:r>
        <w:rPr/>
        <w:t>Guillaume, Bryan, Xue Hua, Paul Thomson, Lourens Waldorp, and Thomas Nichols. 2014. “The Swe Toolbox: A Toolbox for the Analysis of Longitudinal and Repeated Measures Neuroimaging Data.”</w:t>
      </w:r>
      <w:bookmarkStart w:id="33" w:name="ref-Guillaume_2014"/>
      <w:bookmarkEnd w:id="33"/>
    </w:p>
    <w:p>
      <w:pPr>
        <w:pStyle w:val="Bibliography"/>
        <w:rPr/>
      </w:pPr>
      <w:r>
        <w:rPr/>
        <w:t xml:space="preserve">Hare, Todd A, Jonathan Malmaud, and Antonio Rangel. 2011. “Focusing Attention on the Health Aspects of Foods Changes Value Signals in vmPFC and Improves Dietary Choice.” </w:t>
      </w:r>
      <w:r>
        <w:rPr>
          <w:i/>
        </w:rPr>
        <w:t>Journal of Neuroscience</w:t>
      </w:r>
      <w:r>
        <w:rPr/>
        <w:t xml:space="preserve"> 31 (30): 11077–87. </w:t>
      </w:r>
      <w:hyperlink r:id="rId16">
        <w:r>
          <w:rPr>
            <w:rStyle w:val="InternetLink"/>
          </w:rPr>
          <w:t>https://doi.org/10.1523/JNEUROSCI.6383-10.2011</w:t>
        </w:r>
      </w:hyperlink>
      <w:r>
        <w:rPr/>
        <w:t>.</w:t>
      </w:r>
      <w:bookmarkStart w:id="34" w:name="ref-Hare_2011"/>
      <w:bookmarkEnd w:id="34"/>
    </w:p>
    <w:p>
      <w:pPr>
        <w:pStyle w:val="Bibliography"/>
        <w:rPr/>
      </w:pPr>
      <w:r>
        <w:rPr/>
        <w:t xml:space="preserve">Hodgson, Karen, Russell A Poldrack, Joanne E Curran, Emma E Knowles, Samuel Mathias, Harald HH Göring, Nailin Yao, et al. 2016. “Shared Genetic Factors Influence Head Motion During MRI and Body Mass Index.” </w:t>
      </w:r>
      <w:r>
        <w:rPr>
          <w:i/>
        </w:rPr>
        <w:t>Cerebral Cortex</w:t>
      </w:r>
      <w:r>
        <w:rPr/>
        <w:t xml:space="preserve">, October. </w:t>
      </w:r>
      <w:hyperlink r:id="rId17">
        <w:r>
          <w:rPr>
            <w:rStyle w:val="InternetLink"/>
          </w:rPr>
          <w:t>https://doi.org/10.1093/cercor/bhw321</w:t>
        </w:r>
      </w:hyperlink>
      <w:r>
        <w:rPr/>
        <w:t>.</w:t>
      </w:r>
      <w:bookmarkStart w:id="35" w:name="ref-Hodgson_2016"/>
      <w:bookmarkEnd w:id="35"/>
    </w:p>
    <w:p>
      <w:pPr>
        <w:pStyle w:val="Bibliography"/>
        <w:rPr/>
      </w:pPr>
      <w:r>
        <w:rPr/>
        <w:t xml:space="preserve">Hutcherson, Cendri A, Hilke Plassmann, James J Gross, and Antonio Rangel. 2012. “Cognitive Regulation During Decision Making Shifts Behavioral Control Between Ventromedial and Dorsolateral Prefrontal Value Systems.” </w:t>
      </w:r>
      <w:r>
        <w:rPr>
          <w:i/>
        </w:rPr>
        <w:t>Journal of Neuroscience</w:t>
      </w:r>
      <w:r>
        <w:rPr/>
        <w:t xml:space="preserve"> 32 (39): 13543–54. </w:t>
      </w:r>
      <w:hyperlink r:id="rId18">
        <w:r>
          <w:rPr>
            <w:rStyle w:val="InternetLink"/>
          </w:rPr>
          <w:t>https://doi.org/10.1523/JNEUROSCI.6387-11.2012</w:t>
        </w:r>
      </w:hyperlink>
      <w:r>
        <w:rPr/>
        <w:t>.</w:t>
      </w:r>
      <w:bookmarkStart w:id="36" w:name="ref-Hutcherson_2012"/>
      <w:bookmarkEnd w:id="36"/>
    </w:p>
    <w:p>
      <w:pPr>
        <w:pStyle w:val="Bibliography"/>
        <w:rPr/>
      </w:pPr>
      <w:r>
        <w:rPr/>
        <w:t xml:space="preserve">Klapwijk, Eduard T., Ferdi van de Kamp, Mara van der Meulen, Sabine Peters, and Lara M. Wierenga. 2019. “Qoala-T: A Supervised-Learning Tool for Quality Control of FreeSurfer Segmented MRI Data.” </w:t>
      </w:r>
      <w:r>
        <w:rPr>
          <w:i/>
        </w:rPr>
        <w:t>NeuroImage</w:t>
      </w:r>
      <w:r>
        <w:rPr/>
        <w:t xml:space="preserve"> 189 (April): 116–29. </w:t>
      </w:r>
      <w:hyperlink r:id="rId19">
        <w:r>
          <w:rPr>
            <w:rStyle w:val="InternetLink"/>
          </w:rPr>
          <w:t>https://doi.org/10.1016/j.neuroimage.2019.01.014</w:t>
        </w:r>
      </w:hyperlink>
      <w:r>
        <w:rPr/>
        <w:t>.</w:t>
      </w:r>
      <w:bookmarkStart w:id="37" w:name="ref-Klapwijk_2019"/>
      <w:bookmarkEnd w:id="37"/>
    </w:p>
    <w:p>
      <w:pPr>
        <w:pStyle w:val="Bibliography"/>
        <w:rPr/>
      </w:pPr>
      <w:r>
        <w:rPr/>
        <w:t xml:space="preserve">Kullmann, Stephanie, Martin Heni, Ralf Veit, Caroline Ketterer, Fritz Schick, Hans-Ulrich Häring, Andreas Fritsche, and Hubert Preissl. 2011. “The Obese Brain: Association of Body Mass Index and Insulin Sensitivity with Resting State Network Functional Connectivity.” </w:t>
      </w:r>
      <w:r>
        <w:rPr>
          <w:i/>
        </w:rPr>
        <w:t>Human Brain Mapping</w:t>
      </w:r>
      <w:r>
        <w:rPr/>
        <w:t xml:space="preserve"> 33 (5): 1052–61. </w:t>
      </w:r>
      <w:hyperlink r:id="rId20">
        <w:r>
          <w:rPr>
            <w:rStyle w:val="InternetLink"/>
          </w:rPr>
          <w:t>https://doi.org/10.1002/hbm.21268</w:t>
        </w:r>
      </w:hyperlink>
      <w:r>
        <w:rPr/>
        <w:t>.</w:t>
      </w:r>
      <w:bookmarkStart w:id="38" w:name="ref-Kullmann_2011"/>
      <w:bookmarkEnd w:id="38"/>
    </w:p>
    <w:p>
      <w:pPr>
        <w:pStyle w:val="Bibliography"/>
        <w:rPr/>
      </w:pPr>
      <w:r>
        <w:rPr/>
        <w:t xml:space="preserve">Lepping, Rebecca J., Amanda S. Bruce, Alex Francisco, Hung-Wen Yeh, Laura E. Martin, Joshua N. Powell, Laura Hancock, et al. 2015. “Resting-State Brain Connectivity After Surgical and Behavioral Weight Loss.” </w:t>
      </w:r>
      <w:r>
        <w:rPr>
          <w:i/>
        </w:rPr>
        <w:t>Obesity</w:t>
      </w:r>
      <w:r>
        <w:rPr/>
        <w:t xml:space="preserve"> 23 (7): 1422–8. </w:t>
      </w:r>
      <w:hyperlink r:id="rId21">
        <w:r>
          <w:rPr>
            <w:rStyle w:val="InternetLink"/>
          </w:rPr>
          <w:t>https://doi.org/10.1002/oby.21119</w:t>
        </w:r>
      </w:hyperlink>
      <w:r>
        <w:rPr/>
        <w:t>.</w:t>
      </w:r>
      <w:bookmarkStart w:id="39" w:name="ref-Lepping_2015"/>
      <w:bookmarkEnd w:id="39"/>
    </w:p>
    <w:p>
      <w:pPr>
        <w:pStyle w:val="Bibliography"/>
        <w:rPr/>
      </w:pPr>
      <w:r>
        <w:rPr/>
        <w:t xml:space="preserve">Li, Guanya, Gang Ji, Yang Hu, Mingzhu Xu, Qingchao Jin, Li Liu, Karen M. Deneen, et al. 2018. “Bariatric Surgery in Obese Patients Reduced Resting Connectivity of Brain Regions Involved with Self-Referential Processing.” </w:t>
      </w:r>
      <w:r>
        <w:rPr>
          <w:i/>
        </w:rPr>
        <w:t>Human Brain Mapping</w:t>
      </w:r>
      <w:r>
        <w:rPr/>
        <w:t xml:space="preserve"> 39 (12): 4755–65. </w:t>
      </w:r>
      <w:hyperlink r:id="rId22">
        <w:r>
          <w:rPr>
            <w:rStyle w:val="InternetLink"/>
          </w:rPr>
          <w:t>https://doi.org/10.1002/hbm.24320</w:t>
        </w:r>
      </w:hyperlink>
      <w:r>
        <w:rPr/>
        <w:t>.</w:t>
      </w:r>
      <w:bookmarkStart w:id="40" w:name="ref-Li_2018"/>
      <w:bookmarkEnd w:id="40"/>
    </w:p>
    <w:p>
      <w:pPr>
        <w:pStyle w:val="Bibliography"/>
        <w:rPr/>
      </w:pPr>
      <w:r>
        <w:rPr/>
        <w:t xml:space="preserve">McFarquhar, Martyn. 2019. “Modeling Group-Level Repeated Measurements of Neuroimaging Data Using the Univariate General Linear Model.” </w:t>
      </w:r>
      <w:r>
        <w:rPr>
          <w:i/>
        </w:rPr>
        <w:t>Frontiers in Neuroscience</w:t>
      </w:r>
      <w:r>
        <w:rPr/>
        <w:t xml:space="preserve"> 13 (April). </w:t>
      </w:r>
      <w:hyperlink r:id="rId23">
        <w:r>
          <w:rPr>
            <w:rStyle w:val="InternetLink"/>
          </w:rPr>
          <w:t>https://doi.org/10.3389/fnins.2019.00352</w:t>
        </w:r>
      </w:hyperlink>
      <w:r>
        <w:rPr/>
        <w:t>.</w:t>
      </w:r>
      <w:bookmarkStart w:id="41" w:name="ref-McFarquhar_2019"/>
      <w:bookmarkEnd w:id="41"/>
    </w:p>
    <w:p>
      <w:pPr>
        <w:pStyle w:val="Bibliography"/>
        <w:rPr/>
      </w:pPr>
      <w:r>
        <w:rPr/>
        <w:t xml:space="preserve">McFarquhar, Martyn, Shane McKie, Richard Emsley, John Suckling, Rebecca Elliott, and Stephen Williams. 2016. “Multivariate and Repeated Measures (MRM): A New Toolbox for Dependent and Multimodal Group-Level Neuroimaging Data.” </w:t>
      </w:r>
      <w:r>
        <w:rPr>
          <w:i/>
        </w:rPr>
        <w:t>NeuroImage</w:t>
      </w:r>
      <w:r>
        <w:rPr/>
        <w:t xml:space="preserve"> 132 (May): 373–89. </w:t>
      </w:r>
      <w:hyperlink r:id="rId24">
        <w:r>
          <w:rPr>
            <w:rStyle w:val="InternetLink"/>
          </w:rPr>
          <w:t>https://doi.org/10.1016/j.neuroimage.2016.02.053</w:t>
        </w:r>
      </w:hyperlink>
      <w:r>
        <w:rPr/>
        <w:t>.</w:t>
      </w:r>
      <w:bookmarkStart w:id="42" w:name="ref-McFarquhar_2016"/>
      <w:bookmarkEnd w:id="42"/>
    </w:p>
    <w:p>
      <w:pPr>
        <w:pStyle w:val="Bibliography"/>
        <w:rPr/>
      </w:pPr>
      <w:r>
        <w:rPr/>
        <w:t xml:space="preserve">Mechanick, Jeffrey I., Adrienne Youdim, Daniel B. Jones, W. Timothy Garvey, Daniel L. Hurley, M. Molly McMahon, Leslie J. Heinberg, et al. 2013. “Clinical Practice Guidelines for the Perioperative Nutritional, Metabolic, and Nonsurgical Support of the Bariatric Surgery Patient2013 Update: Cosponsored by American Association of Clinical Endocrinologists, the Obesity Society, and American Society for Metabolic &amp; Bariatric Surgery.” </w:t>
      </w:r>
      <w:r>
        <w:rPr>
          <w:i/>
        </w:rPr>
        <w:t>Surgery for Obesity and Related Diseases</w:t>
      </w:r>
      <w:r>
        <w:rPr/>
        <w:t xml:space="preserve"> 9 (2): 159–91. </w:t>
      </w:r>
      <w:hyperlink r:id="rId25">
        <w:r>
          <w:rPr>
            <w:rStyle w:val="InternetLink"/>
          </w:rPr>
          <w:t>https://doi.org/10.1016/j.soard.2012.12.010</w:t>
        </w:r>
      </w:hyperlink>
      <w:r>
        <w:rPr/>
        <w:t>.</w:t>
      </w:r>
      <w:bookmarkStart w:id="43" w:name="ref-Mechanick_2013"/>
      <w:bookmarkEnd w:id="43"/>
    </w:p>
    <w:p>
      <w:pPr>
        <w:pStyle w:val="Bibliography"/>
        <w:rPr/>
      </w:pPr>
      <w:r>
        <w:rPr/>
        <w:t xml:space="preserve">Monti, Martin. 2011. “Statistical Analysis of fMRI Time-Series: A Critical Review of the GLM Approach.” </w:t>
      </w:r>
      <w:r>
        <w:rPr>
          <w:i/>
        </w:rPr>
        <w:t>Frontiers in Human Neuroscience</w:t>
      </w:r>
      <w:r>
        <w:rPr/>
        <w:t xml:space="preserve"> 5. </w:t>
      </w:r>
      <w:hyperlink r:id="rId26">
        <w:r>
          <w:rPr>
            <w:rStyle w:val="InternetLink"/>
          </w:rPr>
          <w:t>https://doi.org/10.3389/fnhum.2011.00028</w:t>
        </w:r>
      </w:hyperlink>
      <w:r>
        <w:rPr/>
        <w:t>.</w:t>
      </w:r>
      <w:bookmarkStart w:id="44" w:name="ref-Monti_2011"/>
      <w:bookmarkEnd w:id="44"/>
    </w:p>
    <w:p>
      <w:pPr>
        <w:pStyle w:val="Bibliography"/>
        <w:rPr/>
      </w:pPr>
      <w:r>
        <w:rPr/>
        <w:t xml:space="preserve">Mulla, Christopher M., Roeland J. W. Middelbeek, and Mary-Elizabeth Patti. 2017. “Mechanisms of Weight Loss and Improved Metabolism Following Bariatric Surgery.” </w:t>
      </w:r>
      <w:r>
        <w:rPr>
          <w:i/>
        </w:rPr>
        <w:t>Annals of the New York Academy of Sciences</w:t>
      </w:r>
      <w:r>
        <w:rPr/>
        <w:t xml:space="preserve"> 1411 (1): 53–64. </w:t>
      </w:r>
      <w:hyperlink r:id="rId27">
        <w:r>
          <w:rPr>
            <w:rStyle w:val="InternetLink"/>
          </w:rPr>
          <w:t>https://doi.org/10.1111/nyas.13409</w:t>
        </w:r>
      </w:hyperlink>
      <w:r>
        <w:rPr/>
        <w:t>.</w:t>
      </w:r>
      <w:bookmarkStart w:id="45" w:name="ref-Mulla_2017"/>
      <w:bookmarkEnd w:id="45"/>
    </w:p>
    <w:p>
      <w:pPr>
        <w:pStyle w:val="Bibliography"/>
        <w:rPr/>
      </w:pPr>
      <w:r>
        <w:rPr/>
        <w:t xml:space="preserve">Murphy, Kevin, and Michael D. Fox. 2017. “Towards a Consensus Regarding Global Signal Regression for Resting State Functional Connectivity MRI.” </w:t>
      </w:r>
      <w:r>
        <w:rPr>
          <w:i/>
        </w:rPr>
        <w:t>NeuroImage</w:t>
      </w:r>
      <w:r>
        <w:rPr/>
        <w:t xml:space="preserve"> 154 (July): 169–73. </w:t>
      </w:r>
      <w:hyperlink r:id="rId28">
        <w:r>
          <w:rPr>
            <w:rStyle w:val="InternetLink"/>
          </w:rPr>
          <w:t>https://doi.org/10.1016/j.neuroimage.2016.11.052</w:t>
        </w:r>
      </w:hyperlink>
      <w:r>
        <w:rPr/>
        <w:t>.</w:t>
      </w:r>
      <w:bookmarkStart w:id="46" w:name="ref-Murphy_2017"/>
      <w:bookmarkEnd w:id="46"/>
    </w:p>
    <w:p>
      <w:pPr>
        <w:pStyle w:val="Bibliography"/>
        <w:rPr/>
      </w:pPr>
      <w:r>
        <w:rPr/>
        <w:t xml:space="preserve">Nudel, Jacob, and Vivian M. Sanchez. 2019. “Surgical Management of Obesity.” </w:t>
      </w:r>
      <w:r>
        <w:rPr>
          <w:i/>
        </w:rPr>
        <w:t>Metabolism</w:t>
      </w:r>
      <w:r>
        <w:rPr/>
        <w:t xml:space="preserve"> 92 (March): 206–16. </w:t>
      </w:r>
      <w:hyperlink r:id="rId29">
        <w:r>
          <w:rPr>
            <w:rStyle w:val="InternetLink"/>
          </w:rPr>
          <w:t>https://doi.org/10.1016/j.metabol.2018.12.002</w:t>
        </w:r>
      </w:hyperlink>
      <w:r>
        <w:rPr/>
        <w:t>.</w:t>
      </w:r>
      <w:bookmarkStart w:id="47" w:name="ref-Nudel_2019"/>
      <w:bookmarkEnd w:id="47"/>
    </w:p>
    <w:p>
      <w:pPr>
        <w:pStyle w:val="Bibliography"/>
        <w:rPr/>
      </w:pPr>
      <w:r>
        <w:rPr/>
        <w:t xml:space="preserve">Olivo, Gaia, Lyle Wiemerslage, Emil K. Nilsson, Linda Solstrand Dahlberg, Anna L. Larsen, Marcela Olaya Búcaro, Veronica P. Gustafsson, et al. 2016. “Resting-State Brain and the Fto Obesity Risk Allele: Default Mode, Sensorimotor, and Salience Network Connectivity Underlying Different Somatosensory Integration and Reward Processing Between Genotypes.” </w:t>
      </w:r>
      <w:r>
        <w:rPr>
          <w:i/>
        </w:rPr>
        <w:t>Frontiers in Human Neuroscience</w:t>
      </w:r>
      <w:r>
        <w:rPr/>
        <w:t xml:space="preserve"> 10 (February). </w:t>
      </w:r>
      <w:hyperlink r:id="rId30">
        <w:r>
          <w:rPr>
            <w:rStyle w:val="InternetLink"/>
          </w:rPr>
          <w:t>https://doi.org/10.3389/fnhum.2016.00052</w:t>
        </w:r>
      </w:hyperlink>
      <w:r>
        <w:rPr/>
        <w:t>.</w:t>
      </w:r>
      <w:bookmarkStart w:id="48" w:name="ref-Olivo_2016"/>
      <w:bookmarkEnd w:id="48"/>
    </w:p>
    <w:p>
      <w:pPr>
        <w:pStyle w:val="Bibliography"/>
        <w:rPr/>
      </w:pPr>
      <w:r>
        <w:rPr/>
        <w:t xml:space="preserve">Olivo, Gaia, Wei Zhou, Magnus Sundbom, Christina Zhukovsky, Pleunie Hogenkamp, Lamia Nikontovic, Julia Stark, et al. 2017. “Resting-State Brain Connectivity Changes in Obese Women After Roux-En-Y Gastric Bypass Surgery: A Longitudinal Study.” </w:t>
      </w:r>
      <w:r>
        <w:rPr>
          <w:i/>
        </w:rPr>
        <w:t>Scientific Reports</w:t>
      </w:r>
      <w:r>
        <w:rPr/>
        <w:t xml:space="preserve"> 7 (1). </w:t>
      </w:r>
      <w:hyperlink r:id="rId31">
        <w:r>
          <w:rPr>
            <w:rStyle w:val="InternetLink"/>
          </w:rPr>
          <w:t>https://doi.org/10.1038/s41598-017-06663-5</w:t>
        </w:r>
      </w:hyperlink>
      <w:r>
        <w:rPr/>
        <w:t>.</w:t>
      </w:r>
      <w:bookmarkStart w:id="49" w:name="ref-Olivo_2017"/>
      <w:bookmarkEnd w:id="49"/>
    </w:p>
    <w:p>
      <w:pPr>
        <w:pStyle w:val="Bibliography"/>
        <w:rPr/>
      </w:pPr>
      <w:r>
        <w:rPr/>
        <w:t xml:space="preserve">Parkes, Linden, Ben Fulcher, Murat Yücel, and Alex Fornito. 2018. “An Evaluation of the Efficacy, Reliability, and Sensitivity of Motion Correction Strategies for Resting-State Functional MRI.” </w:t>
      </w:r>
      <w:r>
        <w:rPr>
          <w:i/>
        </w:rPr>
        <w:t>NeuroImage</w:t>
      </w:r>
      <w:r>
        <w:rPr/>
        <w:t xml:space="preserve"> 171 (May): 415–36. </w:t>
      </w:r>
      <w:hyperlink r:id="rId32">
        <w:r>
          <w:rPr>
            <w:rStyle w:val="InternetLink"/>
          </w:rPr>
          <w:t>https://doi.org/10.1016/j.neuroimage.2017.12.073</w:t>
        </w:r>
      </w:hyperlink>
      <w:r>
        <w:rPr/>
        <w:t>.</w:t>
      </w:r>
      <w:bookmarkStart w:id="50" w:name="ref-Parkes_2018"/>
      <w:bookmarkEnd w:id="50"/>
    </w:p>
    <w:p>
      <w:pPr>
        <w:pStyle w:val="Bibliography"/>
        <w:rPr/>
      </w:pPr>
      <w:r>
        <w:rPr/>
        <w:t xml:space="preserve">Power, Jonathan D., Kelly A. Barnes, Abraham Z. Snyder, Bradley L. Schlaggar, and Steven E. Petersen. 2012. “Spurious but Systematic Correlations in Functional Connectivity MRI Networks Arise from Subject Motion.” </w:t>
      </w:r>
      <w:r>
        <w:rPr>
          <w:i/>
        </w:rPr>
        <w:t>NeuroImage</w:t>
      </w:r>
      <w:r>
        <w:rPr/>
        <w:t xml:space="preserve"> 59 (3): 2142–54. </w:t>
      </w:r>
      <w:hyperlink r:id="rId33">
        <w:r>
          <w:rPr>
            <w:rStyle w:val="InternetLink"/>
          </w:rPr>
          <w:t>https://doi.org/10.1016/j.neuroimage.2011.10.018</w:t>
        </w:r>
      </w:hyperlink>
      <w:r>
        <w:rPr/>
        <w:t>.</w:t>
      </w:r>
      <w:bookmarkStart w:id="51" w:name="ref-Power_2012"/>
      <w:bookmarkEnd w:id="51"/>
    </w:p>
    <w:p>
      <w:pPr>
        <w:pStyle w:val="Bibliography"/>
        <w:rPr/>
      </w:pPr>
      <w:r>
        <w:rPr/>
        <w:t xml:space="preserve">Prehn, Kristin, Thorge Profitlich, Ida Rangus, Sebastian Heßler, A. Veronica Witte, Ulrike Grittner, Jürgen Ordemann, and Agnes Flöel. 2020. “Bariatric Surgery and Brain HealthA Longitudinal Observational Study Investigating the Effect of Surgery on Cognitive Function and Gray Matter Volume.” </w:t>
      </w:r>
      <w:r>
        <w:rPr>
          <w:i/>
        </w:rPr>
        <w:t>Nutrients</w:t>
      </w:r>
      <w:r>
        <w:rPr/>
        <w:t xml:space="preserve"> 12 (1): 127. </w:t>
      </w:r>
      <w:hyperlink r:id="rId34">
        <w:r>
          <w:rPr>
            <w:rStyle w:val="InternetLink"/>
          </w:rPr>
          <w:t>https://doi.org/10.3390/nu12010127</w:t>
        </w:r>
      </w:hyperlink>
      <w:r>
        <w:rPr/>
        <w:t>.</w:t>
      </w:r>
      <w:bookmarkStart w:id="52" w:name="ref-Prehn_2020"/>
      <w:bookmarkEnd w:id="52"/>
    </w:p>
    <w:p>
      <w:pPr>
        <w:pStyle w:val="Bibliography"/>
        <w:rPr/>
      </w:pPr>
      <w:r>
        <w:rPr/>
        <w:t xml:space="preserve">Raichle, Marcus E. 2015. “The Brains Default Mode Network.” </w:t>
      </w:r>
      <w:r>
        <w:rPr>
          <w:i/>
        </w:rPr>
        <w:t>Annual Review of Neuroscience</w:t>
      </w:r>
      <w:r>
        <w:rPr/>
        <w:t xml:space="preserve"> 38 (1): 433–47. </w:t>
      </w:r>
      <w:hyperlink r:id="rId35">
        <w:r>
          <w:rPr>
            <w:rStyle w:val="InternetLink"/>
          </w:rPr>
          <w:t>https://doi.org/10.1146/annurev-neuro-071013-014030</w:t>
        </w:r>
      </w:hyperlink>
      <w:r>
        <w:rPr/>
        <w:t>.</w:t>
      </w:r>
      <w:bookmarkStart w:id="53" w:name="ref-Raichle_2015"/>
      <w:bookmarkEnd w:id="53"/>
    </w:p>
    <w:p>
      <w:pPr>
        <w:pStyle w:val="Bibliography"/>
        <w:rPr/>
      </w:pPr>
      <w:r>
        <w:rPr/>
        <w:t xml:space="preserve">Schmidt, Liane, Anita Tusche, Nicolas Manoharan, Cendri Hutcherson, Todd Hare, and Hilke Plassmann. 2018. “Neuroanatomy of the vmPFC and dlPFC Predicts Individual Differences in Cognitive Regulation During Dietary Self-Control Across Regulation Strategies.” </w:t>
      </w:r>
      <w:r>
        <w:rPr>
          <w:i/>
        </w:rPr>
        <w:t>The Journal of Neuroscience</w:t>
      </w:r>
      <w:r>
        <w:rPr/>
        <w:t xml:space="preserve"> 38 (25): 5799–5806. </w:t>
      </w:r>
      <w:hyperlink r:id="rId36">
        <w:r>
          <w:rPr>
            <w:rStyle w:val="InternetLink"/>
          </w:rPr>
          <w:t>https://doi.org/10.1523/JNEUROSCI.3402-17.2018</w:t>
        </w:r>
      </w:hyperlink>
      <w:r>
        <w:rPr/>
        <w:t>.</w:t>
      </w:r>
      <w:bookmarkStart w:id="54" w:name="ref-Schmidt_2018"/>
      <w:bookmarkEnd w:id="54"/>
    </w:p>
    <w:p>
      <w:pPr>
        <w:pStyle w:val="Bibliography"/>
        <w:rPr/>
      </w:pPr>
      <w:r>
        <w:rPr/>
        <w:t xml:space="preserve">Shai, Iris, Dan Schwarzfuchs, Yaakov Henkin, Danit R. Shahar, Shula Witkow, Ilana Greenberg, Rachel Golan, et al. 2008. “Weight Loss with a Low-Carbohydrate, Mediterranean, or Low-Fat Diet.” </w:t>
      </w:r>
      <w:r>
        <w:rPr>
          <w:i/>
        </w:rPr>
        <w:t>New England Journal of Medicine</w:t>
      </w:r>
      <w:r>
        <w:rPr/>
        <w:t xml:space="preserve"> 359 (3): 229–41. </w:t>
      </w:r>
      <w:hyperlink r:id="rId37">
        <w:r>
          <w:rPr>
            <w:rStyle w:val="InternetLink"/>
          </w:rPr>
          <w:t>https://doi.org/10.1056/NEJMoa0708681</w:t>
        </w:r>
      </w:hyperlink>
      <w:r>
        <w:rPr/>
        <w:t>.</w:t>
      </w:r>
      <w:bookmarkStart w:id="55" w:name="ref-Shai_2008"/>
      <w:bookmarkEnd w:id="55"/>
    </w:p>
    <w:p>
      <w:pPr>
        <w:pStyle w:val="Bibliography"/>
        <w:rPr/>
      </w:pPr>
      <w:r>
        <w:rPr/>
        <w:t>Team, R Core, and others. 2013. “R: A Language and Environment for Statistical Computing.” Vienna, Austria.</w:t>
      </w:r>
      <w:bookmarkStart w:id="56" w:name="ref-team2013r"/>
      <w:bookmarkEnd w:id="56"/>
    </w:p>
    <w:p>
      <w:pPr>
        <w:pStyle w:val="Bibliography"/>
        <w:rPr/>
      </w:pPr>
      <w:r>
        <w:rPr/>
        <w:t xml:space="preserve">Thiese, Matthew S. 2014. “Observational and Interventional Study Design Types; an Overview.” </w:t>
      </w:r>
      <w:r>
        <w:rPr>
          <w:i/>
        </w:rPr>
        <w:t>Biochemia Medica</w:t>
      </w:r>
      <w:r>
        <w:rPr/>
        <w:t xml:space="preserve"> 24 (2): 199–210. </w:t>
      </w:r>
      <w:hyperlink r:id="rId38">
        <w:r>
          <w:rPr>
            <w:rStyle w:val="InternetLink"/>
          </w:rPr>
          <w:t>https://doi.org/10.11613/BM.2014.022</w:t>
        </w:r>
      </w:hyperlink>
      <w:r>
        <w:rPr/>
        <w:t>.</w:t>
      </w:r>
      <w:bookmarkStart w:id="57" w:name="ref-Thiese_2014"/>
      <w:bookmarkEnd w:id="57"/>
    </w:p>
    <w:p>
      <w:pPr>
        <w:pStyle w:val="Bibliography"/>
        <w:rPr/>
      </w:pPr>
      <w:r>
        <w:rPr/>
        <w:t xml:space="preserve">Tregellas, Jason R., Korey P. Wylie, Donald C. Rojas, Jody Tanabe, Jesse Martin, Eugene Kronberg, Dietmar Cordes, and Marc-Andre Cornier. 2011. “Altered Default Network Activity in Obesity.” </w:t>
      </w:r>
      <w:r>
        <w:rPr>
          <w:i/>
        </w:rPr>
        <w:t>Obesity</w:t>
      </w:r>
      <w:r>
        <w:rPr/>
        <w:t xml:space="preserve"> 19 (12): 2316–21. </w:t>
      </w:r>
      <w:hyperlink r:id="rId39">
        <w:r>
          <w:rPr>
            <w:rStyle w:val="InternetLink"/>
          </w:rPr>
          <w:t>https://doi.org/10.1038/oby.2011.119</w:t>
        </w:r>
      </w:hyperlink>
      <w:r>
        <w:rPr/>
        <w:t>.</w:t>
      </w:r>
      <w:bookmarkStart w:id="58" w:name="ref-Tregellas_2011"/>
      <w:bookmarkEnd w:id="58"/>
    </w:p>
    <w:p>
      <w:pPr>
        <w:pStyle w:val="Bibliography"/>
        <w:rPr/>
      </w:pPr>
      <w:r>
        <w:rPr/>
        <w:t xml:space="preserve">Veronese, Nicola, Silvia Facchini, Brendon Stubbs, Claudio Luchini, Marco Solmi, Enzo Manzato, Giuseppe Sergi, Stefania Maggi, Theodore Cosco, and Luigi Fontana. 2017. “Weight Loss Is Associated with Improvements in Cognitive Function Among Overweight and Obese People: A Systematic Review and Meta-Analysis.” </w:t>
      </w:r>
      <w:r>
        <w:rPr>
          <w:i/>
        </w:rPr>
        <w:t>Neuroscience &amp; Biobehavioral Reviews</w:t>
      </w:r>
      <w:r>
        <w:rPr/>
        <w:t xml:space="preserve"> 72 (January): 87–94. </w:t>
      </w:r>
      <w:hyperlink r:id="rId40">
        <w:r>
          <w:rPr>
            <w:rStyle w:val="InternetLink"/>
          </w:rPr>
          <w:t>https://doi.org/10.1016/j.neubiorev.2016.11.017</w:t>
        </w:r>
      </w:hyperlink>
      <w:r>
        <w:rPr/>
        <w:t>.</w:t>
      </w:r>
      <w:bookmarkStart w:id="59" w:name="ref-Veronese_2017"/>
      <w:bookmarkEnd w:id="59"/>
    </w:p>
    <w:p>
      <w:pPr>
        <w:pStyle w:val="Bibliography"/>
        <w:rPr/>
      </w:pPr>
      <w:r>
        <w:rPr/>
        <w:t xml:space="preserve">Wiemerslage, Lyle, Wei Zhou, Gaia Olivo, Julia Stark, Pleunie S. Hogenkamp, Elna-Marie Larsson, Magnus Sundbom, and Helgi B. Schiöth. 2016. “A Resting-State fMRI Study of Obese Females Between Pre- and Postprandial States Before and After Bariatric Surgery.” Edited by John Foxe. </w:t>
      </w:r>
      <w:r>
        <w:rPr>
          <w:i/>
        </w:rPr>
        <w:t>European Journal of Neuroscience</w:t>
      </w:r>
      <w:r>
        <w:rPr/>
        <w:t xml:space="preserve"> 45 (3): 333–41. </w:t>
      </w:r>
      <w:hyperlink r:id="rId41">
        <w:r>
          <w:rPr>
            <w:rStyle w:val="InternetLink"/>
          </w:rPr>
          <w:t>https://doi.org/10.1111/ejn.13428</w:t>
        </w:r>
      </w:hyperlink>
      <w:r>
        <w:rPr/>
        <w:t>.</w:t>
      </w:r>
      <w:bookmarkStart w:id="60" w:name="ref-Wiemerslage_2016"/>
      <w:bookmarkEnd w:id="60"/>
    </w:p>
    <w:p>
      <w:pPr>
        <w:pStyle w:val="Bibliography"/>
        <w:rPr/>
      </w:pPr>
      <w:r>
        <w:rPr/>
        <w:t xml:space="preserve">Witte, A. V., M. Fobker, R. Gellner, S. Knecht, and A. Floel. 2009. “Caloric Restriction Improves Memory in Elderly Humans.” </w:t>
      </w:r>
      <w:r>
        <w:rPr>
          <w:i/>
        </w:rPr>
        <w:t>Proceedings of the National Academy of Sciences</w:t>
      </w:r>
      <w:r>
        <w:rPr/>
        <w:t xml:space="preserve"> 106 (4): 1255–60. </w:t>
      </w:r>
      <w:hyperlink r:id="rId42">
        <w:r>
          <w:rPr>
            <w:rStyle w:val="InternetLink"/>
          </w:rPr>
          <w:t>https://doi.org/10.1073/pnas.0808587106</w:t>
        </w:r>
      </w:hyperlink>
      <w:r>
        <w:rPr/>
        <w:t>.</w:t>
      </w:r>
      <w:bookmarkStart w:id="61" w:name="ref-Witte_2009"/>
      <w:bookmarkEnd w:id="61"/>
    </w:p>
    <w:p>
      <w:pPr>
        <w:pStyle w:val="Bibliography"/>
        <w:spacing w:before="0" w:after="200"/>
        <w:rPr/>
      </w:pPr>
      <w:r>
        <w:rPr/>
        <w:t xml:space="preserve">Zhang, Rui, Frauke Beyer, Leonie Lampe, Tobias Luck, Steffi G Riedel-Heller, Markus Loeffler, Matthias L Schroeter, Michael Stumvoll, Arno Villringer, and A Veronica Witte. 2018. “White Matter Microstructural Variability Mediates the Relation Between Obesity and Cognition in Healthy Adults.” </w:t>
      </w:r>
      <w:r>
        <w:rPr>
          <w:i/>
        </w:rPr>
        <w:t>NeuroImage</w:t>
      </w:r>
      <w:r>
        <w:rPr/>
        <w:t xml:space="preserve"> 172 (May): 239–49. </w:t>
      </w:r>
      <w:hyperlink r:id="rId43">
        <w:r>
          <w:rPr>
            <w:rStyle w:val="InternetLink"/>
          </w:rPr>
          <w:t>https://doi.org/10.1016/j.neuroimage.2018.01.028</w:t>
        </w:r>
      </w:hyperlink>
      <w:r>
        <w:rPr/>
        <w:t>.</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sf.io/mzyxv" TargetMode="External"/><Relationship Id="rId3" Type="http://schemas.openxmlformats.org/officeDocument/2006/relationships/image" Target="media/image1.png"/><Relationship Id="rId4" Type="http://schemas.openxmlformats.org/officeDocument/2006/relationships/hyperlink" Target="http://www.bic.mni.mcgill.ca/ServicesAtlases/ICBM152NLin2009" TargetMode="External"/><Relationship Id="rId5" Type="http://schemas.openxmlformats.org/officeDocument/2006/relationships/hyperlink" Target="https://github.com/hsx1/adi2_rsfmri" TargetMode="External"/><Relationship Id="rId6" Type="http://schemas.openxmlformats.org/officeDocument/2006/relationships/hyperlink" Target="https://doi.org/10.1016/j.neuroimage.2013.02.063" TargetMode="External"/><Relationship Id="rId7" Type="http://schemas.openxmlformats.org/officeDocument/2006/relationships/hyperlink" Target="https://doi.org/10.1002/hbm.24557" TargetMode="External"/><Relationship Id="rId8" Type="http://schemas.openxmlformats.org/officeDocument/2006/relationships/hyperlink" Target="https://doi.org/10.1002/hbm.23605" TargetMode="External"/><Relationship Id="rId9" Type="http://schemas.openxmlformats.org/officeDocument/2006/relationships/hyperlink" Target="https://doi.org/10.1016/j.neuroimage.2013.01.047" TargetMode="External"/><Relationship Id="rId10" Type="http://schemas.openxmlformats.org/officeDocument/2006/relationships/hyperlink" Target="https://doi.org/10.1016/j.metabol.2018.09.005" TargetMode="External"/><Relationship Id="rId11" Type="http://schemas.openxmlformats.org/officeDocument/2006/relationships/hyperlink" Target="https://doi.org/10.3174/ajnr.A2894" TargetMode="External"/><Relationship Id="rId12" Type="http://schemas.openxmlformats.org/officeDocument/2006/relationships/hyperlink" Target="https://doi.org/10.1038/s41596-018-0065-y" TargetMode="External"/><Relationship Id="rId13" Type="http://schemas.openxmlformats.org/officeDocument/2006/relationships/hyperlink" Target="https://doi.org/10.1016/j.neuroimage.2017.03.020" TargetMode="External"/><Relationship Id="rId14" Type="http://schemas.openxmlformats.org/officeDocument/2006/relationships/hyperlink" Target="https://doi.org/10.1007/s11432-019-2817-x" TargetMode="External"/><Relationship Id="rId15" Type="http://schemas.openxmlformats.org/officeDocument/2006/relationships/hyperlink" Target="https://doi.org/10.1089/lap.2014.0639" TargetMode="External"/><Relationship Id="rId16" Type="http://schemas.openxmlformats.org/officeDocument/2006/relationships/hyperlink" Target="https://doi.org/10.1523/JNEUROSCI.6383-10.2011" TargetMode="External"/><Relationship Id="rId17" Type="http://schemas.openxmlformats.org/officeDocument/2006/relationships/hyperlink" Target="https://doi.org/10.1093/cercor/bhw321" TargetMode="External"/><Relationship Id="rId18" Type="http://schemas.openxmlformats.org/officeDocument/2006/relationships/hyperlink" Target="https://doi.org/10.1523/JNEUROSCI.6387-11.2012" TargetMode="External"/><Relationship Id="rId19" Type="http://schemas.openxmlformats.org/officeDocument/2006/relationships/hyperlink" Target="https://doi.org/10.1016/j.neuroimage.2019.01.014" TargetMode="External"/><Relationship Id="rId20" Type="http://schemas.openxmlformats.org/officeDocument/2006/relationships/hyperlink" Target="https://doi.org/10.1002/hbm.21268" TargetMode="External"/><Relationship Id="rId21" Type="http://schemas.openxmlformats.org/officeDocument/2006/relationships/hyperlink" Target="https://doi.org/10.1002/oby.21119" TargetMode="External"/><Relationship Id="rId22" Type="http://schemas.openxmlformats.org/officeDocument/2006/relationships/hyperlink" Target="https://doi.org/10.1002/hbm.24320" TargetMode="External"/><Relationship Id="rId23" Type="http://schemas.openxmlformats.org/officeDocument/2006/relationships/hyperlink" Target="https://doi.org/10.3389/fnins.2019.00352" TargetMode="External"/><Relationship Id="rId24" Type="http://schemas.openxmlformats.org/officeDocument/2006/relationships/hyperlink" Target="https://doi.org/10.1016/j.neuroimage.2016.02.053" TargetMode="External"/><Relationship Id="rId25" Type="http://schemas.openxmlformats.org/officeDocument/2006/relationships/hyperlink" Target="https://doi.org/10.1016/j.soard.2012.12.010" TargetMode="External"/><Relationship Id="rId26" Type="http://schemas.openxmlformats.org/officeDocument/2006/relationships/hyperlink" Target="https://doi.org/10.3389/fnhum.2011.00028" TargetMode="External"/><Relationship Id="rId27" Type="http://schemas.openxmlformats.org/officeDocument/2006/relationships/hyperlink" Target="https://doi.org/10.1111/nyas.13409" TargetMode="External"/><Relationship Id="rId28" Type="http://schemas.openxmlformats.org/officeDocument/2006/relationships/hyperlink" Target="https://doi.org/10.1016/j.neuroimage.2016.11.052" TargetMode="External"/><Relationship Id="rId29" Type="http://schemas.openxmlformats.org/officeDocument/2006/relationships/hyperlink" Target="https://doi.org/10.1016/j.metabol.2018.12.002" TargetMode="External"/><Relationship Id="rId30" Type="http://schemas.openxmlformats.org/officeDocument/2006/relationships/hyperlink" Target="https://doi.org/10.3389/fnhum.2016.00052" TargetMode="External"/><Relationship Id="rId31" Type="http://schemas.openxmlformats.org/officeDocument/2006/relationships/hyperlink" Target="https://doi.org/10.1038/s41598-017-06663-5" TargetMode="External"/><Relationship Id="rId32" Type="http://schemas.openxmlformats.org/officeDocument/2006/relationships/hyperlink" Target="https://doi.org/10.1016/j.neuroimage.2017.12.073" TargetMode="External"/><Relationship Id="rId33" Type="http://schemas.openxmlformats.org/officeDocument/2006/relationships/hyperlink" Target="https://doi.org/10.1016/j.neuroimage.2011.10.018" TargetMode="External"/><Relationship Id="rId34" Type="http://schemas.openxmlformats.org/officeDocument/2006/relationships/hyperlink" Target="https://doi.org/10.3390/nu12010127" TargetMode="External"/><Relationship Id="rId35" Type="http://schemas.openxmlformats.org/officeDocument/2006/relationships/hyperlink" Target="https://doi.org/10.1146/annurev-neuro-071013-014030" TargetMode="External"/><Relationship Id="rId36" Type="http://schemas.openxmlformats.org/officeDocument/2006/relationships/hyperlink" Target="https://doi.org/10.1523/JNEUROSCI.3402-17.2018" TargetMode="External"/><Relationship Id="rId37" Type="http://schemas.openxmlformats.org/officeDocument/2006/relationships/hyperlink" Target="https://doi.org/10.1056/NEJMoa0708681" TargetMode="External"/><Relationship Id="rId38" Type="http://schemas.openxmlformats.org/officeDocument/2006/relationships/hyperlink" Target="https://doi.org/10.11613/BM.2014.022" TargetMode="External"/><Relationship Id="rId39" Type="http://schemas.openxmlformats.org/officeDocument/2006/relationships/hyperlink" Target="https://doi.org/10.1038/oby.2011.119" TargetMode="External"/><Relationship Id="rId40" Type="http://schemas.openxmlformats.org/officeDocument/2006/relationships/hyperlink" Target="https://doi.org/10.1016/j.neubiorev.2016.11.017" TargetMode="External"/><Relationship Id="rId41" Type="http://schemas.openxmlformats.org/officeDocument/2006/relationships/hyperlink" Target="https://doi.org/10.1111/ejn.13428" TargetMode="External"/><Relationship Id="rId42" Type="http://schemas.openxmlformats.org/officeDocument/2006/relationships/hyperlink" Target="https://doi.org/10.1073/pnas.0808587106" TargetMode="External"/><Relationship Id="rId43" Type="http://schemas.openxmlformats.org/officeDocument/2006/relationships/hyperlink" Target="https://doi.org/10.1016/j.neuroimage.2018.01.028" TargetMode="External"/><Relationship Id="rId44" Type="http://schemas.openxmlformats.org/officeDocument/2006/relationships/fontTable" Target="fontTable.xml"/><Relationship Id="rId45" Type="http://schemas.openxmlformats.org/officeDocument/2006/relationships/settings" Target="settings.xml"/><Relationship Id="rId4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LibreOffice/6.0.7.3$Linux_X86_64 LibreOffice_project/00m0$Build-3</Application>
  <Pages>20</Pages>
  <Words>6451</Words>
  <Characters>39241</Characters>
  <CharactersWithSpaces>45594</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2020-12-01T15:49:04Z</dcterms:created>
  <dc:creator>xxx [1]; xxx [1][2]; xxx [1][2][3]; xxx [1][2]</dc:creator>
  <dc:description/>
  <dc:language>en-US</dc:language>
  <cp:lastModifiedBy/>
  <dcterms:modified xsi:type="dcterms:W3CDTF">2020-12-03T16:08:43Z</dcterms:modified>
  <cp:revision>1</cp:revision>
  <dc:subject/>
  <dc:title>Effects of bariatric surger and weight loss on resting-state functional connectivity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bibliography">
    <vt:lpwstr>bibliography.bib</vt:lpwstr>
  </property>
  <property fmtid="{D5CDD505-2E9C-101B-9397-08002B2CF9AE}" pid="9" name="date">
    <vt:lpwstr>1 Max-Planck-Institute for Human Cognitive and Brain Sciences, Leipzig 2 CRC 1052 “Obesity Mechanisms”, Subproject A1, University of Leipzig 3 Day Clinic for Cognitive Neurology, University Clinic Leipzig</vt:lpwstr>
  </property>
  <property fmtid="{D5CDD505-2E9C-101B-9397-08002B2CF9AE}" pid="10" name="editor_options">
    <vt:lpwstr/>
  </property>
  <property fmtid="{D5CDD505-2E9C-101B-9397-08002B2CF9AE}" pid="11" name="output">
    <vt:lpwstr>word_document</vt:lpwstr>
  </property>
</Properties>
</file>