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96FB06" w14:textId="77777777" w:rsidR="000444D1" w:rsidRPr="000444D1" w:rsidRDefault="000444D1" w:rsidP="000444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44D1">
        <w:rPr>
          <w:rFonts w:ascii="Times New Roman" w:eastAsia="Times New Roman" w:hAnsi="Times New Roman" w:cs="Times New Roman"/>
          <w:b/>
          <w:bCs/>
          <w:kern w:val="36"/>
          <w:sz w:val="48"/>
          <w:szCs w:val="48"/>
          <w14:ligatures w14:val="none"/>
        </w:rPr>
        <w:t>Arquitectura de Integración para la Modernización de un Core Bancario</w:t>
      </w:r>
    </w:p>
    <w:p w14:paraId="3828E9D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Ejercicio práctico de arquitectura de integración</w:t>
      </w:r>
      <w:r w:rsidRPr="000444D1">
        <w:rPr>
          <w:rFonts w:ascii="Times New Roman" w:eastAsia="Times New Roman" w:hAnsi="Times New Roman" w:cs="Times New Roman"/>
          <w:kern w:val="0"/>
          <w14:ligatures w14:val="none"/>
        </w:rPr>
        <w:t xml:space="preserve"> Autor: Fer · Fecha: julio 2026 · Versión 0.1 (borrador de trabajo)</w:t>
      </w:r>
    </w:p>
    <w:p w14:paraId="14A00D6A"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2F301BDD">
          <v:rect id="Horizontal Line 575" o:spid="_x0000_s10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B2F5E58"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Índice</w:t>
      </w:r>
    </w:p>
    <w:p w14:paraId="434330B5"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anchor="0-resumen-ejecutivo" w:history="1">
        <w:r w:rsidRPr="000444D1">
          <w:rPr>
            <w:rFonts w:ascii="Times New Roman" w:eastAsia="Times New Roman" w:hAnsi="Times New Roman" w:cs="Times New Roman"/>
            <w:color w:val="0000FF"/>
            <w:kern w:val="0"/>
            <w:u w:val="single"/>
            <w14:ligatures w14:val="none"/>
          </w:rPr>
          <w:t>Resumen ejecutivo</w:t>
        </w:r>
      </w:hyperlink>
    </w:p>
    <w:p w14:paraId="03B06853"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anchor="1-contexto-y-alcance" w:history="1">
        <w:r w:rsidRPr="000444D1">
          <w:rPr>
            <w:rFonts w:ascii="Times New Roman" w:eastAsia="Times New Roman" w:hAnsi="Times New Roman" w:cs="Times New Roman"/>
            <w:color w:val="0000FF"/>
            <w:kern w:val="0"/>
            <w:u w:val="single"/>
            <w14:ligatures w14:val="none"/>
          </w:rPr>
          <w:t>Contexto y alcance</w:t>
        </w:r>
      </w:hyperlink>
    </w:p>
    <w:p w14:paraId="219EE017"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anchor="2-supuestos-y-premisas" w:history="1">
        <w:r w:rsidRPr="000444D1">
          <w:rPr>
            <w:rFonts w:ascii="Times New Roman" w:eastAsia="Times New Roman" w:hAnsi="Times New Roman" w:cs="Times New Roman"/>
            <w:color w:val="0000FF"/>
            <w:kern w:val="0"/>
            <w:u w:val="single"/>
            <w14:ligatures w14:val="none"/>
          </w:rPr>
          <w:t>Supuestos y premisas</w:t>
        </w:r>
      </w:hyperlink>
    </w:p>
    <w:p w14:paraId="6707A513"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anchor="3-principios-de-arquitectura" w:history="1">
        <w:r w:rsidRPr="000444D1">
          <w:rPr>
            <w:rFonts w:ascii="Times New Roman" w:eastAsia="Times New Roman" w:hAnsi="Times New Roman" w:cs="Times New Roman"/>
            <w:color w:val="0000FF"/>
            <w:kern w:val="0"/>
            <w:u w:val="single"/>
            <w14:ligatures w14:val="none"/>
          </w:rPr>
          <w:t>Principios de arquitectura</w:t>
        </w:r>
      </w:hyperlink>
    </w:p>
    <w:p w14:paraId="2B54B820"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anchor="4-decisiones-de-arquitectura-adr" w:history="1">
        <w:r w:rsidRPr="000444D1">
          <w:rPr>
            <w:rFonts w:ascii="Times New Roman" w:eastAsia="Times New Roman" w:hAnsi="Times New Roman" w:cs="Times New Roman"/>
            <w:color w:val="0000FF"/>
            <w:kern w:val="0"/>
            <w:u w:val="single"/>
            <w14:ligatures w14:val="none"/>
          </w:rPr>
          <w:t>Decisiones de arquitectura (ADR)</w:t>
        </w:r>
      </w:hyperlink>
    </w:p>
    <w:p w14:paraId="6C285E84"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anchor="5-modelo-de-dominios-y-systems-of-record" w:history="1">
        <w:r w:rsidRPr="000444D1">
          <w:rPr>
            <w:rFonts w:ascii="Times New Roman" w:eastAsia="Times New Roman" w:hAnsi="Times New Roman" w:cs="Times New Roman"/>
            <w:color w:val="0000FF"/>
            <w:kern w:val="0"/>
            <w:u w:val="single"/>
            <w14:ligatures w14:val="none"/>
          </w:rPr>
          <w:t>Modelo de dominios y systems of record</w:t>
        </w:r>
      </w:hyperlink>
    </w:p>
    <w:p w14:paraId="63BEE550"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anchor="6-vista-c4--nivel-1-contexto" w:history="1">
        <w:r w:rsidRPr="000444D1">
          <w:rPr>
            <w:rFonts w:ascii="Times New Roman" w:eastAsia="Times New Roman" w:hAnsi="Times New Roman" w:cs="Times New Roman"/>
            <w:color w:val="0000FF"/>
            <w:kern w:val="0"/>
            <w:u w:val="single"/>
            <w14:ligatures w14:val="none"/>
          </w:rPr>
          <w:t>Vista C4 — Nivel 1: Contexto</w:t>
        </w:r>
      </w:hyperlink>
    </w:p>
    <w:p w14:paraId="2D70158A"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anchor="7-vista-c4--nivel-2-contenedores" w:history="1">
        <w:r w:rsidRPr="000444D1">
          <w:rPr>
            <w:rFonts w:ascii="Times New Roman" w:eastAsia="Times New Roman" w:hAnsi="Times New Roman" w:cs="Times New Roman"/>
            <w:color w:val="0000FF"/>
            <w:kern w:val="0"/>
            <w:u w:val="single"/>
            <w14:ligatures w14:val="none"/>
          </w:rPr>
          <w:t>Vista C4 — Nivel 2: Contenedores</w:t>
        </w:r>
      </w:hyperlink>
    </w:p>
    <w:p w14:paraId="3FF7230E"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anchor="8-vista-c4--nivel-3-componentes" w:history="1">
        <w:r w:rsidRPr="000444D1">
          <w:rPr>
            <w:rFonts w:ascii="Times New Roman" w:eastAsia="Times New Roman" w:hAnsi="Times New Roman" w:cs="Times New Roman"/>
            <w:color w:val="0000FF"/>
            <w:kern w:val="0"/>
            <w:u w:val="single"/>
            <w14:ligatures w14:val="none"/>
          </w:rPr>
          <w:t>Vista C4 — Nivel 3: Componentes</w:t>
        </w:r>
      </w:hyperlink>
    </w:p>
    <w:p w14:paraId="07089459"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anchor="9-flujos-end-to-end" w:history="1">
        <w:r w:rsidRPr="000444D1">
          <w:rPr>
            <w:rFonts w:ascii="Times New Roman" w:eastAsia="Times New Roman" w:hAnsi="Times New Roman" w:cs="Times New Roman"/>
            <w:color w:val="0000FF"/>
            <w:kern w:val="0"/>
            <w:u w:val="single"/>
            <w14:ligatures w14:val="none"/>
          </w:rPr>
          <w:t>Flujos end-to-end</w:t>
        </w:r>
      </w:hyperlink>
    </w:p>
    <w:p w14:paraId="6F2FE003"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anchor="10-patrones-de-integraci%C3%B3n-y-tecnolog%C3%ADas" w:history="1">
        <w:r w:rsidRPr="000444D1">
          <w:rPr>
            <w:rFonts w:ascii="Times New Roman" w:eastAsia="Times New Roman" w:hAnsi="Times New Roman" w:cs="Times New Roman"/>
            <w:color w:val="0000FF"/>
            <w:kern w:val="0"/>
            <w:u w:val="single"/>
            <w14:ligatures w14:val="none"/>
          </w:rPr>
          <w:t>Patrones de integración y tecnologías</w:t>
        </w:r>
      </w:hyperlink>
    </w:p>
    <w:p w14:paraId="1AB1D073"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anchor="11-estrategia-de-integraci%C3%B3n-multicore" w:history="1">
        <w:r w:rsidRPr="000444D1">
          <w:rPr>
            <w:rFonts w:ascii="Times New Roman" w:eastAsia="Times New Roman" w:hAnsi="Times New Roman" w:cs="Times New Roman"/>
            <w:color w:val="0000FF"/>
            <w:kern w:val="0"/>
            <w:u w:val="single"/>
            <w14:ligatures w14:val="none"/>
          </w:rPr>
          <w:t>Estrategia de integración multicore</w:t>
        </w:r>
      </w:hyperlink>
    </w:p>
    <w:p w14:paraId="32967AE9"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7" w:anchor="12-estrategia-de-apis-y-mensajer%C3%ADa" w:history="1">
        <w:r w:rsidRPr="000444D1">
          <w:rPr>
            <w:rFonts w:ascii="Times New Roman" w:eastAsia="Times New Roman" w:hAnsi="Times New Roman" w:cs="Times New Roman"/>
            <w:color w:val="0000FF"/>
            <w:kern w:val="0"/>
            <w:u w:val="single"/>
            <w14:ligatures w14:val="none"/>
          </w:rPr>
          <w:t>Estrategia de APIs y mensajería</w:t>
        </w:r>
      </w:hyperlink>
    </w:p>
    <w:p w14:paraId="51F5F9C9"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8" w:anchor="13-seguridad-cumplimiento-normativo-y-lopdp" w:history="1">
        <w:r w:rsidRPr="000444D1">
          <w:rPr>
            <w:rFonts w:ascii="Times New Roman" w:eastAsia="Times New Roman" w:hAnsi="Times New Roman" w:cs="Times New Roman"/>
            <w:color w:val="0000FF"/>
            <w:kern w:val="0"/>
            <w:u w:val="single"/>
            <w14:ligatures w14:val="none"/>
          </w:rPr>
          <w:t>Seguridad, cumplimiento normativo y LOPDP</w:t>
        </w:r>
      </w:hyperlink>
    </w:p>
    <w:p w14:paraId="647C7640"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9" w:anchor="14-gesti%C3%B3n-de-identidad-y-acceso-iam" w:history="1">
        <w:r w:rsidRPr="000444D1">
          <w:rPr>
            <w:rFonts w:ascii="Times New Roman" w:eastAsia="Times New Roman" w:hAnsi="Times New Roman" w:cs="Times New Roman"/>
            <w:color w:val="0000FF"/>
            <w:kern w:val="0"/>
            <w:u w:val="single"/>
            <w14:ligatures w14:val="none"/>
          </w:rPr>
          <w:t>Gestión de identidad y acceso (IAM)</w:t>
        </w:r>
      </w:hyperlink>
    </w:p>
    <w:p w14:paraId="15D1541D"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0" w:anchor="15-alta-disponibilidad-y-recuperaci%C3%B3n-ante-desastres" w:history="1">
        <w:r w:rsidRPr="000444D1">
          <w:rPr>
            <w:rFonts w:ascii="Times New Roman" w:eastAsia="Times New Roman" w:hAnsi="Times New Roman" w:cs="Times New Roman"/>
            <w:color w:val="0000FF"/>
            <w:kern w:val="0"/>
            <w:u w:val="single"/>
            <w14:ligatures w14:val="none"/>
          </w:rPr>
          <w:t>Alta disponibilidad y recuperación ante desastres</w:t>
        </w:r>
      </w:hyperlink>
    </w:p>
    <w:p w14:paraId="1A948E5D"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1" w:anchor="16-gobierno-de-apis-y-microservicios" w:history="1">
        <w:r w:rsidRPr="000444D1">
          <w:rPr>
            <w:rFonts w:ascii="Times New Roman" w:eastAsia="Times New Roman" w:hAnsi="Times New Roman" w:cs="Times New Roman"/>
            <w:color w:val="0000FF"/>
            <w:kern w:val="0"/>
            <w:u w:val="single"/>
            <w14:ligatures w14:val="none"/>
          </w:rPr>
          <w:t>Gobierno de APIs y microservicios</w:t>
        </w:r>
      </w:hyperlink>
    </w:p>
    <w:p w14:paraId="5026579B"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2" w:anchor="17-plan-de-migraci%C3%B3n-gradual" w:history="1">
        <w:r w:rsidRPr="000444D1">
          <w:rPr>
            <w:rFonts w:ascii="Times New Roman" w:eastAsia="Times New Roman" w:hAnsi="Times New Roman" w:cs="Times New Roman"/>
            <w:color w:val="0000FF"/>
            <w:kern w:val="0"/>
            <w:u w:val="single"/>
            <w14:ligatures w14:val="none"/>
          </w:rPr>
          <w:t>Plan de migración gradual</w:t>
        </w:r>
      </w:hyperlink>
    </w:p>
    <w:p w14:paraId="69FBBCA2"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3" w:anchor="18-observabilidad-y-trazabilidad" w:history="1">
        <w:r w:rsidRPr="000444D1">
          <w:rPr>
            <w:rFonts w:ascii="Times New Roman" w:eastAsia="Times New Roman" w:hAnsi="Times New Roman" w:cs="Times New Roman"/>
            <w:color w:val="0000FF"/>
            <w:kern w:val="0"/>
            <w:u w:val="single"/>
            <w14:ligatures w14:val="none"/>
          </w:rPr>
          <w:t>Observabilidad y trazabilidad</w:t>
        </w:r>
      </w:hyperlink>
    </w:p>
    <w:p w14:paraId="79807F32"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4" w:anchor="19-anexo--glosario-y-nomenclatura" w:history="1">
        <w:r w:rsidRPr="000444D1">
          <w:rPr>
            <w:rFonts w:ascii="Times New Roman" w:eastAsia="Times New Roman" w:hAnsi="Times New Roman" w:cs="Times New Roman"/>
            <w:color w:val="0000FF"/>
            <w:kern w:val="0"/>
            <w:u w:val="single"/>
            <w14:ligatures w14:val="none"/>
          </w:rPr>
          <w:t>Anexo — Glosario y nomenclatura</w:t>
        </w:r>
      </w:hyperlink>
    </w:p>
    <w:p w14:paraId="519C9407" w14:textId="77777777" w:rsidR="000444D1" w:rsidRPr="000444D1" w:rsidRDefault="000444D1" w:rsidP="00C646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25" w:anchor="20-%C3%ADndice-de-correspondencia-de-requerimientos" w:history="1">
        <w:r w:rsidRPr="000444D1">
          <w:rPr>
            <w:rFonts w:ascii="Times New Roman" w:eastAsia="Times New Roman" w:hAnsi="Times New Roman" w:cs="Times New Roman"/>
            <w:color w:val="0000FF"/>
            <w:kern w:val="0"/>
            <w:u w:val="single"/>
            <w14:ligatures w14:val="none"/>
          </w:rPr>
          <w:t>Índice de correspondencia de requerimientos</w:t>
        </w:r>
      </w:hyperlink>
    </w:p>
    <w:p w14:paraId="7EE7BBE9"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684D6C3D">
          <v:rect id="Horizontal Line 574" o:spid="_x0000_s10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B20E504"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0. Resumen ejecutivo</w:t>
      </w:r>
    </w:p>
    <w:p w14:paraId="57FE783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El problema</w:t>
      </w:r>
    </w:p>
    <w:p w14:paraId="58576EF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banco requiere modernizar su infraestructura tecnológica para competir en servicios digitales y cumplir con exigencias regulatorias vigentes, sin poder reemplazar el core bancario que sostiene su operación. El alcance definido es de </w:t>
      </w:r>
      <w:r w:rsidRPr="000444D1">
        <w:rPr>
          <w:rFonts w:ascii="Times New Roman" w:eastAsia="Times New Roman" w:hAnsi="Times New Roman" w:cs="Times New Roman"/>
          <w:b/>
          <w:bCs/>
          <w:kern w:val="0"/>
          <w14:ligatures w14:val="none"/>
        </w:rPr>
        <w:t>integración, no de sustitución</w:t>
      </w:r>
      <w:r w:rsidRPr="000444D1">
        <w:rPr>
          <w:rFonts w:ascii="Times New Roman" w:eastAsia="Times New Roman" w:hAnsi="Times New Roman" w:cs="Times New Roman"/>
          <w:kern w:val="0"/>
          <w14:ligatures w14:val="none"/>
        </w:rPr>
        <w:t xml:space="preserve">: el core tradicional y un nuevo core digital deben coexistir durante un horizonte plurianual, junto con </w:t>
      </w:r>
      <w:r w:rsidRPr="000444D1">
        <w:rPr>
          <w:rFonts w:ascii="Times New Roman" w:eastAsia="Times New Roman" w:hAnsi="Times New Roman" w:cs="Times New Roman"/>
          <w:kern w:val="0"/>
          <w14:ligatures w14:val="none"/>
        </w:rPr>
        <w:lastRenderedPageBreak/>
        <w:t>canales digitales, una plataforma de pagos, la exposición de APIs a terceros bajo Open Finance, y los sistemas de riesgos y prevención de fraudes.</w:t>
      </w:r>
    </w:p>
    <w:p w14:paraId="2D48B30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desafío central, por tanto, no es construir servicios nuevos. Es </w:t>
      </w:r>
      <w:r w:rsidRPr="000444D1">
        <w:rPr>
          <w:rFonts w:ascii="Times New Roman" w:eastAsia="Times New Roman" w:hAnsi="Times New Roman" w:cs="Times New Roman"/>
          <w:b/>
          <w:bCs/>
          <w:kern w:val="0"/>
          <w14:ligatures w14:val="none"/>
        </w:rPr>
        <w:t>gobernar la convivencia de dos sistemas de registro transaccionales</w:t>
      </w:r>
      <w:r w:rsidRPr="000444D1">
        <w:rPr>
          <w:rFonts w:ascii="Times New Roman" w:eastAsia="Times New Roman" w:hAnsi="Times New Roman" w:cs="Times New Roman"/>
          <w:kern w:val="0"/>
          <w14:ligatures w14:val="none"/>
        </w:rPr>
        <w:t xml:space="preserve"> sin que esa dualidad se traslade a los clientes, a los terceros ni a los equipos de desarrollo.</w:t>
      </w:r>
    </w:p>
    <w:p w14:paraId="5909D1D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La decisión central</w:t>
      </w:r>
    </w:p>
    <w:p w14:paraId="68C3EFF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reparto entre ambos cores se realiza </w:t>
      </w:r>
      <w:r w:rsidRPr="000444D1">
        <w:rPr>
          <w:rFonts w:ascii="Times New Roman" w:eastAsia="Times New Roman" w:hAnsi="Times New Roman" w:cs="Times New Roman"/>
          <w:b/>
          <w:bCs/>
          <w:kern w:val="0"/>
          <w14:ligatures w14:val="none"/>
        </w:rPr>
        <w:t>por producto</w:t>
      </w:r>
      <w:r w:rsidRPr="000444D1">
        <w:rPr>
          <w:rFonts w:ascii="Times New Roman" w:eastAsia="Times New Roman" w:hAnsi="Times New Roman" w:cs="Times New Roman"/>
          <w:kern w:val="0"/>
          <w14:ligatures w14:val="none"/>
        </w:rPr>
        <w:t>: el core digital es la fuente de verdad de los productos nuevos; el tradicional conserva los existentes. La relación producto-core reside en un catálogo consultable, de modo que la resolución del sistema propietario es un dato auditable y no una condición dispersa en el código.</w:t>
      </w:r>
    </w:p>
    <w:p w14:paraId="3FD9757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descartaron las alternativas de reparto por segmento de cliente —que obligaría a duplicar y sincronizar los datos maestros— y por tipo de operación —que separaría la operación de su registro contable, generando reconciliación permanente.</w:t>
      </w:r>
    </w:p>
    <w:p w14:paraId="147BA8C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Cómo funciona</w:t>
      </w:r>
    </w:p>
    <w:p w14:paraId="67059DC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arquitectura se apoya en tres mecanismos: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6679"/>
      </w:tblGrid>
      <w:tr w:rsidR="000444D1" w:rsidRPr="000444D1" w14:paraId="499F6EFD" w14:textId="77777777">
        <w:trPr>
          <w:tblHeader/>
          <w:tblCellSpacing w:w="15" w:type="dxa"/>
        </w:trPr>
        <w:tc>
          <w:tcPr>
            <w:tcW w:w="0" w:type="auto"/>
            <w:vAlign w:val="center"/>
            <w:hideMark/>
          </w:tcPr>
          <w:p w14:paraId="5D828E7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Mecanismo</w:t>
            </w:r>
          </w:p>
        </w:tc>
        <w:tc>
          <w:tcPr>
            <w:tcW w:w="0" w:type="auto"/>
            <w:vAlign w:val="center"/>
            <w:hideMark/>
          </w:tcPr>
          <w:p w14:paraId="74A06DC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Función</w:t>
            </w:r>
          </w:p>
        </w:tc>
      </w:tr>
      <w:tr w:rsidR="000444D1" w:rsidRPr="000444D1" w14:paraId="2BA62BA6" w14:textId="77777777">
        <w:trPr>
          <w:tblCellSpacing w:w="15" w:type="dxa"/>
        </w:trPr>
        <w:tc>
          <w:tcPr>
            <w:tcW w:w="0" w:type="auto"/>
            <w:vAlign w:val="center"/>
            <w:hideMark/>
          </w:tcPr>
          <w:p w14:paraId="0471AC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Resolución por catálogo</w:t>
            </w:r>
          </w:p>
        </w:tc>
        <w:tc>
          <w:tcPr>
            <w:tcW w:w="0" w:type="auto"/>
            <w:vAlign w:val="center"/>
            <w:hideMark/>
          </w:tcPr>
          <w:p w14:paraId="17FBA2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 para cada operación cuál core es la fuente de verdad</w:t>
            </w:r>
          </w:p>
        </w:tc>
      </w:tr>
      <w:tr w:rsidR="000444D1" w:rsidRPr="000444D1" w14:paraId="4A0C7209" w14:textId="77777777">
        <w:trPr>
          <w:tblCellSpacing w:w="15" w:type="dxa"/>
        </w:trPr>
        <w:tc>
          <w:tcPr>
            <w:tcW w:w="0" w:type="auto"/>
            <w:vAlign w:val="center"/>
            <w:hideMark/>
          </w:tcPr>
          <w:p w14:paraId="20E559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Puertos canónicos y capa anticorrupción</w:t>
            </w:r>
          </w:p>
        </w:tc>
        <w:tc>
          <w:tcPr>
            <w:tcW w:w="0" w:type="auto"/>
            <w:vAlign w:val="center"/>
            <w:hideMark/>
          </w:tcPr>
          <w:p w14:paraId="1996D2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Ambos cores se exponen tras el mismo contrato interno; la dualidad es invisible fuera de la capa de mediación</w:t>
            </w:r>
          </w:p>
        </w:tc>
      </w:tr>
      <w:tr w:rsidR="000444D1" w:rsidRPr="000444D1" w14:paraId="72E66559" w14:textId="77777777">
        <w:trPr>
          <w:tblCellSpacing w:w="15" w:type="dxa"/>
        </w:trPr>
        <w:tc>
          <w:tcPr>
            <w:tcW w:w="0" w:type="auto"/>
            <w:vAlign w:val="center"/>
            <w:hideMark/>
          </w:tcPr>
          <w:p w14:paraId="5A7F911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Doble ingesta de cambios</w:t>
            </w:r>
          </w:p>
        </w:tc>
        <w:tc>
          <w:tcPr>
            <w:tcW w:w="0" w:type="auto"/>
            <w:vAlign w:val="center"/>
            <w:hideMark/>
          </w:tcPr>
          <w:p w14:paraId="6AEF21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Eventos emitidos por la capa de integración, más captura de cambios sobre la réplica del core, para hacer visibles también las operaciones presenciales</w:t>
            </w:r>
          </w:p>
        </w:tc>
      </w:tr>
    </w:tbl>
    <w:p w14:paraId="0BCB0CC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Sobre ellos se organizan nueve servicios de dominio alineados al modelo BIAN, un bus de eventos para la propagación asíncrona y una capa de borde que concentra la seguridad. Las consultas interactivas se sirven desde una proyección consolidada que no depende de ningún core, lo que permite cumplir los objetivos de latencia y mantener el servicio durante la ventana de cierre nocturna del sistema legado. Las escrituras, en cambio, se ejecutan siempre contra el core propietario, que conserva la autoridad contable.</w:t>
      </w:r>
    </w:p>
    <w:p w14:paraId="07B61B7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Qué obtiene el banco, y cuándo</w:t>
      </w:r>
    </w:p>
    <w:p w14:paraId="704870A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programa está diseñado para entregar valor antes de completar la migración: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7244"/>
      </w:tblGrid>
      <w:tr w:rsidR="000444D1" w:rsidRPr="000444D1" w14:paraId="1C928D88" w14:textId="77777777">
        <w:trPr>
          <w:tblHeader/>
          <w:tblCellSpacing w:w="15" w:type="dxa"/>
        </w:trPr>
        <w:tc>
          <w:tcPr>
            <w:tcW w:w="0" w:type="auto"/>
            <w:vAlign w:val="center"/>
            <w:hideMark/>
          </w:tcPr>
          <w:p w14:paraId="2616C15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Etapa</w:t>
            </w:r>
          </w:p>
        </w:tc>
        <w:tc>
          <w:tcPr>
            <w:tcW w:w="0" w:type="auto"/>
            <w:vAlign w:val="center"/>
            <w:hideMark/>
          </w:tcPr>
          <w:p w14:paraId="5204C8A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Resultado</w:t>
            </w:r>
          </w:p>
        </w:tc>
      </w:tr>
      <w:tr w:rsidR="000444D1" w:rsidRPr="000444D1" w14:paraId="57CE73B9" w14:textId="77777777">
        <w:trPr>
          <w:tblCellSpacing w:w="15" w:type="dxa"/>
        </w:trPr>
        <w:tc>
          <w:tcPr>
            <w:tcW w:w="0" w:type="auto"/>
            <w:vAlign w:val="center"/>
            <w:hideMark/>
          </w:tcPr>
          <w:p w14:paraId="3D4C4C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Fundaciones</w:t>
            </w:r>
          </w:p>
        </w:tc>
        <w:tc>
          <w:tcPr>
            <w:tcW w:w="0" w:type="auto"/>
            <w:vAlign w:val="center"/>
            <w:hideMark/>
          </w:tcPr>
          <w:p w14:paraId="33156B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Visibilidad unificada de la actividad, incluidas las operaciones de agencia y cajeros, hoy invisibles para los sistemas digitales</w:t>
            </w:r>
          </w:p>
        </w:tc>
      </w:tr>
      <w:tr w:rsidR="000444D1" w:rsidRPr="000444D1" w14:paraId="3F04474A" w14:textId="77777777">
        <w:trPr>
          <w:tblCellSpacing w:w="15" w:type="dxa"/>
        </w:trPr>
        <w:tc>
          <w:tcPr>
            <w:tcW w:w="0" w:type="auto"/>
            <w:vAlign w:val="center"/>
            <w:hideMark/>
          </w:tcPr>
          <w:p w14:paraId="263A6C8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Canales sobre la nueva capa</w:t>
            </w:r>
          </w:p>
        </w:tc>
        <w:tc>
          <w:tcPr>
            <w:tcW w:w="0" w:type="auto"/>
            <w:vAlign w:val="center"/>
            <w:hideMark/>
          </w:tcPr>
          <w:p w14:paraId="2A6350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Consultas más rápidas y disponibles también durante el cierre nocturno, sin migrar un solo saldo</w:t>
            </w:r>
          </w:p>
        </w:tc>
      </w:tr>
      <w:tr w:rsidR="000444D1" w:rsidRPr="000444D1" w14:paraId="3654B001" w14:textId="77777777">
        <w:trPr>
          <w:tblCellSpacing w:w="15" w:type="dxa"/>
        </w:trPr>
        <w:tc>
          <w:tcPr>
            <w:tcW w:w="0" w:type="auto"/>
            <w:vAlign w:val="center"/>
            <w:hideMark/>
          </w:tcPr>
          <w:p w14:paraId="222FBF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Pagos y Open Finance</w:t>
            </w:r>
          </w:p>
        </w:tc>
        <w:tc>
          <w:tcPr>
            <w:tcW w:w="0" w:type="auto"/>
            <w:vAlign w:val="center"/>
            <w:hideMark/>
          </w:tcPr>
          <w:p w14:paraId="1CE272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Orquestación propia de pagos y cumplimiento de la normativa de banca abierta</w:t>
            </w:r>
          </w:p>
        </w:tc>
      </w:tr>
      <w:tr w:rsidR="000444D1" w:rsidRPr="000444D1" w14:paraId="78853E08" w14:textId="77777777">
        <w:trPr>
          <w:tblCellSpacing w:w="15" w:type="dxa"/>
        </w:trPr>
        <w:tc>
          <w:tcPr>
            <w:tcW w:w="0" w:type="auto"/>
            <w:vAlign w:val="center"/>
            <w:hideMark/>
          </w:tcPr>
          <w:p w14:paraId="69F0F9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Coexistencia real</w:t>
            </w:r>
          </w:p>
        </w:tc>
        <w:tc>
          <w:tcPr>
            <w:tcW w:w="0" w:type="auto"/>
            <w:vAlign w:val="center"/>
            <w:hideMark/>
          </w:tcPr>
          <w:p w14:paraId="5CA31C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Productos nuevos originados en el core digital, conviviendo con los tradicionales</w:t>
            </w:r>
          </w:p>
        </w:tc>
      </w:tr>
      <w:tr w:rsidR="000444D1" w:rsidRPr="000444D1" w14:paraId="331A1052" w14:textId="77777777">
        <w:trPr>
          <w:tblCellSpacing w:w="15" w:type="dxa"/>
        </w:trPr>
        <w:tc>
          <w:tcPr>
            <w:tcW w:w="0" w:type="auto"/>
            <w:vAlign w:val="center"/>
            <w:hideMark/>
          </w:tcPr>
          <w:p w14:paraId="2AA9B5F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Migración</w:t>
            </w:r>
          </w:p>
        </w:tc>
        <w:tc>
          <w:tcPr>
            <w:tcW w:w="0" w:type="auto"/>
            <w:vAlign w:val="center"/>
            <w:hideMark/>
          </w:tcPr>
          <w:p w14:paraId="4BB67E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Traslado gradual del catálogo, comenzando por lo que no requiere mover saldos</w:t>
            </w:r>
          </w:p>
        </w:tc>
      </w:tr>
    </w:tbl>
    <w:p w14:paraId="09F0FA8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Los riesgos y cómo se acotan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6470"/>
      </w:tblGrid>
      <w:tr w:rsidR="000444D1" w:rsidRPr="000444D1" w14:paraId="4F579879" w14:textId="77777777">
        <w:trPr>
          <w:tblHeader/>
          <w:tblCellSpacing w:w="15" w:type="dxa"/>
        </w:trPr>
        <w:tc>
          <w:tcPr>
            <w:tcW w:w="0" w:type="auto"/>
            <w:vAlign w:val="center"/>
            <w:hideMark/>
          </w:tcPr>
          <w:p w14:paraId="7CC7AD4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Riesgo</w:t>
            </w:r>
          </w:p>
        </w:tc>
        <w:tc>
          <w:tcPr>
            <w:tcW w:w="0" w:type="auto"/>
            <w:vAlign w:val="center"/>
            <w:hideMark/>
          </w:tcPr>
          <w:p w14:paraId="134EC13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w:t>
            </w:r>
          </w:p>
        </w:tc>
      </w:tr>
      <w:tr w:rsidR="000444D1" w:rsidRPr="000444D1" w14:paraId="07B40176" w14:textId="77777777">
        <w:trPr>
          <w:tblCellSpacing w:w="15" w:type="dxa"/>
        </w:trPr>
        <w:tc>
          <w:tcPr>
            <w:tcW w:w="0" w:type="auto"/>
            <w:vAlign w:val="center"/>
            <w:hideMark/>
          </w:tcPr>
          <w:p w14:paraId="6E8141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Incidente que afecte a saldos de clientes</w:t>
            </w:r>
          </w:p>
        </w:tc>
        <w:tc>
          <w:tcPr>
            <w:tcW w:w="0" w:type="auto"/>
            <w:vAlign w:val="center"/>
            <w:hideMark/>
          </w:tcPr>
          <w:p w14:paraId="6FCC32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Ninguna fase migra saldos y cambia comportamiento a la vez; toda fase tiene punto de retorno definido antes de comenzar</w:t>
            </w:r>
          </w:p>
        </w:tc>
      </w:tr>
      <w:tr w:rsidR="000444D1" w:rsidRPr="000444D1" w14:paraId="72BCD846" w14:textId="77777777">
        <w:trPr>
          <w:tblCellSpacing w:w="15" w:type="dxa"/>
        </w:trPr>
        <w:tc>
          <w:tcPr>
            <w:tcW w:w="0" w:type="auto"/>
            <w:vAlign w:val="center"/>
            <w:hideMark/>
          </w:tcPr>
          <w:p w14:paraId="1FA8B4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Desconocimiento del sistema legado</w:t>
            </w:r>
          </w:p>
        </w:tc>
        <w:tc>
          <w:tcPr>
            <w:tcW w:w="0" w:type="auto"/>
            <w:vAlign w:val="center"/>
            <w:hideMark/>
          </w:tcPr>
          <w:p w14:paraId="262EF6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supuestos sobre el core se aíslan tras la capa anticorrupción: su refutación afecta a la implementación de un adaptador, no a la estructura de la solución</w:t>
            </w:r>
          </w:p>
        </w:tc>
      </w:tr>
      <w:tr w:rsidR="000444D1" w:rsidRPr="000444D1" w14:paraId="66FD2292" w14:textId="77777777">
        <w:trPr>
          <w:tblCellSpacing w:w="15" w:type="dxa"/>
        </w:trPr>
        <w:tc>
          <w:tcPr>
            <w:tcW w:w="0" w:type="auto"/>
            <w:vAlign w:val="center"/>
            <w:hideMark/>
          </w:tcPr>
          <w:p w14:paraId="51C1DB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Estado desconocido tras un fallo de comunicación</w:t>
            </w:r>
          </w:p>
        </w:tc>
        <w:tc>
          <w:tcPr>
            <w:tcW w:w="0" w:type="auto"/>
            <w:vAlign w:val="center"/>
            <w:hideMark/>
          </w:tcPr>
          <w:p w14:paraId="151F25E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operaciones sin respuesta no se reintentan ni se compensan a ciegas: quedan en verificación y las resuelve un proceso de reconciliación</w:t>
            </w:r>
          </w:p>
        </w:tc>
      </w:tr>
      <w:tr w:rsidR="000444D1" w:rsidRPr="000444D1" w14:paraId="1367AF13" w14:textId="77777777">
        <w:trPr>
          <w:tblCellSpacing w:w="15" w:type="dxa"/>
        </w:trPr>
        <w:tc>
          <w:tcPr>
            <w:tcW w:w="0" w:type="auto"/>
            <w:vAlign w:val="center"/>
            <w:hideMark/>
          </w:tcPr>
          <w:p w14:paraId="182422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Coexistencia indefinida de dos cores</w:t>
            </w:r>
          </w:p>
        </w:tc>
        <w:tc>
          <w:tcPr>
            <w:tcW w:w="0" w:type="auto"/>
            <w:vAlign w:val="center"/>
            <w:hideMark/>
          </w:tcPr>
          <w:p w14:paraId="3D4176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plan obliga a una decisión explícita y fechada sobre el futuro del core tradicional</w:t>
            </w:r>
          </w:p>
        </w:tc>
      </w:tr>
      <w:tr w:rsidR="000444D1" w:rsidRPr="000444D1" w14:paraId="5F210AA6" w14:textId="77777777">
        <w:trPr>
          <w:tblCellSpacing w:w="15" w:type="dxa"/>
        </w:trPr>
        <w:tc>
          <w:tcPr>
            <w:tcW w:w="0" w:type="auto"/>
            <w:vAlign w:val="center"/>
            <w:hideMark/>
          </w:tcPr>
          <w:p w14:paraId="0BB430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Dependencia de un proveedor de nube</w:t>
            </w:r>
          </w:p>
        </w:tc>
        <w:tc>
          <w:tcPr>
            <w:tcW w:w="0" w:type="auto"/>
            <w:vAlign w:val="center"/>
            <w:hideMark/>
          </w:tcPr>
          <w:p w14:paraId="1AA5A1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diseño se expresa en capacidades genéricas; el acoplamiento se concentra en configuración y se declara con precisión</w:t>
            </w:r>
          </w:p>
        </w:tc>
      </w:tr>
    </w:tbl>
    <w:p w14:paraId="11A27DB7"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Cómo leer este documento</w:t>
      </w:r>
    </w:p>
    <w:p w14:paraId="21BD8F2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secciones 1 a 4 establecen el contexto, los supuestos y las decisiones de las que se deriva todo lo demás. Las secciones 5 a 9 contienen el diseño: dominios, propiedad del dato, vistas C4 y flujos extremo a extremo. Las secciones 10 a 18 desarrollan cada aspecto de la solución sobre ese diseño —patrones, contratos, seguridad, identidad, continuidad, gobierno, migración y observabilidad—. La sección 20 indica en qué punto del documento se encuentra la respuesta a cada requerimiento.</w:t>
      </w:r>
    </w:p>
    <w:p w14:paraId="002A85F2"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5CE20910">
          <v:rect id="Horizontal Line 573" o:spid="_x0000_s10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614B29"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 Contexto y alcance</w:t>
      </w:r>
    </w:p>
    <w:p w14:paraId="018D513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 Situación</w:t>
      </w:r>
    </w:p>
    <w:p w14:paraId="257193A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banco tradicional requiere modernizar su infraestructura tecnológica para habilitar servicios digitales competitivos y cumplir con tendencias de industria y exigencias regulatorias vigentes.</w:t>
      </w:r>
    </w:p>
    <w:p w14:paraId="113A645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lastRenderedPageBreak/>
        <w:t>1.2 Sistemas dentro del alcance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620"/>
        <w:gridCol w:w="2275"/>
        <w:gridCol w:w="4150"/>
      </w:tblGrid>
      <w:tr w:rsidR="000444D1" w:rsidRPr="000444D1" w14:paraId="146B6284" w14:textId="77777777">
        <w:trPr>
          <w:tblHeader/>
          <w:tblCellSpacing w:w="15" w:type="dxa"/>
        </w:trPr>
        <w:tc>
          <w:tcPr>
            <w:tcW w:w="0" w:type="auto"/>
            <w:vAlign w:val="center"/>
            <w:hideMark/>
          </w:tcPr>
          <w:p w14:paraId="0828D19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20FE280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Sistema</w:t>
            </w:r>
          </w:p>
        </w:tc>
        <w:tc>
          <w:tcPr>
            <w:tcW w:w="0" w:type="auto"/>
            <w:vAlign w:val="center"/>
            <w:hideMark/>
          </w:tcPr>
          <w:p w14:paraId="51514D6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Naturaleza</w:t>
            </w:r>
          </w:p>
        </w:tc>
        <w:tc>
          <w:tcPr>
            <w:tcW w:w="0" w:type="auto"/>
            <w:vAlign w:val="center"/>
            <w:hideMark/>
          </w:tcPr>
          <w:p w14:paraId="3713FA0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Rol en la arquitectura</w:t>
            </w:r>
          </w:p>
        </w:tc>
      </w:tr>
      <w:tr w:rsidR="000444D1" w:rsidRPr="000444D1" w14:paraId="699886D7" w14:textId="77777777">
        <w:trPr>
          <w:tblCellSpacing w:w="15" w:type="dxa"/>
        </w:trPr>
        <w:tc>
          <w:tcPr>
            <w:tcW w:w="0" w:type="auto"/>
            <w:vAlign w:val="center"/>
            <w:hideMark/>
          </w:tcPr>
          <w:p w14:paraId="76AF2D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1a</w:t>
            </w:r>
          </w:p>
        </w:tc>
        <w:tc>
          <w:tcPr>
            <w:tcW w:w="0" w:type="auto"/>
            <w:vAlign w:val="center"/>
            <w:hideMark/>
          </w:tcPr>
          <w:p w14:paraId="3970A5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bancario tradicional</w:t>
            </w:r>
          </w:p>
        </w:tc>
        <w:tc>
          <w:tcPr>
            <w:tcW w:w="0" w:type="auto"/>
            <w:vAlign w:val="center"/>
            <w:hideMark/>
          </w:tcPr>
          <w:p w14:paraId="317B5D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System of Record</w:t>
            </w:r>
          </w:p>
        </w:tc>
        <w:tc>
          <w:tcPr>
            <w:tcW w:w="0" w:type="auto"/>
            <w:vAlign w:val="center"/>
            <w:hideMark/>
          </w:tcPr>
          <w:p w14:paraId="64B407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Fuente de verdad de productos tradicionales existentes</w:t>
            </w:r>
          </w:p>
        </w:tc>
      </w:tr>
      <w:tr w:rsidR="000444D1" w:rsidRPr="000444D1" w14:paraId="543A2CEA" w14:textId="77777777">
        <w:trPr>
          <w:tblCellSpacing w:w="15" w:type="dxa"/>
        </w:trPr>
        <w:tc>
          <w:tcPr>
            <w:tcW w:w="0" w:type="auto"/>
            <w:vAlign w:val="center"/>
            <w:hideMark/>
          </w:tcPr>
          <w:p w14:paraId="1B79C9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1b</w:t>
            </w:r>
          </w:p>
        </w:tc>
        <w:tc>
          <w:tcPr>
            <w:tcW w:w="0" w:type="auto"/>
            <w:vAlign w:val="center"/>
            <w:hideMark/>
          </w:tcPr>
          <w:p w14:paraId="2A2148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bancario digital (nuevo)</w:t>
            </w:r>
          </w:p>
        </w:tc>
        <w:tc>
          <w:tcPr>
            <w:tcW w:w="0" w:type="auto"/>
            <w:vAlign w:val="center"/>
            <w:hideMark/>
          </w:tcPr>
          <w:p w14:paraId="59F7F8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System of Record</w:t>
            </w:r>
          </w:p>
        </w:tc>
        <w:tc>
          <w:tcPr>
            <w:tcW w:w="0" w:type="auto"/>
            <w:vAlign w:val="center"/>
            <w:hideMark/>
          </w:tcPr>
          <w:p w14:paraId="190AF3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Fuente de verdad de productos nativos digitales</w:t>
            </w:r>
          </w:p>
        </w:tc>
      </w:tr>
      <w:tr w:rsidR="000444D1" w:rsidRPr="000444D1" w14:paraId="6C52635D" w14:textId="77777777">
        <w:trPr>
          <w:tblCellSpacing w:w="15" w:type="dxa"/>
        </w:trPr>
        <w:tc>
          <w:tcPr>
            <w:tcW w:w="0" w:type="auto"/>
            <w:vAlign w:val="center"/>
            <w:hideMark/>
          </w:tcPr>
          <w:p w14:paraId="56D9FF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w:t>
            </w:r>
          </w:p>
        </w:tc>
        <w:tc>
          <w:tcPr>
            <w:tcW w:w="0" w:type="auto"/>
            <w:vAlign w:val="center"/>
            <w:hideMark/>
          </w:tcPr>
          <w:p w14:paraId="043439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Banca web y banca móvil</w:t>
            </w:r>
          </w:p>
        </w:tc>
        <w:tc>
          <w:tcPr>
            <w:tcW w:w="0" w:type="auto"/>
            <w:vAlign w:val="center"/>
            <w:hideMark/>
          </w:tcPr>
          <w:p w14:paraId="629155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System of Engagement</w:t>
            </w:r>
          </w:p>
        </w:tc>
        <w:tc>
          <w:tcPr>
            <w:tcW w:w="0" w:type="auto"/>
            <w:vAlign w:val="center"/>
            <w:hideMark/>
          </w:tcPr>
          <w:p w14:paraId="7C9B49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Canales; consumidores, sin lógica de negocio propia</w:t>
            </w:r>
          </w:p>
        </w:tc>
      </w:tr>
      <w:tr w:rsidR="000444D1" w:rsidRPr="000444D1" w14:paraId="61A23A0A" w14:textId="77777777">
        <w:trPr>
          <w:tblCellSpacing w:w="15" w:type="dxa"/>
        </w:trPr>
        <w:tc>
          <w:tcPr>
            <w:tcW w:w="0" w:type="auto"/>
            <w:vAlign w:val="center"/>
            <w:hideMark/>
          </w:tcPr>
          <w:p w14:paraId="2FBACC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c>
          <w:tcPr>
            <w:tcW w:w="0" w:type="auto"/>
            <w:vAlign w:val="center"/>
            <w:hideMark/>
          </w:tcPr>
          <w:p w14:paraId="2C53F6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Plataforma de servicios de pago</w:t>
            </w:r>
          </w:p>
        </w:tc>
        <w:tc>
          <w:tcPr>
            <w:tcW w:w="0" w:type="auto"/>
            <w:vAlign w:val="center"/>
            <w:hideMark/>
          </w:tcPr>
          <w:p w14:paraId="2C2AA0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Capacidad transaccional</w:t>
            </w:r>
          </w:p>
        </w:tc>
        <w:tc>
          <w:tcPr>
            <w:tcW w:w="0" w:type="auto"/>
            <w:vAlign w:val="center"/>
            <w:hideMark/>
          </w:tcPr>
          <w:p w14:paraId="7A59C9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Originación, orquestación y liquidación de pagos</w:t>
            </w:r>
          </w:p>
        </w:tc>
      </w:tr>
      <w:tr w:rsidR="000444D1" w:rsidRPr="000444D1" w14:paraId="4EB94691" w14:textId="77777777">
        <w:trPr>
          <w:tblCellSpacing w:w="15" w:type="dxa"/>
        </w:trPr>
        <w:tc>
          <w:tcPr>
            <w:tcW w:w="0" w:type="auto"/>
            <w:vAlign w:val="center"/>
            <w:hideMark/>
          </w:tcPr>
          <w:p w14:paraId="27997D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w:t>
            </w:r>
          </w:p>
        </w:tc>
        <w:tc>
          <w:tcPr>
            <w:tcW w:w="0" w:type="auto"/>
            <w:vAlign w:val="center"/>
            <w:hideMark/>
          </w:tcPr>
          <w:p w14:paraId="466334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APIs de terceros (Open Finance)</w:t>
            </w:r>
          </w:p>
        </w:tc>
        <w:tc>
          <w:tcPr>
            <w:tcW w:w="0" w:type="auto"/>
            <w:vAlign w:val="center"/>
            <w:hideMark/>
          </w:tcPr>
          <w:p w14:paraId="66D2E2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Superficie externa regulada</w:t>
            </w:r>
          </w:p>
        </w:tc>
        <w:tc>
          <w:tcPr>
            <w:tcW w:w="0" w:type="auto"/>
            <w:vAlign w:val="center"/>
            <w:hideMark/>
          </w:tcPr>
          <w:p w14:paraId="4337CC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Exposición controlada bajo consentimiento</w:t>
            </w:r>
          </w:p>
        </w:tc>
      </w:tr>
      <w:tr w:rsidR="000444D1" w:rsidRPr="000444D1" w14:paraId="546B26F4" w14:textId="77777777">
        <w:trPr>
          <w:tblCellSpacing w:w="15" w:type="dxa"/>
        </w:trPr>
        <w:tc>
          <w:tcPr>
            <w:tcW w:w="0" w:type="auto"/>
            <w:vAlign w:val="center"/>
            <w:hideMark/>
          </w:tcPr>
          <w:p w14:paraId="34D4FD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w:t>
            </w:r>
          </w:p>
        </w:tc>
        <w:tc>
          <w:tcPr>
            <w:tcW w:w="0" w:type="auto"/>
            <w:vAlign w:val="center"/>
            <w:hideMark/>
          </w:tcPr>
          <w:p w14:paraId="6A1EFB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de gestión de riesgos</w:t>
            </w:r>
          </w:p>
        </w:tc>
        <w:tc>
          <w:tcPr>
            <w:tcW w:w="0" w:type="auto"/>
            <w:vAlign w:val="center"/>
            <w:hideMark/>
          </w:tcPr>
          <w:p w14:paraId="41A3BF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Capacidad transversal</w:t>
            </w:r>
          </w:p>
        </w:tc>
        <w:tc>
          <w:tcPr>
            <w:tcW w:w="0" w:type="auto"/>
            <w:vAlign w:val="center"/>
            <w:hideMark/>
          </w:tcPr>
          <w:p w14:paraId="41EA4B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near-real-time y analítica</w:t>
            </w:r>
          </w:p>
        </w:tc>
      </w:tr>
      <w:tr w:rsidR="000444D1" w:rsidRPr="000444D1" w14:paraId="4AEB3621" w14:textId="77777777">
        <w:trPr>
          <w:tblCellSpacing w:w="15" w:type="dxa"/>
        </w:trPr>
        <w:tc>
          <w:tcPr>
            <w:tcW w:w="0" w:type="auto"/>
            <w:vAlign w:val="center"/>
            <w:hideMark/>
          </w:tcPr>
          <w:p w14:paraId="2DC247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w:t>
            </w:r>
          </w:p>
        </w:tc>
        <w:tc>
          <w:tcPr>
            <w:tcW w:w="0" w:type="auto"/>
            <w:vAlign w:val="center"/>
            <w:hideMark/>
          </w:tcPr>
          <w:p w14:paraId="114DBD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de prevención de fraudes</w:t>
            </w:r>
          </w:p>
        </w:tc>
        <w:tc>
          <w:tcPr>
            <w:tcW w:w="0" w:type="auto"/>
            <w:vAlign w:val="center"/>
            <w:hideMark/>
          </w:tcPr>
          <w:p w14:paraId="6E73E9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Capacidad transversal</w:t>
            </w:r>
          </w:p>
        </w:tc>
        <w:tc>
          <w:tcPr>
            <w:tcW w:w="0" w:type="auto"/>
            <w:vAlign w:val="center"/>
            <w:hideMark/>
          </w:tcPr>
          <w:p w14:paraId="6FE1F7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en línea, en camino crítico</w:t>
            </w:r>
          </w:p>
        </w:tc>
      </w:tr>
    </w:tbl>
    <w:p w14:paraId="3C8869A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 Naturaleza del problema</w:t>
      </w:r>
    </w:p>
    <w:p w14:paraId="584AFBF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alcance definido es </w:t>
      </w:r>
      <w:r w:rsidRPr="000444D1">
        <w:rPr>
          <w:rFonts w:ascii="Times New Roman" w:eastAsia="Times New Roman" w:hAnsi="Times New Roman" w:cs="Times New Roman"/>
          <w:b/>
          <w:bCs/>
          <w:kern w:val="0"/>
          <w14:ligatures w14:val="none"/>
        </w:rPr>
        <w:t>integrar</w:t>
      </w:r>
      <w:r w:rsidRPr="000444D1">
        <w:rPr>
          <w:rFonts w:ascii="Times New Roman" w:eastAsia="Times New Roman" w:hAnsi="Times New Roman" w:cs="Times New Roman"/>
          <w:kern w:val="0"/>
          <w14:ligatures w14:val="none"/>
        </w:rPr>
        <w:t xml:space="preserve">, no reemplazar. El core tradicional y el core digital </w:t>
      </w:r>
      <w:r w:rsidRPr="000444D1">
        <w:rPr>
          <w:rFonts w:ascii="Times New Roman" w:eastAsia="Times New Roman" w:hAnsi="Times New Roman" w:cs="Times New Roman"/>
          <w:b/>
          <w:bCs/>
          <w:kern w:val="0"/>
          <w14:ligatures w14:val="none"/>
        </w:rPr>
        <w:t>coexisten</w:t>
      </w:r>
      <w:r w:rsidRPr="000444D1">
        <w:rPr>
          <w:rFonts w:ascii="Times New Roman" w:eastAsia="Times New Roman" w:hAnsi="Times New Roman" w:cs="Times New Roman"/>
          <w:kern w:val="0"/>
          <w14:ligatures w14:val="none"/>
        </w:rPr>
        <w:t xml:space="preserve">. El problema central no es, por tanto, una migración big-bang, sino la </w:t>
      </w:r>
      <w:r w:rsidRPr="000444D1">
        <w:rPr>
          <w:rFonts w:ascii="Times New Roman" w:eastAsia="Times New Roman" w:hAnsi="Times New Roman" w:cs="Times New Roman"/>
          <w:b/>
          <w:bCs/>
          <w:kern w:val="0"/>
          <w14:ligatures w14:val="none"/>
        </w:rPr>
        <w:t>coexistencia gobernada de dos sistemas de registro transaccionales</w:t>
      </w:r>
      <w:r w:rsidRPr="000444D1">
        <w:rPr>
          <w:rFonts w:ascii="Times New Roman" w:eastAsia="Times New Roman" w:hAnsi="Times New Roman" w:cs="Times New Roman"/>
          <w:kern w:val="0"/>
          <w14:ligatures w14:val="none"/>
        </w:rPr>
        <w:t xml:space="preserve"> durante un horizonte plurianual, sin que esa dualidad se filtre hacia los canales, los terceros ni los sistemas transversales.</w:t>
      </w:r>
    </w:p>
    <w:p w14:paraId="4FB0548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 ese enunciado se derivan las tres tensiones estructurales que el diseño debe resolver:</w:t>
      </w:r>
    </w:p>
    <w:p w14:paraId="3AA84C56" w14:textId="77777777" w:rsidR="000444D1" w:rsidRPr="000444D1" w:rsidRDefault="000444D1" w:rsidP="00C646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Propiedad del dato.</w:t>
      </w:r>
      <w:r w:rsidRPr="000444D1">
        <w:rPr>
          <w:rFonts w:ascii="Times New Roman" w:eastAsia="Times New Roman" w:hAnsi="Times New Roman" w:cs="Times New Roman"/>
          <w:kern w:val="0"/>
          <w14:ligatures w14:val="none"/>
        </w:rPr>
        <w:t xml:space="preserve"> Para cualquier cuenta, cliente o transacción debe existir exactamente un system of record, determinable y consultable.</w:t>
      </w:r>
    </w:p>
    <w:p w14:paraId="65855209" w14:textId="77777777" w:rsidR="000444D1" w:rsidRPr="000444D1" w:rsidRDefault="000444D1" w:rsidP="00C646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Impedancia temporal.</w:t>
      </w:r>
      <w:r w:rsidRPr="000444D1">
        <w:rPr>
          <w:rFonts w:ascii="Times New Roman" w:eastAsia="Times New Roman" w:hAnsi="Times New Roman" w:cs="Times New Roman"/>
          <w:kern w:val="0"/>
          <w14:ligatures w14:val="none"/>
        </w:rPr>
        <w:t xml:space="preserve"> El core tradicional opera por ciclos batch con ventana de cierre; los canales digitales exigen respuesta interactiva 24/7.</w:t>
      </w:r>
    </w:p>
    <w:p w14:paraId="46A91875" w14:textId="77777777" w:rsidR="000444D1" w:rsidRPr="000444D1" w:rsidRDefault="000444D1" w:rsidP="00C646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Visibilidad transversal.</w:t>
      </w:r>
      <w:r w:rsidRPr="000444D1">
        <w:rPr>
          <w:rFonts w:ascii="Times New Roman" w:eastAsia="Times New Roman" w:hAnsi="Times New Roman" w:cs="Times New Roman"/>
          <w:kern w:val="0"/>
          <w14:ligatures w14:val="none"/>
        </w:rPr>
        <w:t xml:space="preserve"> Riesgos y fraude necesitan observar los eventos de negocio de todos los sistemas sin acoplarse punto a punto a cada uno de ellos.</w:t>
      </w:r>
    </w:p>
    <w:p w14:paraId="601C1DA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 Fuera de alcance</w:t>
      </w:r>
    </w:p>
    <w:p w14:paraId="31A9EDF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Diseño interno del core digital (producto de terceros o desarrollo propio, se trata como caja negra con contrato), rediseño funcional del core tradicional, arquitectura de canales (front-end), y modelo de datos analítico / data warehouse más allá de su alimentación por eventos.</w:t>
      </w:r>
    </w:p>
    <w:p w14:paraId="5F1A6728"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7F80621E">
          <v:rect id="Horizontal Line 572" o:spid="_x0000_s107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2F4483E"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2. Supuestos y premisas</w:t>
      </w:r>
    </w:p>
    <w:p w14:paraId="40843CC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Los siguientes supuestos se declaran explícitamente por no haber sido especificados en el enunciado. Se clasifican por su impacto sobre el diseño:</w:t>
      </w:r>
    </w:p>
    <w:p w14:paraId="2C1C785C" w14:textId="77777777" w:rsidR="000444D1" w:rsidRPr="000444D1" w:rsidRDefault="000444D1" w:rsidP="00C646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Tipo A — Estructural:</w:t>
      </w:r>
      <w:r w:rsidRPr="000444D1">
        <w:rPr>
          <w:rFonts w:ascii="Times New Roman" w:eastAsia="Times New Roman" w:hAnsi="Times New Roman" w:cs="Times New Roman"/>
          <w:kern w:val="0"/>
          <w14:ligatures w14:val="none"/>
        </w:rPr>
        <w:t xml:space="preserve"> si el supuesto cambia, cambia la arquitectura.</w:t>
      </w:r>
    </w:p>
    <w:p w14:paraId="5B4221A2" w14:textId="77777777" w:rsidR="000444D1" w:rsidRPr="000444D1" w:rsidRDefault="000444D1" w:rsidP="00C646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Tipo B — Dimensional:</w:t>
      </w:r>
      <w:r w:rsidRPr="000444D1">
        <w:rPr>
          <w:rFonts w:ascii="Times New Roman" w:eastAsia="Times New Roman" w:hAnsi="Times New Roman" w:cs="Times New Roman"/>
          <w:kern w:val="0"/>
          <w14:ligatures w14:val="none"/>
        </w:rPr>
        <w:t xml:space="preserve"> si cambia, cambian los parámetros de capacidad y SLA, no la estructura.</w:t>
      </w:r>
    </w:p>
    <w:p w14:paraId="1311373F" w14:textId="77777777" w:rsidR="000444D1" w:rsidRPr="000444D1" w:rsidRDefault="000444D1" w:rsidP="00C646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Tipo C — Aislado por diseño:</w:t>
      </w:r>
      <w:r w:rsidRPr="000444D1">
        <w:rPr>
          <w:rFonts w:ascii="Times New Roman" w:eastAsia="Times New Roman" w:hAnsi="Times New Roman" w:cs="Times New Roman"/>
          <w:kern w:val="0"/>
          <w14:ligatures w14:val="none"/>
        </w:rPr>
        <w:t xml:space="preserve"> si cambia, se sustituye un adaptador; ningún otro componente se ve afectado.</w:t>
      </w:r>
    </w:p>
    <w:p w14:paraId="168114E0"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2.1 Supuestos sobre el core bancario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0"/>
        <w:gridCol w:w="541"/>
        <w:gridCol w:w="2385"/>
        <w:gridCol w:w="3004"/>
      </w:tblGrid>
      <w:tr w:rsidR="000444D1" w:rsidRPr="000444D1" w14:paraId="4A7E1D17" w14:textId="77777777">
        <w:trPr>
          <w:tblHeader/>
          <w:tblCellSpacing w:w="15" w:type="dxa"/>
        </w:trPr>
        <w:tc>
          <w:tcPr>
            <w:tcW w:w="0" w:type="auto"/>
            <w:vAlign w:val="center"/>
            <w:hideMark/>
          </w:tcPr>
          <w:p w14:paraId="710A968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Supuesto</w:t>
            </w:r>
          </w:p>
        </w:tc>
        <w:tc>
          <w:tcPr>
            <w:tcW w:w="0" w:type="auto"/>
            <w:vAlign w:val="center"/>
            <w:hideMark/>
          </w:tcPr>
          <w:p w14:paraId="3E3EED3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w:t>
            </w:r>
          </w:p>
        </w:tc>
        <w:tc>
          <w:tcPr>
            <w:tcW w:w="0" w:type="auto"/>
            <w:vAlign w:val="center"/>
            <w:hideMark/>
          </w:tcPr>
          <w:p w14:paraId="0F1EA41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Justificación</w:t>
            </w:r>
          </w:p>
        </w:tc>
        <w:tc>
          <w:tcPr>
            <w:tcW w:w="0" w:type="auto"/>
            <w:vAlign w:val="center"/>
            <w:hideMark/>
          </w:tcPr>
          <w:p w14:paraId="258A6CD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Impacto si no se cumple</w:t>
            </w:r>
          </w:p>
        </w:tc>
      </w:tr>
      <w:tr w:rsidR="000444D1" w:rsidRPr="000444D1" w14:paraId="1D916F0C" w14:textId="77777777">
        <w:trPr>
          <w:tblCellSpacing w:w="15" w:type="dxa"/>
        </w:trPr>
        <w:tc>
          <w:tcPr>
            <w:tcW w:w="0" w:type="auto"/>
            <w:vAlign w:val="center"/>
            <w:hideMark/>
          </w:tcPr>
          <w:p w14:paraId="632EE2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monolítico sobre mainframe/AS400, más de 20 años de antigüedad, COBOL/RPG</w:t>
            </w:r>
          </w:p>
        </w:tc>
        <w:tc>
          <w:tcPr>
            <w:tcW w:w="0" w:type="auto"/>
            <w:vAlign w:val="center"/>
            <w:hideMark/>
          </w:tcPr>
          <w:p w14:paraId="18C3B9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w:t>
            </w:r>
          </w:p>
        </w:tc>
        <w:tc>
          <w:tcPr>
            <w:tcW w:w="0" w:type="auto"/>
            <w:vAlign w:val="center"/>
            <w:hideMark/>
          </w:tcPr>
          <w:p w14:paraId="27A38D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Perfil predominante en banca tradicional de la región</w:t>
            </w:r>
          </w:p>
        </w:tc>
        <w:tc>
          <w:tcPr>
            <w:tcW w:w="0" w:type="auto"/>
            <w:vAlign w:val="center"/>
            <w:hideMark/>
          </w:tcPr>
          <w:p w14:paraId="4869CA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Ninguno estructural: aislado tras la capa anticorrupción</w:t>
            </w:r>
          </w:p>
        </w:tc>
      </w:tr>
      <w:tr w:rsidR="000444D1" w:rsidRPr="000444D1" w14:paraId="3D5A28F6" w14:textId="77777777">
        <w:trPr>
          <w:tblCellSpacing w:w="15" w:type="dxa"/>
        </w:trPr>
        <w:tc>
          <w:tcPr>
            <w:tcW w:w="0" w:type="auto"/>
            <w:vAlign w:val="center"/>
            <w:hideMark/>
          </w:tcPr>
          <w:p w14:paraId="6F5DE0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Modificable solo de forma marginal; ciclos de release trimestrales</w:t>
            </w:r>
          </w:p>
        </w:tc>
        <w:tc>
          <w:tcPr>
            <w:tcW w:w="0" w:type="auto"/>
            <w:vAlign w:val="center"/>
            <w:hideMark/>
          </w:tcPr>
          <w:p w14:paraId="7F6DD6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33C6B5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Supuesto conservador; se diseña para el peor caso</w:t>
            </w:r>
          </w:p>
        </w:tc>
        <w:tc>
          <w:tcPr>
            <w:tcW w:w="0" w:type="auto"/>
            <w:vAlign w:val="center"/>
            <w:hideMark/>
          </w:tcPr>
          <w:p w14:paraId="692B4D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es más flexible, el diseño solo se simplifica</w:t>
            </w:r>
          </w:p>
        </w:tc>
      </w:tr>
      <w:tr w:rsidR="000444D1" w:rsidRPr="000444D1" w14:paraId="03BB23D2" w14:textId="77777777">
        <w:trPr>
          <w:tblCellSpacing w:w="15" w:type="dxa"/>
        </w:trPr>
        <w:tc>
          <w:tcPr>
            <w:tcW w:w="0" w:type="auto"/>
            <w:vAlign w:val="center"/>
            <w:hideMark/>
          </w:tcPr>
          <w:p w14:paraId="46E23C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Expone acceso transaccional vía cola de mensajes (MQ) y masivo vía archivos batch</w:t>
            </w:r>
          </w:p>
        </w:tc>
        <w:tc>
          <w:tcPr>
            <w:tcW w:w="0" w:type="auto"/>
            <w:vAlign w:val="center"/>
            <w:hideMark/>
          </w:tcPr>
          <w:p w14:paraId="70326AD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w:t>
            </w:r>
          </w:p>
        </w:tc>
        <w:tc>
          <w:tcPr>
            <w:tcW w:w="0" w:type="auto"/>
            <w:vAlign w:val="center"/>
            <w:hideMark/>
          </w:tcPr>
          <w:p w14:paraId="593996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Combinación de integración más común en este perfil</w:t>
            </w:r>
          </w:p>
        </w:tc>
        <w:tc>
          <w:tcPr>
            <w:tcW w:w="0" w:type="auto"/>
            <w:vAlign w:val="center"/>
            <w:hideMark/>
          </w:tcPr>
          <w:p w14:paraId="1154F8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sustituye la implementación del adaptador</w:t>
            </w:r>
          </w:p>
        </w:tc>
      </w:tr>
      <w:tr w:rsidR="000444D1" w:rsidRPr="000444D1" w14:paraId="349A0FA5" w14:textId="77777777">
        <w:trPr>
          <w:tblCellSpacing w:w="15" w:type="dxa"/>
        </w:trPr>
        <w:tc>
          <w:tcPr>
            <w:tcW w:w="0" w:type="auto"/>
            <w:vAlign w:val="center"/>
            <w:hideMark/>
          </w:tcPr>
          <w:p w14:paraId="3D59E0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 publica eventos de cambio de estado</w:t>
            </w:r>
          </w:p>
        </w:tc>
        <w:tc>
          <w:tcPr>
            <w:tcW w:w="0" w:type="auto"/>
            <w:vAlign w:val="center"/>
            <w:hideMark/>
          </w:tcPr>
          <w:p w14:paraId="3C070E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75CDE4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Supuesto pesimista deliberado</w:t>
            </w:r>
          </w:p>
        </w:tc>
        <w:tc>
          <w:tcPr>
            <w:tcW w:w="0" w:type="auto"/>
            <w:vAlign w:val="center"/>
            <w:hideMark/>
          </w:tcPr>
          <w:p w14:paraId="76B263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los publicara, se elimina la necesidad de CDC (ver ADR-004)</w:t>
            </w:r>
          </w:p>
        </w:tc>
      </w:tr>
      <w:tr w:rsidR="000444D1" w:rsidRPr="000444D1" w14:paraId="49F14F7C" w14:textId="77777777">
        <w:trPr>
          <w:tblCellSpacing w:w="15" w:type="dxa"/>
        </w:trPr>
        <w:tc>
          <w:tcPr>
            <w:tcW w:w="0" w:type="auto"/>
            <w:vAlign w:val="center"/>
            <w:hideMark/>
          </w:tcPr>
          <w:p w14:paraId="1556FD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Ventana de cierre nocturno con disponibilidad degradada (aprox. 4 horas)</w:t>
            </w:r>
          </w:p>
        </w:tc>
        <w:tc>
          <w:tcPr>
            <w:tcW w:w="0" w:type="auto"/>
            <w:vAlign w:val="center"/>
            <w:hideMark/>
          </w:tcPr>
          <w:p w14:paraId="4541C8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07BA69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Práctica universal en cores tradicionales</w:t>
            </w:r>
          </w:p>
        </w:tc>
        <w:tc>
          <w:tcPr>
            <w:tcW w:w="0" w:type="auto"/>
            <w:vAlign w:val="center"/>
            <w:hideMark/>
          </w:tcPr>
          <w:p w14:paraId="157523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no existe, el modo degradado queda como capacidad de resiliencia adicional</w:t>
            </w:r>
          </w:p>
        </w:tc>
      </w:tr>
      <w:tr w:rsidR="000444D1" w:rsidRPr="000444D1" w14:paraId="080CC082" w14:textId="77777777">
        <w:trPr>
          <w:tblCellSpacing w:w="15" w:type="dxa"/>
        </w:trPr>
        <w:tc>
          <w:tcPr>
            <w:tcW w:w="0" w:type="auto"/>
            <w:vAlign w:val="center"/>
            <w:hideMark/>
          </w:tcPr>
          <w:p w14:paraId="49832D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Permanece como SoR de productos tradicionales durante todo el horizonte del programa</w:t>
            </w:r>
          </w:p>
        </w:tc>
        <w:tc>
          <w:tcPr>
            <w:tcW w:w="0" w:type="auto"/>
            <w:vAlign w:val="center"/>
            <w:hideMark/>
          </w:tcPr>
          <w:p w14:paraId="48869E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6F7457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alcance del programa es de integración, no de reemplazo</w:t>
            </w:r>
          </w:p>
        </w:tc>
        <w:tc>
          <w:tcPr>
            <w:tcW w:w="0" w:type="auto"/>
            <w:vAlign w:val="center"/>
            <w:hideMark/>
          </w:tcPr>
          <w:p w14:paraId="5D4DADA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r>
    </w:tbl>
    <w:p w14:paraId="6C41FBF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Nota de diseño.</w:t>
      </w:r>
      <w:r w:rsidRPr="000444D1">
        <w:rPr>
          <w:rFonts w:ascii="Times New Roman" w:eastAsia="Times New Roman" w:hAnsi="Times New Roman" w:cs="Times New Roman"/>
          <w:kern w:val="0"/>
          <w14:ligatures w14:val="none"/>
        </w:rPr>
        <w:t xml:space="preserve"> El conjunto de supuestos sobre el core tradicional se aísla deliberadamente tras una </w:t>
      </w:r>
      <w:r w:rsidRPr="000444D1">
        <w:rPr>
          <w:rFonts w:ascii="Times New Roman" w:eastAsia="Times New Roman" w:hAnsi="Times New Roman" w:cs="Times New Roman"/>
          <w:b/>
          <w:bCs/>
          <w:kern w:val="0"/>
          <w14:ligatures w14:val="none"/>
        </w:rPr>
        <w:t>capa anticorrupción</w:t>
      </w:r>
      <w:r w:rsidRPr="000444D1">
        <w:rPr>
          <w:rFonts w:ascii="Times New Roman" w:eastAsia="Times New Roman" w:hAnsi="Times New Roman" w:cs="Times New Roman"/>
          <w:kern w:val="0"/>
          <w14:ligatures w14:val="none"/>
        </w:rPr>
        <w:t xml:space="preserve"> (sección 11). Su validación o refutación afecta a la implementación de adaptadores concretos, no a la estructura de la solución. Esta es una decisión consciente ante la ausencia de información sobre el sistema legado.</w:t>
      </w:r>
    </w:p>
    <w:p w14:paraId="3A6C0A2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2.2 Supuestos de negocio y volumetría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5"/>
        <w:gridCol w:w="4859"/>
        <w:gridCol w:w="556"/>
      </w:tblGrid>
      <w:tr w:rsidR="000444D1" w:rsidRPr="000444D1" w14:paraId="060AB45E" w14:textId="77777777">
        <w:trPr>
          <w:tblHeader/>
          <w:tblCellSpacing w:w="15" w:type="dxa"/>
        </w:trPr>
        <w:tc>
          <w:tcPr>
            <w:tcW w:w="0" w:type="auto"/>
            <w:vAlign w:val="center"/>
            <w:hideMark/>
          </w:tcPr>
          <w:p w14:paraId="5DCF12E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Parámetro</w:t>
            </w:r>
          </w:p>
        </w:tc>
        <w:tc>
          <w:tcPr>
            <w:tcW w:w="0" w:type="auto"/>
            <w:vAlign w:val="center"/>
            <w:hideMark/>
          </w:tcPr>
          <w:p w14:paraId="6C15D8E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Valor asumido</w:t>
            </w:r>
          </w:p>
        </w:tc>
        <w:tc>
          <w:tcPr>
            <w:tcW w:w="0" w:type="auto"/>
            <w:vAlign w:val="center"/>
            <w:hideMark/>
          </w:tcPr>
          <w:p w14:paraId="1D2DEDD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w:t>
            </w:r>
          </w:p>
        </w:tc>
      </w:tr>
      <w:tr w:rsidR="000444D1" w:rsidRPr="000444D1" w14:paraId="296FA702" w14:textId="77777777">
        <w:trPr>
          <w:tblCellSpacing w:w="15" w:type="dxa"/>
        </w:trPr>
        <w:tc>
          <w:tcPr>
            <w:tcW w:w="0" w:type="auto"/>
            <w:vAlign w:val="center"/>
            <w:hideMark/>
          </w:tcPr>
          <w:p w14:paraId="63B62A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Clientes totales / activos digitales</w:t>
            </w:r>
          </w:p>
        </w:tc>
        <w:tc>
          <w:tcPr>
            <w:tcW w:w="0" w:type="auto"/>
            <w:vAlign w:val="center"/>
            <w:hideMark/>
          </w:tcPr>
          <w:p w14:paraId="5E858A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 M / ~600 k</w:t>
            </w:r>
          </w:p>
        </w:tc>
        <w:tc>
          <w:tcPr>
            <w:tcW w:w="0" w:type="auto"/>
            <w:vAlign w:val="center"/>
            <w:hideMark/>
          </w:tcPr>
          <w:p w14:paraId="4419B6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14543FD7" w14:textId="77777777">
        <w:trPr>
          <w:tblCellSpacing w:w="15" w:type="dxa"/>
        </w:trPr>
        <w:tc>
          <w:tcPr>
            <w:tcW w:w="0" w:type="auto"/>
            <w:vAlign w:val="center"/>
            <w:hideMark/>
          </w:tcPr>
          <w:p w14:paraId="3B66C1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TPS pico canales digitales — lectura</w:t>
            </w:r>
          </w:p>
        </w:tc>
        <w:tc>
          <w:tcPr>
            <w:tcW w:w="0" w:type="auto"/>
            <w:vAlign w:val="center"/>
            <w:hideMark/>
          </w:tcPr>
          <w:p w14:paraId="701875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~800 TPS</w:t>
            </w:r>
          </w:p>
        </w:tc>
        <w:tc>
          <w:tcPr>
            <w:tcW w:w="0" w:type="auto"/>
            <w:vAlign w:val="center"/>
            <w:hideMark/>
          </w:tcPr>
          <w:p w14:paraId="755336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6EAD3309" w14:textId="77777777">
        <w:trPr>
          <w:tblCellSpacing w:w="15" w:type="dxa"/>
        </w:trPr>
        <w:tc>
          <w:tcPr>
            <w:tcW w:w="0" w:type="auto"/>
            <w:vAlign w:val="center"/>
            <w:hideMark/>
          </w:tcPr>
          <w:p w14:paraId="7F21DC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TPS pico canales digitales — escritura</w:t>
            </w:r>
          </w:p>
        </w:tc>
        <w:tc>
          <w:tcPr>
            <w:tcW w:w="0" w:type="auto"/>
            <w:vAlign w:val="center"/>
            <w:hideMark/>
          </w:tcPr>
          <w:p w14:paraId="512123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~150 TPS</w:t>
            </w:r>
          </w:p>
        </w:tc>
        <w:tc>
          <w:tcPr>
            <w:tcW w:w="0" w:type="auto"/>
            <w:vAlign w:val="center"/>
            <w:hideMark/>
          </w:tcPr>
          <w:p w14:paraId="7F5158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01DEDBEA" w14:textId="77777777">
        <w:trPr>
          <w:tblCellSpacing w:w="15" w:type="dxa"/>
        </w:trPr>
        <w:tc>
          <w:tcPr>
            <w:tcW w:w="0" w:type="auto"/>
            <w:vAlign w:val="center"/>
            <w:hideMark/>
          </w:tcPr>
          <w:p w14:paraId="058BC1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Factor de pico estacional (días de pago, fin de mes)</w:t>
            </w:r>
          </w:p>
        </w:tc>
        <w:tc>
          <w:tcPr>
            <w:tcW w:w="0" w:type="auto"/>
            <w:vAlign w:val="center"/>
            <w:hideMark/>
          </w:tcPr>
          <w:p w14:paraId="5D8949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w:t>
            </w:r>
          </w:p>
        </w:tc>
        <w:tc>
          <w:tcPr>
            <w:tcW w:w="0" w:type="auto"/>
            <w:vAlign w:val="center"/>
            <w:hideMark/>
          </w:tcPr>
          <w:p w14:paraId="76CBC2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34A8D0D2" w14:textId="77777777">
        <w:trPr>
          <w:tblCellSpacing w:w="15" w:type="dxa"/>
        </w:trPr>
        <w:tc>
          <w:tcPr>
            <w:tcW w:w="0" w:type="auto"/>
            <w:vAlign w:val="center"/>
            <w:hideMark/>
          </w:tcPr>
          <w:p w14:paraId="5DA745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objetivo — consulta de saldo</w:t>
            </w:r>
          </w:p>
        </w:tc>
        <w:tc>
          <w:tcPr>
            <w:tcW w:w="0" w:type="auto"/>
            <w:vAlign w:val="center"/>
            <w:hideMark/>
          </w:tcPr>
          <w:p w14:paraId="753524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p95 &lt; 500 ms</w:t>
            </w:r>
          </w:p>
        </w:tc>
        <w:tc>
          <w:tcPr>
            <w:tcW w:w="0" w:type="auto"/>
            <w:vAlign w:val="center"/>
            <w:hideMark/>
          </w:tcPr>
          <w:p w14:paraId="12D947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5109F0B2" w14:textId="77777777">
        <w:trPr>
          <w:tblCellSpacing w:w="15" w:type="dxa"/>
        </w:trPr>
        <w:tc>
          <w:tcPr>
            <w:tcW w:w="0" w:type="auto"/>
            <w:vAlign w:val="center"/>
            <w:hideMark/>
          </w:tcPr>
          <w:p w14:paraId="4B5FE8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objetivo — transferencia interna</w:t>
            </w:r>
          </w:p>
        </w:tc>
        <w:tc>
          <w:tcPr>
            <w:tcW w:w="0" w:type="auto"/>
            <w:vAlign w:val="center"/>
            <w:hideMark/>
          </w:tcPr>
          <w:p w14:paraId="397871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p95 &lt; 2 s</w:t>
            </w:r>
          </w:p>
        </w:tc>
        <w:tc>
          <w:tcPr>
            <w:tcW w:w="0" w:type="auto"/>
            <w:vAlign w:val="center"/>
            <w:hideMark/>
          </w:tcPr>
          <w:p w14:paraId="5CB619D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27A8611E" w14:textId="77777777">
        <w:trPr>
          <w:tblCellSpacing w:w="15" w:type="dxa"/>
        </w:trPr>
        <w:tc>
          <w:tcPr>
            <w:tcW w:w="0" w:type="auto"/>
            <w:vAlign w:val="center"/>
            <w:hideMark/>
          </w:tcPr>
          <w:p w14:paraId="0563C1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Presupuesto de latencia — evaluación de fraude en línea</w:t>
            </w:r>
          </w:p>
        </w:tc>
        <w:tc>
          <w:tcPr>
            <w:tcW w:w="0" w:type="auto"/>
            <w:vAlign w:val="center"/>
            <w:hideMark/>
          </w:tcPr>
          <w:p w14:paraId="5EF8520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&lt; 300 ms</w:t>
            </w:r>
          </w:p>
        </w:tc>
        <w:tc>
          <w:tcPr>
            <w:tcW w:w="0" w:type="auto"/>
            <w:vAlign w:val="center"/>
            <w:hideMark/>
          </w:tcPr>
          <w:p w14:paraId="77703B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r>
      <w:tr w:rsidR="000444D1" w:rsidRPr="000444D1" w14:paraId="6AFDE8A8" w14:textId="77777777">
        <w:trPr>
          <w:tblCellSpacing w:w="15" w:type="dxa"/>
        </w:trPr>
        <w:tc>
          <w:tcPr>
            <w:tcW w:w="0" w:type="auto"/>
            <w:vAlign w:val="center"/>
            <w:hideMark/>
          </w:tcPr>
          <w:p w14:paraId="01A282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Disponibilidad objetivo — canales digitales</w:t>
            </w:r>
          </w:p>
        </w:tc>
        <w:tc>
          <w:tcPr>
            <w:tcW w:w="0" w:type="auto"/>
            <w:vAlign w:val="center"/>
            <w:hideMark/>
          </w:tcPr>
          <w:p w14:paraId="5282E5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99.95 %</w:t>
            </w:r>
          </w:p>
        </w:tc>
        <w:tc>
          <w:tcPr>
            <w:tcW w:w="0" w:type="auto"/>
            <w:vAlign w:val="center"/>
            <w:hideMark/>
          </w:tcPr>
          <w:p w14:paraId="02BB6AD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2ED8DA4A" w14:textId="77777777">
        <w:trPr>
          <w:tblCellSpacing w:w="15" w:type="dxa"/>
        </w:trPr>
        <w:tc>
          <w:tcPr>
            <w:tcW w:w="0" w:type="auto"/>
            <w:vAlign w:val="center"/>
            <w:hideMark/>
          </w:tcPr>
          <w:p w14:paraId="29D364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Disponibilidad objetivo — core tradicional</w:t>
            </w:r>
          </w:p>
        </w:tc>
        <w:tc>
          <w:tcPr>
            <w:tcW w:w="0" w:type="auto"/>
            <w:vAlign w:val="center"/>
            <w:hideMark/>
          </w:tcPr>
          <w:p w14:paraId="2DB8E4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99.5 %</w:t>
            </w:r>
          </w:p>
        </w:tc>
        <w:tc>
          <w:tcPr>
            <w:tcW w:w="0" w:type="auto"/>
            <w:vAlign w:val="center"/>
            <w:hideMark/>
          </w:tcPr>
          <w:p w14:paraId="292C98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r>
      <w:tr w:rsidR="000444D1" w:rsidRPr="000444D1" w14:paraId="535DA90C" w14:textId="77777777">
        <w:trPr>
          <w:tblCellSpacing w:w="15" w:type="dxa"/>
        </w:trPr>
        <w:tc>
          <w:tcPr>
            <w:tcW w:w="0" w:type="auto"/>
            <w:vAlign w:val="center"/>
            <w:hideMark/>
          </w:tcPr>
          <w:p w14:paraId="503B0DF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RTO / RPO — capa digital</w:t>
            </w:r>
          </w:p>
        </w:tc>
        <w:tc>
          <w:tcPr>
            <w:tcW w:w="0" w:type="auto"/>
            <w:vAlign w:val="center"/>
            <w:hideMark/>
          </w:tcPr>
          <w:p w14:paraId="0493A8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 min / ≈ 0</w:t>
            </w:r>
          </w:p>
        </w:tc>
        <w:tc>
          <w:tcPr>
            <w:tcW w:w="0" w:type="auto"/>
            <w:vAlign w:val="center"/>
            <w:hideMark/>
          </w:tcPr>
          <w:p w14:paraId="2FBBD16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740B01E1" w14:textId="77777777">
        <w:trPr>
          <w:tblCellSpacing w:w="15" w:type="dxa"/>
        </w:trPr>
        <w:tc>
          <w:tcPr>
            <w:tcW w:w="0" w:type="auto"/>
            <w:vAlign w:val="center"/>
            <w:hideMark/>
          </w:tcPr>
          <w:p w14:paraId="4B2B0D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RTO / RPO — core tradicional</w:t>
            </w:r>
          </w:p>
        </w:tc>
        <w:tc>
          <w:tcPr>
            <w:tcW w:w="0" w:type="auto"/>
            <w:vAlign w:val="center"/>
            <w:hideMark/>
          </w:tcPr>
          <w:p w14:paraId="4DB291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 h / 15 min</w:t>
            </w:r>
          </w:p>
        </w:tc>
        <w:tc>
          <w:tcPr>
            <w:tcW w:w="0" w:type="auto"/>
            <w:vAlign w:val="center"/>
            <w:hideMark/>
          </w:tcPr>
          <w:p w14:paraId="5678D1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2852C635" w14:textId="77777777">
        <w:trPr>
          <w:tblCellSpacing w:w="15" w:type="dxa"/>
        </w:trPr>
        <w:tc>
          <w:tcPr>
            <w:tcW w:w="0" w:type="auto"/>
            <w:vAlign w:val="center"/>
            <w:hideMark/>
          </w:tcPr>
          <w:p w14:paraId="65540C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Modelo de despliegue</w:t>
            </w:r>
          </w:p>
        </w:tc>
        <w:tc>
          <w:tcPr>
            <w:tcW w:w="0" w:type="auto"/>
            <w:vAlign w:val="center"/>
            <w:hideMark/>
          </w:tcPr>
          <w:p w14:paraId="647AE1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Híbrido: core tradicional on-premise, capa de integración y digital en nube</w:t>
            </w:r>
          </w:p>
        </w:tc>
        <w:tc>
          <w:tcPr>
            <w:tcW w:w="0" w:type="auto"/>
            <w:vAlign w:val="center"/>
            <w:hideMark/>
          </w:tcPr>
          <w:p w14:paraId="5922D5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r>
    </w:tbl>
    <w:p w14:paraId="0A8AAB3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Los objetivos de disponibilidad y RTO/RPO son </w:t>
      </w:r>
      <w:r w:rsidRPr="000444D1">
        <w:rPr>
          <w:rFonts w:ascii="Times New Roman" w:eastAsia="Times New Roman" w:hAnsi="Times New Roman" w:cs="Times New Roman"/>
          <w:b/>
          <w:bCs/>
          <w:kern w:val="0"/>
          <w14:ligatures w14:val="none"/>
        </w:rPr>
        <w:t>deliberadamente asimétricos</w:t>
      </w:r>
      <w:r w:rsidRPr="000444D1">
        <w:rPr>
          <w:rFonts w:ascii="Times New Roman" w:eastAsia="Times New Roman" w:hAnsi="Times New Roman" w:cs="Times New Roman"/>
          <w:kern w:val="0"/>
          <w14:ligatures w14:val="none"/>
        </w:rPr>
        <w:t xml:space="preserve"> entre el core tradicional y la capa digital. Esta asimetría reconoce que no es realista exigir 99.95 % a un sistema legado y </w:t>
      </w:r>
      <w:r w:rsidRPr="000444D1">
        <w:rPr>
          <w:rFonts w:ascii="Times New Roman" w:eastAsia="Times New Roman" w:hAnsi="Times New Roman" w:cs="Times New Roman"/>
          <w:b/>
          <w:bCs/>
          <w:kern w:val="0"/>
          <w14:ligatures w14:val="none"/>
        </w:rPr>
        <w:t>obliga al diseño a contemplar un modo de operación degradado</w:t>
      </w:r>
      <w:r w:rsidRPr="000444D1">
        <w:rPr>
          <w:rFonts w:ascii="Times New Roman" w:eastAsia="Times New Roman" w:hAnsi="Times New Roman" w:cs="Times New Roman"/>
          <w:kern w:val="0"/>
          <w14:ligatures w14:val="none"/>
        </w:rPr>
        <w:t xml:space="preserve"> (sección 15), en lugar de asumir disponibilidad total de todos los componentes.</w:t>
      </w:r>
    </w:p>
    <w:p w14:paraId="04D7D752"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2.3 Supuestos regulatorios y de cumplimiento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7"/>
        <w:gridCol w:w="541"/>
        <w:gridCol w:w="5082"/>
      </w:tblGrid>
      <w:tr w:rsidR="000444D1" w:rsidRPr="000444D1" w14:paraId="14209689" w14:textId="77777777">
        <w:trPr>
          <w:tblHeader/>
          <w:tblCellSpacing w:w="15" w:type="dxa"/>
        </w:trPr>
        <w:tc>
          <w:tcPr>
            <w:tcW w:w="0" w:type="auto"/>
            <w:vAlign w:val="center"/>
            <w:hideMark/>
          </w:tcPr>
          <w:p w14:paraId="676C12F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Supuesto</w:t>
            </w:r>
          </w:p>
        </w:tc>
        <w:tc>
          <w:tcPr>
            <w:tcW w:w="0" w:type="auto"/>
            <w:vAlign w:val="center"/>
            <w:hideMark/>
          </w:tcPr>
          <w:p w14:paraId="381FA38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w:t>
            </w:r>
          </w:p>
        </w:tc>
        <w:tc>
          <w:tcPr>
            <w:tcW w:w="0" w:type="auto"/>
            <w:vAlign w:val="center"/>
            <w:hideMark/>
          </w:tcPr>
          <w:p w14:paraId="30D2700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Consecuencia arquitectónica</w:t>
            </w:r>
          </w:p>
        </w:tc>
      </w:tr>
      <w:tr w:rsidR="000444D1" w:rsidRPr="000444D1" w14:paraId="65F23171" w14:textId="77777777">
        <w:trPr>
          <w:tblCellSpacing w:w="15" w:type="dxa"/>
        </w:trPr>
        <w:tc>
          <w:tcPr>
            <w:tcW w:w="0" w:type="auto"/>
            <w:vAlign w:val="center"/>
            <w:hideMark/>
          </w:tcPr>
          <w:p w14:paraId="413BBF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 la Ley Orgánica de Protección de Datos Personales (LOPDP, Ecuador)</w:t>
            </w:r>
          </w:p>
        </w:tc>
        <w:tc>
          <w:tcPr>
            <w:tcW w:w="0" w:type="auto"/>
            <w:vAlign w:val="center"/>
            <w:hideMark/>
          </w:tcPr>
          <w:p w14:paraId="2C1BCD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41AB5B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 minimización, derechos ARCO+, notificación de brechas, DPO</w:t>
            </w:r>
          </w:p>
        </w:tc>
      </w:tr>
      <w:tr w:rsidR="000444D1" w:rsidRPr="000444D1" w14:paraId="6C37D3A6" w14:textId="77777777">
        <w:trPr>
          <w:tblCellSpacing w:w="15" w:type="dxa"/>
        </w:trPr>
        <w:tc>
          <w:tcPr>
            <w:tcW w:w="0" w:type="auto"/>
            <w:vAlign w:val="center"/>
            <w:hideMark/>
          </w:tcPr>
          <w:p w14:paraId="175FAB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 normativa del organismo de supervisión bancaria local</w:t>
            </w:r>
          </w:p>
        </w:tc>
        <w:tc>
          <w:tcPr>
            <w:tcW w:w="0" w:type="auto"/>
            <w:vAlign w:val="center"/>
            <w:hideMark/>
          </w:tcPr>
          <w:p w14:paraId="4C44D8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08241B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Trazabilidad de operaciones, reportería regulatoria, continuidad del negocio</w:t>
            </w:r>
          </w:p>
        </w:tc>
      </w:tr>
      <w:tr w:rsidR="000444D1" w:rsidRPr="000444D1" w14:paraId="76BB0BE2" w14:textId="77777777">
        <w:trPr>
          <w:tblCellSpacing w:w="15" w:type="dxa"/>
        </w:trPr>
        <w:tc>
          <w:tcPr>
            <w:tcW w:w="0" w:type="auto"/>
            <w:vAlign w:val="center"/>
            <w:hideMark/>
          </w:tcPr>
          <w:p w14:paraId="34BF8B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Open Finance bajo consentimiento explícito, granular y revocable</w:t>
            </w:r>
          </w:p>
        </w:tc>
        <w:tc>
          <w:tcPr>
            <w:tcW w:w="0" w:type="auto"/>
            <w:vAlign w:val="center"/>
            <w:hideMark/>
          </w:tcPr>
          <w:p w14:paraId="3356B10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1FD2D8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Componente dedicado de gestión de consentimientos</w:t>
            </w:r>
          </w:p>
        </w:tc>
      </w:tr>
      <w:tr w:rsidR="000444D1" w:rsidRPr="000444D1" w14:paraId="65B64188" w14:textId="77777777">
        <w:trPr>
          <w:tblCellSpacing w:w="15" w:type="dxa"/>
        </w:trPr>
        <w:tc>
          <w:tcPr>
            <w:tcW w:w="0" w:type="auto"/>
            <w:vAlign w:val="center"/>
            <w:hideMark/>
          </w:tcPr>
          <w:p w14:paraId="00C3D4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Perfil de seguridad de APIs externas tipo FAPI (OAuth 2.0 + mTLS)</w:t>
            </w:r>
          </w:p>
        </w:tc>
        <w:tc>
          <w:tcPr>
            <w:tcW w:w="0" w:type="auto"/>
            <w:vAlign w:val="center"/>
            <w:hideMark/>
          </w:tcPr>
          <w:p w14:paraId="73B7BA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6A76AC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Requisitos sobre el API Manager y el proveedor de identidad</w:t>
            </w:r>
          </w:p>
        </w:tc>
      </w:tr>
      <w:tr w:rsidR="000444D1" w:rsidRPr="000444D1" w14:paraId="18C493C8" w14:textId="77777777">
        <w:trPr>
          <w:tblCellSpacing w:w="15" w:type="dxa"/>
        </w:trPr>
        <w:tc>
          <w:tcPr>
            <w:tcW w:w="0" w:type="auto"/>
            <w:vAlign w:val="center"/>
            <w:hideMark/>
          </w:tcPr>
          <w:p w14:paraId="1BFCEC8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Residencia de datos personales en territorio nacional</w:t>
            </w:r>
          </w:p>
        </w:tc>
        <w:tc>
          <w:tcPr>
            <w:tcW w:w="0" w:type="auto"/>
            <w:vAlign w:val="center"/>
            <w:hideMark/>
          </w:tcPr>
          <w:p w14:paraId="510BB7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498BF1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Condiciona qué componentes pueden residir en nube pública y qué datos se tokenizan antes de salir del perímetro</w:t>
            </w:r>
          </w:p>
        </w:tc>
      </w:tr>
      <w:tr w:rsidR="000444D1" w:rsidRPr="000444D1" w14:paraId="588169BC" w14:textId="77777777">
        <w:trPr>
          <w:tblCellSpacing w:w="15" w:type="dxa"/>
        </w:trPr>
        <w:tc>
          <w:tcPr>
            <w:tcW w:w="0" w:type="auto"/>
            <w:vAlign w:val="center"/>
            <w:hideMark/>
          </w:tcPr>
          <w:p w14:paraId="486630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Retención de trazas de auditoría: 7 años</w:t>
            </w:r>
          </w:p>
        </w:tc>
        <w:tc>
          <w:tcPr>
            <w:tcW w:w="0" w:type="auto"/>
            <w:vAlign w:val="center"/>
            <w:hideMark/>
          </w:tcPr>
          <w:p w14:paraId="13513E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c>
          <w:tcPr>
            <w:tcW w:w="0" w:type="auto"/>
            <w:vAlign w:val="center"/>
            <w:hideMark/>
          </w:tcPr>
          <w:p w14:paraId="2EE9C04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Almacenamiento inmutable escalonado (hot/cold)</w:t>
            </w:r>
          </w:p>
        </w:tc>
      </w:tr>
    </w:tbl>
    <w:p w14:paraId="77C22F4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2.4 Supuestos organizacionales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4"/>
        <w:gridCol w:w="556"/>
      </w:tblGrid>
      <w:tr w:rsidR="000444D1" w:rsidRPr="000444D1" w14:paraId="45EC8662" w14:textId="77777777">
        <w:trPr>
          <w:tblHeader/>
          <w:tblCellSpacing w:w="15" w:type="dxa"/>
        </w:trPr>
        <w:tc>
          <w:tcPr>
            <w:tcW w:w="0" w:type="auto"/>
            <w:vAlign w:val="center"/>
            <w:hideMark/>
          </w:tcPr>
          <w:p w14:paraId="6F9BC84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Supuesto</w:t>
            </w:r>
          </w:p>
        </w:tc>
        <w:tc>
          <w:tcPr>
            <w:tcW w:w="0" w:type="auto"/>
            <w:vAlign w:val="center"/>
            <w:hideMark/>
          </w:tcPr>
          <w:p w14:paraId="465F026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w:t>
            </w:r>
          </w:p>
        </w:tc>
      </w:tr>
      <w:tr w:rsidR="000444D1" w:rsidRPr="000444D1" w14:paraId="69671EBA" w14:textId="77777777">
        <w:trPr>
          <w:tblCellSpacing w:w="15" w:type="dxa"/>
        </w:trPr>
        <w:tc>
          <w:tcPr>
            <w:tcW w:w="0" w:type="auto"/>
            <w:vAlign w:val="center"/>
            <w:hideMark/>
          </w:tcPr>
          <w:p w14:paraId="1DEC2A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Existe capacidad de equipos alineados a dominio (2–4 equipos), no un único equipo monolítico</w:t>
            </w:r>
          </w:p>
        </w:tc>
        <w:tc>
          <w:tcPr>
            <w:tcW w:w="0" w:type="auto"/>
            <w:vAlign w:val="center"/>
            <w:hideMark/>
          </w:tcPr>
          <w:p w14:paraId="0820B2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r>
      <w:tr w:rsidR="000444D1" w:rsidRPr="000444D1" w14:paraId="6BA887FD" w14:textId="77777777">
        <w:trPr>
          <w:tblCellSpacing w:w="15" w:type="dxa"/>
        </w:trPr>
        <w:tc>
          <w:tcPr>
            <w:tcW w:w="0" w:type="auto"/>
            <w:vAlign w:val="center"/>
            <w:hideMark/>
          </w:tcPr>
          <w:p w14:paraId="3412C5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Madurez de CI/CD e IaC incipiente pero existente; se contempla su fortalecimiento en el plan</w:t>
            </w:r>
          </w:p>
        </w:tc>
        <w:tc>
          <w:tcPr>
            <w:tcW w:w="0" w:type="auto"/>
            <w:vAlign w:val="center"/>
            <w:hideMark/>
          </w:tcPr>
          <w:p w14:paraId="4F28CF6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r>
      <w:tr w:rsidR="000444D1" w:rsidRPr="000444D1" w14:paraId="5C28E3DF" w14:textId="77777777">
        <w:trPr>
          <w:tblCellSpacing w:w="15" w:type="dxa"/>
        </w:trPr>
        <w:tc>
          <w:tcPr>
            <w:tcW w:w="0" w:type="auto"/>
            <w:vAlign w:val="center"/>
            <w:hideMark/>
          </w:tcPr>
          <w:p w14:paraId="3B75E7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Existe un proveedor de core digital ya seleccionado, integrable vía API REST</w:t>
            </w:r>
          </w:p>
        </w:tc>
        <w:tc>
          <w:tcPr>
            <w:tcW w:w="0" w:type="auto"/>
            <w:vAlign w:val="center"/>
            <w:hideMark/>
          </w:tcPr>
          <w:p w14:paraId="353563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r>
    </w:tbl>
    <w:p w14:paraId="27BAB7A8"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031FA795">
          <v:rect id="Horizontal Line 571" o:spid="_x0000_s10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124731C"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3. Principios de arquitectura</w:t>
      </w:r>
    </w:p>
    <w:p w14:paraId="2E60D32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principios siguientes gobiernan todas las decisiones del documento. Cada decisión de la sección 4 se justifica contra ellos.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2221"/>
        <w:gridCol w:w="4110"/>
        <w:gridCol w:w="2580"/>
      </w:tblGrid>
      <w:tr w:rsidR="000444D1" w:rsidRPr="000444D1" w14:paraId="27CC08AC" w14:textId="77777777">
        <w:trPr>
          <w:tblHeader/>
          <w:tblCellSpacing w:w="15" w:type="dxa"/>
        </w:trPr>
        <w:tc>
          <w:tcPr>
            <w:tcW w:w="0" w:type="auto"/>
            <w:vAlign w:val="center"/>
            <w:hideMark/>
          </w:tcPr>
          <w:p w14:paraId="5391AB8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166D450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Principio</w:t>
            </w:r>
          </w:p>
        </w:tc>
        <w:tc>
          <w:tcPr>
            <w:tcW w:w="0" w:type="auto"/>
            <w:vAlign w:val="center"/>
            <w:hideMark/>
          </w:tcPr>
          <w:p w14:paraId="78FD531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Enunciado</w:t>
            </w:r>
          </w:p>
        </w:tc>
        <w:tc>
          <w:tcPr>
            <w:tcW w:w="0" w:type="auto"/>
            <w:vAlign w:val="center"/>
            <w:hideMark/>
          </w:tcPr>
          <w:p w14:paraId="296877E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Cómo se verifica en el diseño</w:t>
            </w:r>
          </w:p>
        </w:tc>
      </w:tr>
      <w:tr w:rsidR="000444D1" w:rsidRPr="000444D1" w14:paraId="503AA4FC" w14:textId="77777777">
        <w:trPr>
          <w:tblCellSpacing w:w="15" w:type="dxa"/>
        </w:trPr>
        <w:tc>
          <w:tcPr>
            <w:tcW w:w="0" w:type="auto"/>
            <w:vAlign w:val="center"/>
            <w:hideMark/>
          </w:tcPr>
          <w:p w14:paraId="597573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P1</w:t>
            </w:r>
          </w:p>
        </w:tc>
        <w:tc>
          <w:tcPr>
            <w:tcW w:w="0" w:type="auto"/>
            <w:vAlign w:val="center"/>
            <w:hideMark/>
          </w:tcPr>
          <w:p w14:paraId="09E52D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Un dato, un dueño</w:t>
            </w:r>
          </w:p>
        </w:tc>
        <w:tc>
          <w:tcPr>
            <w:tcW w:w="0" w:type="auto"/>
            <w:vAlign w:val="center"/>
            <w:hideMark/>
          </w:tcPr>
          <w:p w14:paraId="380B1D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Cada entidad de negocio tiene exactamente un system of record. Ningún otro componente escribe sobre ella.</w:t>
            </w:r>
          </w:p>
        </w:tc>
        <w:tc>
          <w:tcPr>
            <w:tcW w:w="0" w:type="auto"/>
            <w:vAlign w:val="center"/>
            <w:hideMark/>
          </w:tcPr>
          <w:p w14:paraId="1D6895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Matriz de SoR (sección 5); ausencia de bases de datos compartidas</w:t>
            </w:r>
          </w:p>
        </w:tc>
      </w:tr>
      <w:tr w:rsidR="000444D1" w:rsidRPr="000444D1" w14:paraId="35278677" w14:textId="77777777">
        <w:trPr>
          <w:tblCellSpacing w:w="15" w:type="dxa"/>
        </w:trPr>
        <w:tc>
          <w:tcPr>
            <w:tcW w:w="0" w:type="auto"/>
            <w:vAlign w:val="center"/>
            <w:hideMark/>
          </w:tcPr>
          <w:p w14:paraId="74D83E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P2</w:t>
            </w:r>
          </w:p>
        </w:tc>
        <w:tc>
          <w:tcPr>
            <w:tcW w:w="0" w:type="auto"/>
            <w:vAlign w:val="center"/>
            <w:hideMark/>
          </w:tcPr>
          <w:p w14:paraId="26E55D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Aislamiento del legado</w:t>
            </w:r>
          </w:p>
        </w:tc>
        <w:tc>
          <w:tcPr>
            <w:tcW w:w="0" w:type="auto"/>
            <w:vAlign w:val="center"/>
            <w:hideMark/>
          </w:tcPr>
          <w:p w14:paraId="484F37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Ningún componente fuera de la capa anticorrupción conoce el modelo, los códigos ni los formatos del core tradicional.</w:t>
            </w:r>
          </w:p>
        </w:tc>
        <w:tc>
          <w:tcPr>
            <w:tcW w:w="0" w:type="auto"/>
            <w:vAlign w:val="center"/>
            <w:hideMark/>
          </w:tcPr>
          <w:p w14:paraId="220BAE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Puertos canónicos en el adaptador de core (sección 11)</w:t>
            </w:r>
          </w:p>
        </w:tc>
      </w:tr>
      <w:tr w:rsidR="000444D1" w:rsidRPr="000444D1" w14:paraId="749ECDAF" w14:textId="77777777">
        <w:trPr>
          <w:tblCellSpacing w:w="15" w:type="dxa"/>
        </w:trPr>
        <w:tc>
          <w:tcPr>
            <w:tcW w:w="0" w:type="auto"/>
            <w:vAlign w:val="center"/>
            <w:hideMark/>
          </w:tcPr>
          <w:p w14:paraId="485E61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P3</w:t>
            </w:r>
          </w:p>
        </w:tc>
        <w:tc>
          <w:tcPr>
            <w:tcW w:w="0" w:type="auto"/>
            <w:vAlign w:val="center"/>
            <w:hideMark/>
          </w:tcPr>
          <w:p w14:paraId="67C3661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Asíncrono por defecto, síncrono por excepción</w:t>
            </w:r>
          </w:p>
        </w:tc>
        <w:tc>
          <w:tcPr>
            <w:tcW w:w="0" w:type="auto"/>
            <w:vAlign w:val="center"/>
            <w:hideMark/>
          </w:tcPr>
          <w:p w14:paraId="4E30A9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comunicación síncrona se admite solo cuando el consumidor necesita el resultado para responder al usuario, y debe justificarse.</w:t>
            </w:r>
          </w:p>
        </w:tc>
        <w:tc>
          <w:tcPr>
            <w:tcW w:w="0" w:type="auto"/>
            <w:vAlign w:val="center"/>
            <w:hideMark/>
          </w:tcPr>
          <w:p w14:paraId="3BF658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Inventario de invocaciones síncronas en la sección 10</w:t>
            </w:r>
          </w:p>
        </w:tc>
      </w:tr>
      <w:tr w:rsidR="000444D1" w:rsidRPr="000444D1" w14:paraId="123FB4E5" w14:textId="77777777">
        <w:trPr>
          <w:tblCellSpacing w:w="15" w:type="dxa"/>
        </w:trPr>
        <w:tc>
          <w:tcPr>
            <w:tcW w:w="0" w:type="auto"/>
            <w:vAlign w:val="center"/>
            <w:hideMark/>
          </w:tcPr>
          <w:p w14:paraId="0B45B6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P4</w:t>
            </w:r>
          </w:p>
        </w:tc>
        <w:tc>
          <w:tcPr>
            <w:tcW w:w="0" w:type="auto"/>
            <w:vAlign w:val="center"/>
            <w:hideMark/>
          </w:tcPr>
          <w:p w14:paraId="0C7807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Contratos explícitos y versionados</w:t>
            </w:r>
          </w:p>
        </w:tc>
        <w:tc>
          <w:tcPr>
            <w:tcW w:w="0" w:type="auto"/>
            <w:vAlign w:val="center"/>
            <w:hideMark/>
          </w:tcPr>
          <w:p w14:paraId="73C764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interacción entre componentes ocurre a través de un contrato publicado y versionado (OpenAPI / AsyncAPI).</w:t>
            </w:r>
          </w:p>
        </w:tc>
        <w:tc>
          <w:tcPr>
            <w:tcW w:w="0" w:type="auto"/>
            <w:vAlign w:val="center"/>
            <w:hideMark/>
          </w:tcPr>
          <w:p w14:paraId="436845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Catálogo de APIs y eventos (sección 12); gobierno (sección 16)</w:t>
            </w:r>
          </w:p>
        </w:tc>
      </w:tr>
      <w:tr w:rsidR="000444D1" w:rsidRPr="000444D1" w14:paraId="05CAE053" w14:textId="77777777">
        <w:trPr>
          <w:tblCellSpacing w:w="15" w:type="dxa"/>
        </w:trPr>
        <w:tc>
          <w:tcPr>
            <w:tcW w:w="0" w:type="auto"/>
            <w:vAlign w:val="center"/>
            <w:hideMark/>
          </w:tcPr>
          <w:p w14:paraId="310B63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P5</w:t>
            </w:r>
          </w:p>
        </w:tc>
        <w:tc>
          <w:tcPr>
            <w:tcW w:w="0" w:type="auto"/>
            <w:vAlign w:val="center"/>
            <w:hideMark/>
          </w:tcPr>
          <w:p w14:paraId="1D0062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gateway no decide</w:t>
            </w:r>
          </w:p>
        </w:tc>
        <w:tc>
          <w:tcPr>
            <w:tcW w:w="0" w:type="auto"/>
            <w:vAlign w:val="center"/>
            <w:hideMark/>
          </w:tcPr>
          <w:p w14:paraId="32C417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API Gateway realiza enrutamiento, autenticación, límites de tasa y transformación de protocolo. No contiene lógica de negocio.</w:t>
            </w:r>
          </w:p>
        </w:tc>
        <w:tc>
          <w:tcPr>
            <w:tcW w:w="0" w:type="auto"/>
            <w:vAlign w:val="center"/>
            <w:hideMark/>
          </w:tcPr>
          <w:p w14:paraId="27BC81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Sección 12; componentes del gateway (sección 8)</w:t>
            </w:r>
          </w:p>
        </w:tc>
      </w:tr>
      <w:tr w:rsidR="000444D1" w:rsidRPr="000444D1" w14:paraId="5EA00D45" w14:textId="77777777">
        <w:trPr>
          <w:tblCellSpacing w:w="15" w:type="dxa"/>
        </w:trPr>
        <w:tc>
          <w:tcPr>
            <w:tcW w:w="0" w:type="auto"/>
            <w:vAlign w:val="center"/>
            <w:hideMark/>
          </w:tcPr>
          <w:p w14:paraId="530C72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P6</w:t>
            </w:r>
          </w:p>
        </w:tc>
        <w:tc>
          <w:tcPr>
            <w:tcW w:w="0" w:type="auto"/>
            <w:vAlign w:val="center"/>
            <w:hideMark/>
          </w:tcPr>
          <w:p w14:paraId="1F8D66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Idempotencia y compensación</w:t>
            </w:r>
          </w:p>
        </w:tc>
        <w:tc>
          <w:tcPr>
            <w:tcW w:w="0" w:type="auto"/>
            <w:vAlign w:val="center"/>
            <w:hideMark/>
          </w:tcPr>
          <w:p w14:paraId="0EB1A0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operación de escritura es idempotente; toda transacción distribuida se resuelve por saga con compensación explícita.</w:t>
            </w:r>
          </w:p>
        </w:tc>
        <w:tc>
          <w:tcPr>
            <w:tcW w:w="0" w:type="auto"/>
            <w:vAlign w:val="center"/>
            <w:hideMark/>
          </w:tcPr>
          <w:p w14:paraId="4F6487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Flujos de la sección 9; diseño de eventos (sección 12)</w:t>
            </w:r>
          </w:p>
        </w:tc>
      </w:tr>
      <w:tr w:rsidR="000444D1" w:rsidRPr="000444D1" w14:paraId="2B937CF2" w14:textId="77777777">
        <w:trPr>
          <w:tblCellSpacing w:w="15" w:type="dxa"/>
        </w:trPr>
        <w:tc>
          <w:tcPr>
            <w:tcW w:w="0" w:type="auto"/>
            <w:vAlign w:val="center"/>
            <w:hideMark/>
          </w:tcPr>
          <w:p w14:paraId="3D29F0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P7</w:t>
            </w:r>
          </w:p>
        </w:tc>
        <w:tc>
          <w:tcPr>
            <w:tcW w:w="0" w:type="auto"/>
            <w:vAlign w:val="center"/>
            <w:hideMark/>
          </w:tcPr>
          <w:p w14:paraId="0CFF0F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Degradación controlada</w:t>
            </w:r>
          </w:p>
        </w:tc>
        <w:tc>
          <w:tcPr>
            <w:tcW w:w="0" w:type="auto"/>
            <w:vAlign w:val="center"/>
            <w:hideMark/>
          </w:tcPr>
          <w:p w14:paraId="30004C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indisponibilidad de un componente reduce funcionalidad, no la interrumpe. Cada dependencia define su comportamiento ante fallo.</w:t>
            </w:r>
          </w:p>
        </w:tc>
        <w:tc>
          <w:tcPr>
            <w:tcW w:w="0" w:type="auto"/>
            <w:vAlign w:val="center"/>
            <w:hideMark/>
          </w:tcPr>
          <w:p w14:paraId="167BEF2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Matriz de degradación (sección 15)</w:t>
            </w:r>
          </w:p>
        </w:tc>
      </w:tr>
      <w:tr w:rsidR="000444D1" w:rsidRPr="000444D1" w14:paraId="08D96146" w14:textId="77777777">
        <w:trPr>
          <w:tblCellSpacing w:w="15" w:type="dxa"/>
        </w:trPr>
        <w:tc>
          <w:tcPr>
            <w:tcW w:w="0" w:type="auto"/>
            <w:vAlign w:val="center"/>
            <w:hideMark/>
          </w:tcPr>
          <w:p w14:paraId="542D23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P8</w:t>
            </w:r>
          </w:p>
        </w:tc>
        <w:tc>
          <w:tcPr>
            <w:tcW w:w="0" w:type="auto"/>
            <w:vAlign w:val="center"/>
            <w:hideMark/>
          </w:tcPr>
          <w:p w14:paraId="62B62DA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Portabilidad razonada</w:t>
            </w:r>
          </w:p>
        </w:tc>
        <w:tc>
          <w:tcPr>
            <w:tcW w:w="0" w:type="auto"/>
            <w:vAlign w:val="center"/>
            <w:hideMark/>
          </w:tcPr>
          <w:p w14:paraId="0202139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diseño se expresa en capacidades genéricas; la elección de productos </w:t>
            </w:r>
            <w:r w:rsidRPr="000444D1">
              <w:rPr>
                <w:rFonts w:ascii="Times New Roman" w:eastAsia="Times New Roman" w:hAnsi="Times New Roman" w:cs="Times New Roman"/>
                <w:kern w:val="0"/>
                <w14:ligatures w14:val="none"/>
              </w:rPr>
              <w:lastRenderedPageBreak/>
              <w:t>concretos se justifica y se documenta como sustituible.</w:t>
            </w:r>
          </w:p>
        </w:tc>
        <w:tc>
          <w:tcPr>
            <w:tcW w:w="0" w:type="auto"/>
            <w:vAlign w:val="center"/>
            <w:hideMark/>
          </w:tcPr>
          <w:p w14:paraId="24B683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Tabla capacidad → producto (sección 10)</w:t>
            </w:r>
          </w:p>
        </w:tc>
      </w:tr>
      <w:tr w:rsidR="000444D1" w:rsidRPr="000444D1" w14:paraId="5CC47E43" w14:textId="77777777">
        <w:trPr>
          <w:tblCellSpacing w:w="15" w:type="dxa"/>
        </w:trPr>
        <w:tc>
          <w:tcPr>
            <w:tcW w:w="0" w:type="auto"/>
            <w:vAlign w:val="center"/>
            <w:hideMark/>
          </w:tcPr>
          <w:p w14:paraId="16757B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P9</w:t>
            </w:r>
          </w:p>
        </w:tc>
        <w:tc>
          <w:tcPr>
            <w:tcW w:w="0" w:type="auto"/>
            <w:vAlign w:val="center"/>
            <w:hideMark/>
          </w:tcPr>
          <w:p w14:paraId="341157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Seguridad en el diseño, no en la periferia</w:t>
            </w:r>
          </w:p>
        </w:tc>
        <w:tc>
          <w:tcPr>
            <w:tcW w:w="0" w:type="auto"/>
            <w:vAlign w:val="center"/>
            <w:hideMark/>
          </w:tcPr>
          <w:p w14:paraId="185368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Cada control de seguridad tiene una ubicación concreta en la arquitectura y una amenaza asociada.</w:t>
            </w:r>
          </w:p>
        </w:tc>
        <w:tc>
          <w:tcPr>
            <w:tcW w:w="0" w:type="auto"/>
            <w:vAlign w:val="center"/>
            <w:hideMark/>
          </w:tcPr>
          <w:p w14:paraId="52CEA6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Tabla de controles (sección 13)</w:t>
            </w:r>
          </w:p>
        </w:tc>
      </w:tr>
      <w:tr w:rsidR="000444D1" w:rsidRPr="000444D1" w14:paraId="1A388760" w14:textId="77777777">
        <w:trPr>
          <w:tblCellSpacing w:w="15" w:type="dxa"/>
        </w:trPr>
        <w:tc>
          <w:tcPr>
            <w:tcW w:w="0" w:type="auto"/>
            <w:vAlign w:val="center"/>
            <w:hideMark/>
          </w:tcPr>
          <w:p w14:paraId="792CA5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P10</w:t>
            </w:r>
          </w:p>
        </w:tc>
        <w:tc>
          <w:tcPr>
            <w:tcW w:w="0" w:type="auto"/>
            <w:vAlign w:val="center"/>
            <w:hideMark/>
          </w:tcPr>
          <w:p w14:paraId="40DFE0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Trazabilidad extremo a extremo</w:t>
            </w:r>
          </w:p>
        </w:tc>
        <w:tc>
          <w:tcPr>
            <w:tcW w:w="0" w:type="auto"/>
            <w:vAlign w:val="center"/>
            <w:hideMark/>
          </w:tcPr>
          <w:p w14:paraId="67A1B9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operación de negocio es reconstruible a partir de su identificador de correlación.</w:t>
            </w:r>
          </w:p>
        </w:tc>
        <w:tc>
          <w:tcPr>
            <w:tcW w:w="0" w:type="auto"/>
            <w:vAlign w:val="center"/>
            <w:hideMark/>
          </w:tcPr>
          <w:p w14:paraId="4256E26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Modelo de observabilidad (sección 18)</w:t>
            </w:r>
          </w:p>
        </w:tc>
      </w:tr>
    </w:tbl>
    <w:p w14:paraId="05AE2E5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3.1 Aplicación de SOLID a nivel de componentes</w:t>
      </w:r>
    </w:p>
    <w:p w14:paraId="063394F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Aunque no se entrega código fuente, los principios SOLID se manifiestan en los límites de los componentes propuestos: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5844"/>
        <w:gridCol w:w="1261"/>
      </w:tblGrid>
      <w:tr w:rsidR="000444D1" w:rsidRPr="000444D1" w14:paraId="72562423" w14:textId="77777777">
        <w:trPr>
          <w:tblHeader/>
          <w:tblCellSpacing w:w="15" w:type="dxa"/>
        </w:trPr>
        <w:tc>
          <w:tcPr>
            <w:tcW w:w="0" w:type="auto"/>
            <w:vAlign w:val="center"/>
            <w:hideMark/>
          </w:tcPr>
          <w:p w14:paraId="03E7BDA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Principio</w:t>
            </w:r>
          </w:p>
        </w:tc>
        <w:tc>
          <w:tcPr>
            <w:tcW w:w="0" w:type="auto"/>
            <w:vAlign w:val="center"/>
            <w:hideMark/>
          </w:tcPr>
          <w:p w14:paraId="6C62656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Manifestación arquitectónica</w:t>
            </w:r>
          </w:p>
        </w:tc>
        <w:tc>
          <w:tcPr>
            <w:tcW w:w="0" w:type="auto"/>
            <w:vAlign w:val="center"/>
            <w:hideMark/>
          </w:tcPr>
          <w:p w14:paraId="15DA4A0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Dónde</w:t>
            </w:r>
          </w:p>
        </w:tc>
      </w:tr>
      <w:tr w:rsidR="000444D1" w:rsidRPr="000444D1" w14:paraId="0FDC1BBE" w14:textId="77777777">
        <w:trPr>
          <w:tblCellSpacing w:w="15" w:type="dxa"/>
        </w:trPr>
        <w:tc>
          <w:tcPr>
            <w:tcW w:w="0" w:type="auto"/>
            <w:vAlign w:val="center"/>
            <w:hideMark/>
          </w:tcPr>
          <w:p w14:paraId="6DB544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SRP</w:t>
            </w:r>
            <w:r w:rsidRPr="000444D1">
              <w:rPr>
                <w:rFonts w:ascii="Times New Roman" w:eastAsia="Times New Roman" w:hAnsi="Times New Roman" w:cs="Times New Roman"/>
                <w:kern w:val="0"/>
                <w14:ligatures w14:val="none"/>
              </w:rPr>
              <w:t xml:space="preserve"> — Responsabilidad única</w:t>
            </w:r>
          </w:p>
        </w:tc>
        <w:tc>
          <w:tcPr>
            <w:tcW w:w="0" w:type="auto"/>
            <w:vAlign w:val="center"/>
            <w:hideMark/>
          </w:tcPr>
          <w:p w14:paraId="5E1B8B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adaptador por sistema externo; un servicio por Service Domain BIAN, con una única razón de cambio</w:t>
            </w:r>
          </w:p>
        </w:tc>
        <w:tc>
          <w:tcPr>
            <w:tcW w:w="0" w:type="auto"/>
            <w:vAlign w:val="center"/>
            <w:hideMark/>
          </w:tcPr>
          <w:p w14:paraId="61C2F9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Secciones 7 y 8</w:t>
            </w:r>
          </w:p>
        </w:tc>
      </w:tr>
      <w:tr w:rsidR="000444D1" w:rsidRPr="000444D1" w14:paraId="44BA1820" w14:textId="77777777">
        <w:trPr>
          <w:tblCellSpacing w:w="15" w:type="dxa"/>
        </w:trPr>
        <w:tc>
          <w:tcPr>
            <w:tcW w:w="0" w:type="auto"/>
            <w:vAlign w:val="center"/>
            <w:hideMark/>
          </w:tcPr>
          <w:p w14:paraId="0A20F6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OCP</w:t>
            </w:r>
            <w:r w:rsidRPr="000444D1">
              <w:rPr>
                <w:rFonts w:ascii="Times New Roman" w:eastAsia="Times New Roman" w:hAnsi="Times New Roman" w:cs="Times New Roman"/>
                <w:kern w:val="0"/>
                <w14:ligatures w14:val="none"/>
              </w:rPr>
              <w:t xml:space="preserve"> — Abierto/cerrado</w:t>
            </w:r>
          </w:p>
        </w:tc>
        <w:tc>
          <w:tcPr>
            <w:tcW w:w="0" w:type="auto"/>
            <w:vAlign w:val="center"/>
            <w:hideMark/>
          </w:tcPr>
          <w:p w14:paraId="2DA537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Nuevos consumidores se integran suscribiéndose a eventos existentes, sin modificar al productor</w:t>
            </w:r>
          </w:p>
        </w:tc>
        <w:tc>
          <w:tcPr>
            <w:tcW w:w="0" w:type="auto"/>
            <w:vAlign w:val="center"/>
            <w:hideMark/>
          </w:tcPr>
          <w:p w14:paraId="364D0B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Sección 12</w:t>
            </w:r>
          </w:p>
        </w:tc>
      </w:tr>
      <w:tr w:rsidR="000444D1" w:rsidRPr="000444D1" w14:paraId="585613D3" w14:textId="77777777">
        <w:trPr>
          <w:tblCellSpacing w:w="15" w:type="dxa"/>
        </w:trPr>
        <w:tc>
          <w:tcPr>
            <w:tcW w:w="0" w:type="auto"/>
            <w:vAlign w:val="center"/>
            <w:hideMark/>
          </w:tcPr>
          <w:p w14:paraId="323C4A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LSP</w:t>
            </w:r>
            <w:r w:rsidRPr="000444D1">
              <w:rPr>
                <w:rFonts w:ascii="Times New Roman" w:eastAsia="Times New Roman" w:hAnsi="Times New Roman" w:cs="Times New Roman"/>
                <w:kern w:val="0"/>
                <w14:ligatures w14:val="none"/>
              </w:rPr>
              <w:t xml:space="preserve"> — Sustitución</w:t>
            </w:r>
          </w:p>
        </w:tc>
        <w:tc>
          <w:tcPr>
            <w:tcW w:w="0" w:type="auto"/>
            <w:vAlign w:val="center"/>
            <w:hideMark/>
          </w:tcPr>
          <w:p w14:paraId="4E0610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adaptadores de core (tradicional y digital) implementan el mismo puerto canónico y son intercambiables desde la perspectiva del orquestador</w:t>
            </w:r>
          </w:p>
        </w:tc>
        <w:tc>
          <w:tcPr>
            <w:tcW w:w="0" w:type="auto"/>
            <w:vAlign w:val="center"/>
            <w:hideMark/>
          </w:tcPr>
          <w:p w14:paraId="59B38D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Sección 11</w:t>
            </w:r>
          </w:p>
        </w:tc>
      </w:tr>
      <w:tr w:rsidR="000444D1" w:rsidRPr="000444D1" w14:paraId="00CD588D" w14:textId="77777777">
        <w:trPr>
          <w:tblCellSpacing w:w="15" w:type="dxa"/>
        </w:trPr>
        <w:tc>
          <w:tcPr>
            <w:tcW w:w="0" w:type="auto"/>
            <w:vAlign w:val="center"/>
            <w:hideMark/>
          </w:tcPr>
          <w:p w14:paraId="79437C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ISP</w:t>
            </w:r>
            <w:r w:rsidRPr="000444D1">
              <w:rPr>
                <w:rFonts w:ascii="Times New Roman" w:eastAsia="Times New Roman" w:hAnsi="Times New Roman" w:cs="Times New Roman"/>
                <w:kern w:val="0"/>
                <w14:ligatures w14:val="none"/>
              </w:rPr>
              <w:t xml:space="preserve"> — Segregación de interfaces</w:t>
            </w:r>
          </w:p>
        </w:tc>
        <w:tc>
          <w:tcPr>
            <w:tcW w:w="0" w:type="auto"/>
            <w:vAlign w:val="center"/>
            <w:hideMark/>
          </w:tcPr>
          <w:p w14:paraId="2D1A03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Interfaces específicas por consumidor (BFF por canal) en lugar de una API única y sobrecargada</w:t>
            </w:r>
          </w:p>
        </w:tc>
        <w:tc>
          <w:tcPr>
            <w:tcW w:w="0" w:type="auto"/>
            <w:vAlign w:val="center"/>
            <w:hideMark/>
          </w:tcPr>
          <w:p w14:paraId="5A0EB1F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Sección 12</w:t>
            </w:r>
          </w:p>
        </w:tc>
      </w:tr>
      <w:tr w:rsidR="000444D1" w:rsidRPr="000444D1" w14:paraId="75A77ACF" w14:textId="77777777">
        <w:trPr>
          <w:tblCellSpacing w:w="15" w:type="dxa"/>
        </w:trPr>
        <w:tc>
          <w:tcPr>
            <w:tcW w:w="0" w:type="auto"/>
            <w:vAlign w:val="center"/>
            <w:hideMark/>
          </w:tcPr>
          <w:p w14:paraId="60CABF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DIP</w:t>
            </w:r>
            <w:r w:rsidRPr="000444D1">
              <w:rPr>
                <w:rFonts w:ascii="Times New Roman" w:eastAsia="Times New Roman" w:hAnsi="Times New Roman" w:cs="Times New Roman"/>
                <w:kern w:val="0"/>
                <w14:ligatures w14:val="none"/>
              </w:rPr>
              <w:t xml:space="preserve"> — Inversión de dependencias</w:t>
            </w:r>
          </w:p>
        </w:tc>
        <w:tc>
          <w:tcPr>
            <w:tcW w:w="0" w:type="auto"/>
            <w:vAlign w:val="center"/>
            <w:hideMark/>
          </w:tcPr>
          <w:p w14:paraId="5D1657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servicios de dominio dependen de puertos abstractos; los adaptadores de infraestructura son los detalles</w:t>
            </w:r>
          </w:p>
        </w:tc>
        <w:tc>
          <w:tcPr>
            <w:tcW w:w="0" w:type="auto"/>
            <w:vAlign w:val="center"/>
            <w:hideMark/>
          </w:tcPr>
          <w:p w14:paraId="3D3A03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Secciones 8 y 11</w:t>
            </w:r>
          </w:p>
        </w:tc>
      </w:tr>
    </w:tbl>
    <w:p w14:paraId="351F4CB0"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3844C2D3">
          <v:rect id="Horizontal Line 570" o:spid="_x0000_s10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CCDCE96"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4. Decisiones de arquitectura (ADR)</w:t>
      </w:r>
    </w:p>
    <w:p w14:paraId="4E7B116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Formato reducido: contexto, decisión, alternativas descartadas, consecuencias.</w:t>
      </w:r>
    </w:p>
    <w:p w14:paraId="62569B9D"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ADR-001 — Estrategia de coexistencia multicore: reparto por producto</w:t>
      </w:r>
    </w:p>
    <w:p w14:paraId="2F9CCD0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Contexto.</w:t>
      </w:r>
      <w:r w:rsidRPr="000444D1">
        <w:rPr>
          <w:rFonts w:ascii="Times New Roman" w:eastAsia="Times New Roman" w:hAnsi="Times New Roman" w:cs="Times New Roman"/>
          <w:kern w:val="0"/>
          <w14:ligatures w14:val="none"/>
        </w:rPr>
        <w:t xml:space="preserve"> El programa requiere integrar el core tradicional existente con un nuevo core digital. Ambos son sistemas de registro transaccionales y deben coexistir durante un horizonte plurianual. Es necesario un criterio determinista que establezca, para cualquier operación, cuál de los dos cores es la fuente de verdad.</w:t>
      </w:r>
    </w:p>
    <w:p w14:paraId="2D7223B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Decisión.</w:t>
      </w:r>
      <w:r w:rsidRPr="000444D1">
        <w:rPr>
          <w:rFonts w:ascii="Times New Roman" w:eastAsia="Times New Roman" w:hAnsi="Times New Roman" w:cs="Times New Roman"/>
          <w:kern w:val="0"/>
          <w14:ligatures w14:val="none"/>
        </w:rPr>
        <w:t xml:space="preserve"> El reparto se realiza </w:t>
      </w:r>
      <w:r w:rsidRPr="000444D1">
        <w:rPr>
          <w:rFonts w:ascii="Times New Roman" w:eastAsia="Times New Roman" w:hAnsi="Times New Roman" w:cs="Times New Roman"/>
          <w:b/>
          <w:bCs/>
          <w:kern w:val="0"/>
          <w14:ligatures w14:val="none"/>
        </w:rPr>
        <w:t>por producto</w:t>
      </w:r>
      <w:r w:rsidRPr="000444D1">
        <w:rPr>
          <w:rFonts w:ascii="Times New Roman" w:eastAsia="Times New Roman" w:hAnsi="Times New Roman" w:cs="Times New Roman"/>
          <w:kern w:val="0"/>
          <w14:ligatures w14:val="none"/>
        </w:rPr>
        <w:t xml:space="preserve">. El core digital es el system of record de todo producto nuevo (cuenta digital, billetera, crédito digital preaprobado); el core tradicional </w:t>
      </w:r>
      <w:r w:rsidRPr="000444D1">
        <w:rPr>
          <w:rFonts w:ascii="Times New Roman" w:eastAsia="Times New Roman" w:hAnsi="Times New Roman" w:cs="Times New Roman"/>
          <w:kern w:val="0"/>
          <w14:ligatures w14:val="none"/>
        </w:rPr>
        <w:lastRenderedPageBreak/>
        <w:t xml:space="preserve">conserva la propiedad de los productos existentes (cuenta corriente y de ahorros tradicionales, crédito comercial, depósitos a plazo, tarjetas). La resolución del SoR se realiza consultando el </w:t>
      </w:r>
      <w:r w:rsidRPr="000444D1">
        <w:rPr>
          <w:rFonts w:ascii="Times New Roman" w:eastAsia="Times New Roman" w:hAnsi="Times New Roman" w:cs="Times New Roman"/>
          <w:b/>
          <w:bCs/>
          <w:kern w:val="0"/>
          <w14:ligatures w14:val="none"/>
        </w:rPr>
        <w:t>Product Directory</w:t>
      </w:r>
      <w:r w:rsidRPr="000444D1">
        <w:rPr>
          <w:rFonts w:ascii="Times New Roman" w:eastAsia="Times New Roman" w:hAnsi="Times New Roman" w:cs="Times New Roman"/>
          <w:kern w:val="0"/>
          <w14:ligatures w14:val="none"/>
        </w:rPr>
        <w:t xml:space="preserve"> (Service Domain BIAN), que mantiene la relación producto → core propietario.</w:t>
      </w:r>
    </w:p>
    <w:p w14:paraId="0ED1EB3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Los datos maestros de cliente </w:t>
      </w:r>
      <w:r w:rsidRPr="000444D1">
        <w:rPr>
          <w:rFonts w:ascii="Times New Roman" w:eastAsia="Times New Roman" w:hAnsi="Times New Roman" w:cs="Times New Roman"/>
          <w:b/>
          <w:bCs/>
          <w:kern w:val="0"/>
          <w14:ligatures w14:val="none"/>
        </w:rPr>
        <w:t>no se duplican</w:t>
      </w:r>
      <w:r w:rsidRPr="000444D1">
        <w:rPr>
          <w:rFonts w:ascii="Times New Roman" w:eastAsia="Times New Roman" w:hAnsi="Times New Roman" w:cs="Times New Roman"/>
          <w:kern w:val="0"/>
          <w14:ligatures w14:val="none"/>
        </w:rPr>
        <w:t xml:space="preserve">: durante las primeras fases el core tradicional permanece como SoR de la identidad del cliente, aislado tras un servicio de </w:t>
      </w:r>
      <w:r w:rsidRPr="000444D1">
        <w:rPr>
          <w:rFonts w:ascii="Times New Roman" w:eastAsia="Times New Roman" w:hAnsi="Times New Roman" w:cs="Times New Roman"/>
          <w:i/>
          <w:iCs/>
          <w:kern w:val="0"/>
          <w14:ligatures w14:val="none"/>
        </w:rPr>
        <w:t>Party Reference Data</w:t>
      </w:r>
      <w:r w:rsidRPr="000444D1">
        <w:rPr>
          <w:rFonts w:ascii="Times New Roman" w:eastAsia="Times New Roman" w:hAnsi="Times New Roman" w:cs="Times New Roman"/>
          <w:kern w:val="0"/>
          <w14:ligatures w14:val="none"/>
        </w:rPr>
        <w:t xml:space="preserve"> que lo expone en modelo canónico y publica sus cambios como eventos. Esto evita el problema de sincronización bidireccional de clientes, que es la principal fuente de inconsistencia en programas multicore.</w:t>
      </w:r>
    </w:p>
    <w:p w14:paraId="263989D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Alternativas descartadas.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5928"/>
      </w:tblGrid>
      <w:tr w:rsidR="000444D1" w:rsidRPr="000444D1" w14:paraId="06EE3135" w14:textId="77777777">
        <w:trPr>
          <w:tblHeader/>
          <w:tblCellSpacing w:w="15" w:type="dxa"/>
        </w:trPr>
        <w:tc>
          <w:tcPr>
            <w:tcW w:w="0" w:type="auto"/>
            <w:vAlign w:val="center"/>
            <w:hideMark/>
          </w:tcPr>
          <w:p w14:paraId="086A471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w:t>
            </w:r>
          </w:p>
        </w:tc>
        <w:tc>
          <w:tcPr>
            <w:tcW w:w="0" w:type="auto"/>
            <w:vAlign w:val="center"/>
            <w:hideMark/>
          </w:tcPr>
          <w:p w14:paraId="7036F1F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49AAE9FC" w14:textId="77777777">
        <w:trPr>
          <w:tblCellSpacing w:w="15" w:type="dxa"/>
        </w:trPr>
        <w:tc>
          <w:tcPr>
            <w:tcW w:w="0" w:type="auto"/>
            <w:vAlign w:val="center"/>
            <w:hideMark/>
          </w:tcPr>
          <w:p w14:paraId="7AE27D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Reparto </w:t>
            </w:r>
            <w:r w:rsidRPr="000444D1">
              <w:rPr>
                <w:rFonts w:ascii="Times New Roman" w:eastAsia="Times New Roman" w:hAnsi="Times New Roman" w:cs="Times New Roman"/>
                <w:b/>
                <w:bCs/>
                <w:kern w:val="0"/>
                <w14:ligatures w14:val="none"/>
              </w:rPr>
              <w:t>por segmento de cliente</w:t>
            </w:r>
            <w:r w:rsidRPr="000444D1">
              <w:rPr>
                <w:rFonts w:ascii="Times New Roman" w:eastAsia="Times New Roman" w:hAnsi="Times New Roman" w:cs="Times New Roman"/>
                <w:kern w:val="0"/>
                <w14:ligatures w14:val="none"/>
              </w:rPr>
              <w:t xml:space="preserve"> (migrar carteras completas)</w:t>
            </w:r>
          </w:p>
        </w:tc>
        <w:tc>
          <w:tcPr>
            <w:tcW w:w="0" w:type="auto"/>
            <w:vAlign w:val="center"/>
            <w:hideMark/>
          </w:tcPr>
          <w:p w14:paraId="5E038F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Obliga a duplicar y sincronizar los datos maestros de cliente entre ambos cores; el rollback de una cohorte migrada es costoso y visible para el cliente final; el riesgo se concentra en eventos grandes y poco frecuentes</w:t>
            </w:r>
          </w:p>
        </w:tc>
      </w:tr>
      <w:tr w:rsidR="000444D1" w:rsidRPr="000444D1" w14:paraId="0554E9F9" w14:textId="77777777">
        <w:trPr>
          <w:tblCellSpacing w:w="15" w:type="dxa"/>
        </w:trPr>
        <w:tc>
          <w:tcPr>
            <w:tcW w:w="0" w:type="auto"/>
            <w:vAlign w:val="center"/>
            <w:hideMark/>
          </w:tcPr>
          <w:p w14:paraId="3CDF4D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Reparto </w:t>
            </w:r>
            <w:r w:rsidRPr="000444D1">
              <w:rPr>
                <w:rFonts w:ascii="Times New Roman" w:eastAsia="Times New Roman" w:hAnsi="Times New Roman" w:cs="Times New Roman"/>
                <w:b/>
                <w:bCs/>
                <w:kern w:val="0"/>
                <w14:ligatures w14:val="none"/>
              </w:rPr>
              <w:t>por tipo de operación</w:t>
            </w:r>
            <w:r w:rsidRPr="000444D1">
              <w:rPr>
                <w:rFonts w:ascii="Times New Roman" w:eastAsia="Times New Roman" w:hAnsi="Times New Roman" w:cs="Times New Roman"/>
                <w:kern w:val="0"/>
                <w14:ligatures w14:val="none"/>
              </w:rPr>
              <w:t xml:space="preserve"> (el core digital atiende la operativa, el tradicional conserva la contabilidad)</w:t>
            </w:r>
          </w:p>
        </w:tc>
        <w:tc>
          <w:tcPr>
            <w:tcW w:w="0" w:type="auto"/>
            <w:vAlign w:val="center"/>
            <w:hideMark/>
          </w:tcPr>
          <w:p w14:paraId="5D9DAF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Separa la operación de su registro contable, generando ownership ambiguo del saldo y reconciliación permanente. Viola el principio P1</w:t>
            </w:r>
          </w:p>
        </w:tc>
      </w:tr>
    </w:tbl>
    <w:p w14:paraId="25A0AC8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Consecuencias.</w:t>
      </w:r>
    </w:p>
    <w:p w14:paraId="2007A44A" w14:textId="77777777" w:rsidR="000444D1" w:rsidRPr="000444D1" w:rsidRDefault="000444D1" w:rsidP="00C646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enrutamiento es determinista, auditable y no requiere estado de sesión.</w:t>
      </w:r>
    </w:p>
    <w:p w14:paraId="60367E47" w14:textId="77777777" w:rsidR="000444D1" w:rsidRPr="000444D1" w:rsidRDefault="000444D1" w:rsidP="00C646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posición consolidada del cliente exige composición desde ambos cores, lo que justifica el modelo de lectura del ADR-002.</w:t>
      </w:r>
    </w:p>
    <w:p w14:paraId="25974A01" w14:textId="77777777" w:rsidR="000444D1" w:rsidRPr="000444D1" w:rsidRDefault="000444D1" w:rsidP="00C646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migración se descompone naturalmente en fases por producto, cada una con rollback acotado (sección 17).</w:t>
      </w:r>
    </w:p>
    <w:p w14:paraId="37FEC488" w14:textId="77777777" w:rsidR="000444D1" w:rsidRPr="000444D1" w:rsidRDefault="000444D1" w:rsidP="00C646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mismo cliente puede tener productos en ambos cores simultáneamente; esta condición es permanente durante el programa, no transitoria, y el diseño debe tratarla como caso normal.</w:t>
      </w:r>
    </w:p>
    <w:p w14:paraId="43C669C7"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2ED7D479">
          <v:rect id="Horizontal Line 569" o:spid="_x0000_s107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DD4BF00"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ADR-002 — El core tradicional no participa en el camino crítico de lectura</w:t>
      </w:r>
    </w:p>
    <w:p w14:paraId="55B0365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Contexto.</w:t>
      </w:r>
      <w:r w:rsidRPr="000444D1">
        <w:rPr>
          <w:rFonts w:ascii="Times New Roman" w:eastAsia="Times New Roman" w:hAnsi="Times New Roman" w:cs="Times New Roman"/>
          <w:kern w:val="0"/>
          <w14:ligatures w14:val="none"/>
        </w:rPr>
        <w:t xml:space="preserve"> Los canales digitales tienen objetivos de latencia (p95 &lt; 500 ms en consulta) y disponibilidad (99.95 %) superiores a los que el core tradicional puede sostener (99.5 %, con ventana de cierre nocturno). Además, cada consulta al core tiene un costo de cómputo no trivial en la plataforma legada.</w:t>
      </w:r>
    </w:p>
    <w:p w14:paraId="6420C10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Decisión.</w:t>
      </w:r>
      <w:r w:rsidRPr="000444D1">
        <w:rPr>
          <w:rFonts w:ascii="Times New Roman" w:eastAsia="Times New Roman" w:hAnsi="Times New Roman" w:cs="Times New Roman"/>
          <w:kern w:val="0"/>
          <w14:ligatures w14:val="none"/>
        </w:rPr>
        <w:t xml:space="preserve"> Las </w:t>
      </w:r>
      <w:r w:rsidRPr="000444D1">
        <w:rPr>
          <w:rFonts w:ascii="Times New Roman" w:eastAsia="Times New Roman" w:hAnsi="Times New Roman" w:cs="Times New Roman"/>
          <w:b/>
          <w:bCs/>
          <w:kern w:val="0"/>
          <w14:ligatures w14:val="none"/>
        </w:rPr>
        <w:t>lecturas interactivas se sirven desde un modelo de lectura</w:t>
      </w:r>
      <w:r w:rsidRPr="000444D1">
        <w:rPr>
          <w:rFonts w:ascii="Times New Roman" w:eastAsia="Times New Roman" w:hAnsi="Times New Roman" w:cs="Times New Roman"/>
          <w:kern w:val="0"/>
          <w14:ligatures w14:val="none"/>
        </w:rPr>
        <w:t xml:space="preserve"> (posición consolidada) mantenido por eventos, no desde el core. Las </w:t>
      </w:r>
      <w:r w:rsidRPr="000444D1">
        <w:rPr>
          <w:rFonts w:ascii="Times New Roman" w:eastAsia="Times New Roman" w:hAnsi="Times New Roman" w:cs="Times New Roman"/>
          <w:b/>
          <w:bCs/>
          <w:kern w:val="0"/>
          <w14:ligatures w14:val="none"/>
        </w:rPr>
        <w:t xml:space="preserve">escrituras sí se dirigen al core </w:t>
      </w:r>
      <w:r w:rsidRPr="000444D1">
        <w:rPr>
          <w:rFonts w:ascii="Times New Roman" w:eastAsia="Times New Roman" w:hAnsi="Times New Roman" w:cs="Times New Roman"/>
          <w:b/>
          <w:bCs/>
          <w:kern w:val="0"/>
          <w14:ligatures w14:val="none"/>
        </w:rPr>
        <w:lastRenderedPageBreak/>
        <w:t>propietario</w:t>
      </w:r>
      <w:r w:rsidRPr="000444D1">
        <w:rPr>
          <w:rFonts w:ascii="Times New Roman" w:eastAsia="Times New Roman" w:hAnsi="Times New Roman" w:cs="Times New Roman"/>
          <w:kern w:val="0"/>
          <w14:ligatures w14:val="none"/>
        </w:rPr>
        <w:t xml:space="preserve"> de forma síncrona, porque es la fuente de verdad contable y quien ejecuta la validación autoritativa de fondos.</w:t>
      </w:r>
    </w:p>
    <w:p w14:paraId="579A103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distinción es deliberada y resuelve el riesgo clásico de este patrón: </w:t>
      </w:r>
      <w:r w:rsidRPr="000444D1">
        <w:rPr>
          <w:rFonts w:ascii="Times New Roman" w:eastAsia="Times New Roman" w:hAnsi="Times New Roman" w:cs="Times New Roman"/>
          <w:b/>
          <w:bCs/>
          <w:kern w:val="0"/>
          <w14:ligatures w14:val="none"/>
        </w:rPr>
        <w:t>el modelo de lectura nunca autoriza una operación</w:t>
      </w:r>
      <w:r w:rsidRPr="000444D1">
        <w:rPr>
          <w:rFonts w:ascii="Times New Roman" w:eastAsia="Times New Roman" w:hAnsi="Times New Roman" w:cs="Times New Roman"/>
          <w:kern w:val="0"/>
          <w14:ligatures w14:val="none"/>
        </w:rPr>
        <w:t>. Una transferencia no se aprueba porque el read model muestre saldo suficiente; se aprueba porque el core lo confirma en el momento del débito. El read model informa, el core decide. Los saldos expuestos a los canales incluyen su marca de tiempo de actualización.</w:t>
      </w:r>
    </w:p>
    <w:p w14:paraId="4C6C222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Alternativas descartadas.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7028"/>
      </w:tblGrid>
      <w:tr w:rsidR="000444D1" w:rsidRPr="000444D1" w14:paraId="571D5BE1" w14:textId="77777777">
        <w:trPr>
          <w:tblHeader/>
          <w:tblCellSpacing w:w="15" w:type="dxa"/>
        </w:trPr>
        <w:tc>
          <w:tcPr>
            <w:tcW w:w="0" w:type="auto"/>
            <w:vAlign w:val="center"/>
            <w:hideMark/>
          </w:tcPr>
          <w:p w14:paraId="6B674A1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w:t>
            </w:r>
          </w:p>
        </w:tc>
        <w:tc>
          <w:tcPr>
            <w:tcW w:w="0" w:type="auto"/>
            <w:vAlign w:val="center"/>
            <w:hideMark/>
          </w:tcPr>
          <w:p w14:paraId="74936F2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08A8EE65" w14:textId="77777777">
        <w:trPr>
          <w:tblCellSpacing w:w="15" w:type="dxa"/>
        </w:trPr>
        <w:tc>
          <w:tcPr>
            <w:tcW w:w="0" w:type="auto"/>
            <w:vAlign w:val="center"/>
            <w:hideMark/>
          </w:tcPr>
          <w:p w14:paraId="1C5A9F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directa al core en cada lectura</w:t>
            </w:r>
          </w:p>
        </w:tc>
        <w:tc>
          <w:tcPr>
            <w:tcW w:w="0" w:type="auto"/>
            <w:vAlign w:val="center"/>
            <w:hideMark/>
          </w:tcPr>
          <w:p w14:paraId="5BACA0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Incumple latencia y disponibilidad objetivo; traslada la ventana de cierre al cliente final; carga innecesaria sobre la plataforma legada</w:t>
            </w:r>
          </w:p>
        </w:tc>
      </w:tr>
      <w:tr w:rsidR="000444D1" w:rsidRPr="000444D1" w14:paraId="7EFC2B24" w14:textId="77777777">
        <w:trPr>
          <w:tblCellSpacing w:w="15" w:type="dxa"/>
        </w:trPr>
        <w:tc>
          <w:tcPr>
            <w:tcW w:w="0" w:type="auto"/>
            <w:vAlign w:val="center"/>
            <w:hideMark/>
          </w:tcPr>
          <w:p w14:paraId="53CE3C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Caché de respuestas del core</w:t>
            </w:r>
          </w:p>
        </w:tc>
        <w:tc>
          <w:tcPr>
            <w:tcW w:w="0" w:type="auto"/>
            <w:vAlign w:val="center"/>
            <w:hideMark/>
          </w:tcPr>
          <w:p w14:paraId="29E2DB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resuelve la indisponibilidad durante el cierre nocturno ni la invalidación ante cambios originados fuera de los canales digitales</w:t>
            </w:r>
          </w:p>
        </w:tc>
      </w:tr>
      <w:tr w:rsidR="000444D1" w:rsidRPr="000444D1" w14:paraId="55A2BBCC" w14:textId="77777777">
        <w:trPr>
          <w:tblCellSpacing w:w="15" w:type="dxa"/>
        </w:trPr>
        <w:tc>
          <w:tcPr>
            <w:tcW w:w="0" w:type="auto"/>
            <w:vAlign w:val="center"/>
            <w:hideMark/>
          </w:tcPr>
          <w:p w14:paraId="2B0FF4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 Sourcing como modelo de persistencia</w:t>
            </w:r>
          </w:p>
        </w:tc>
        <w:tc>
          <w:tcPr>
            <w:tcW w:w="0" w:type="auto"/>
            <w:vAlign w:val="center"/>
            <w:hideMark/>
          </w:tcPr>
          <w:p w14:paraId="1E30EA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requisito que motivaría su uso (trazabilidad regulatoria) se satisface con un registro de auditoría inmutable, a un costo operativo y de curva de aprendizaje sustancialmente menor</w:t>
            </w:r>
          </w:p>
        </w:tc>
      </w:tr>
    </w:tbl>
    <w:p w14:paraId="5F0B712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Consecuencias.</w:t>
      </w:r>
      <w:r w:rsidRPr="000444D1">
        <w:rPr>
          <w:rFonts w:ascii="Times New Roman" w:eastAsia="Times New Roman" w:hAnsi="Times New Roman" w:cs="Times New Roman"/>
          <w:kern w:val="0"/>
          <w14:ligatures w14:val="none"/>
        </w:rPr>
        <w:t xml:space="preserve"> El modelo de lectura es eventualmente consistente; requiere una política explícita de frescura y un mecanismo de reconciliación periódica contra el core. La completitud de su alimentación depende del ADR-004.</w:t>
      </w:r>
    </w:p>
    <w:p w14:paraId="54FFC7AB"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1D59B58C">
          <v:rect id="Horizontal Line 568" o:spid="_x0000_s107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39BCC4D"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ADR-003 — Estilo de integración y modelo de consistencia</w:t>
      </w:r>
    </w:p>
    <w:p w14:paraId="3AF9965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Contexto.</w:t>
      </w:r>
      <w:r w:rsidRPr="000444D1">
        <w:rPr>
          <w:rFonts w:ascii="Times New Roman" w:eastAsia="Times New Roman" w:hAnsi="Times New Roman" w:cs="Times New Roman"/>
          <w:kern w:val="0"/>
          <w14:ligatures w14:val="none"/>
        </w:rPr>
        <w:t xml:space="preserve"> Seis sistemas heterogéneos con distintos perfiles de disponibilidad y latencia. La integración punto a punto síncrona produce acoplamiento temporal y fallos en cascada; la asincronía total impide responder al usuario en operaciones interactivas.</w:t>
      </w:r>
    </w:p>
    <w:p w14:paraId="140A594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Decisión.</w:t>
      </w:r>
      <w:r w:rsidRPr="000444D1">
        <w:rPr>
          <w:rFonts w:ascii="Times New Roman" w:eastAsia="Times New Roman" w:hAnsi="Times New Roman" w:cs="Times New Roman"/>
          <w:kern w:val="0"/>
          <w14:ligatures w14:val="none"/>
        </w:rPr>
        <w:t xml:space="preserve"> </w:t>
      </w:r>
      <w:r w:rsidRPr="000444D1">
        <w:rPr>
          <w:rFonts w:ascii="Times New Roman" w:eastAsia="Times New Roman" w:hAnsi="Times New Roman" w:cs="Times New Roman"/>
          <w:b/>
          <w:bCs/>
          <w:kern w:val="0"/>
          <w14:ligatures w14:val="none"/>
        </w:rPr>
        <w:t>Asíncrono por defecto mediante un bus de eventos; síncrono por excepción justificada.</w:t>
      </w:r>
      <w:r w:rsidRPr="000444D1">
        <w:rPr>
          <w:rFonts w:ascii="Times New Roman" w:eastAsia="Times New Roman" w:hAnsi="Times New Roman" w:cs="Times New Roman"/>
          <w:kern w:val="0"/>
          <w14:ligatures w14:val="none"/>
        </w:rPr>
        <w:t xml:space="preserve"> Se admite invocación síncrona únicamente en cuatro casos, que constituyen el inventario completo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8"/>
        <w:gridCol w:w="5132"/>
      </w:tblGrid>
      <w:tr w:rsidR="000444D1" w:rsidRPr="000444D1" w14:paraId="558F91A7" w14:textId="77777777">
        <w:trPr>
          <w:tblHeader/>
          <w:tblCellSpacing w:w="15" w:type="dxa"/>
        </w:trPr>
        <w:tc>
          <w:tcPr>
            <w:tcW w:w="0" w:type="auto"/>
            <w:vAlign w:val="center"/>
            <w:hideMark/>
          </w:tcPr>
          <w:p w14:paraId="6C10F84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Invocación síncrona</w:t>
            </w:r>
          </w:p>
        </w:tc>
        <w:tc>
          <w:tcPr>
            <w:tcW w:w="0" w:type="auto"/>
            <w:vAlign w:val="center"/>
            <w:hideMark/>
          </w:tcPr>
          <w:p w14:paraId="621187B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Justificación</w:t>
            </w:r>
          </w:p>
        </w:tc>
      </w:tr>
      <w:tr w:rsidR="000444D1" w:rsidRPr="000444D1" w14:paraId="2B937B9A" w14:textId="77777777">
        <w:trPr>
          <w:tblCellSpacing w:w="15" w:type="dxa"/>
        </w:trPr>
        <w:tc>
          <w:tcPr>
            <w:tcW w:w="0" w:type="auto"/>
            <w:vAlign w:val="center"/>
            <w:hideMark/>
          </w:tcPr>
          <w:p w14:paraId="7FD393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Autenticación y autorización de la sesión</w:t>
            </w:r>
          </w:p>
        </w:tc>
        <w:tc>
          <w:tcPr>
            <w:tcW w:w="0" w:type="auto"/>
            <w:vAlign w:val="center"/>
            <w:hideMark/>
          </w:tcPr>
          <w:p w14:paraId="72C5DB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canal no puede continuar sin el resultado</w:t>
            </w:r>
          </w:p>
        </w:tc>
      </w:tr>
      <w:tr w:rsidR="000444D1" w:rsidRPr="000444D1" w14:paraId="78D2483E" w14:textId="77777777">
        <w:trPr>
          <w:tblCellSpacing w:w="15" w:type="dxa"/>
        </w:trPr>
        <w:tc>
          <w:tcPr>
            <w:tcW w:w="0" w:type="auto"/>
            <w:vAlign w:val="center"/>
            <w:hideMark/>
          </w:tcPr>
          <w:p w14:paraId="53F98E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Validación de fondos y débito contra el core propietario</w:t>
            </w:r>
          </w:p>
        </w:tc>
        <w:tc>
          <w:tcPr>
            <w:tcW w:w="0" w:type="auto"/>
            <w:vAlign w:val="center"/>
            <w:hideMark/>
          </w:tcPr>
          <w:p w14:paraId="27E435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Requiere confirmación autoritativa antes de responder al cliente</w:t>
            </w:r>
          </w:p>
        </w:tc>
      </w:tr>
      <w:tr w:rsidR="000444D1" w:rsidRPr="000444D1" w14:paraId="591A94AD" w14:textId="77777777">
        <w:trPr>
          <w:tblCellSpacing w:w="15" w:type="dxa"/>
        </w:trPr>
        <w:tc>
          <w:tcPr>
            <w:tcW w:w="0" w:type="auto"/>
            <w:vAlign w:val="center"/>
            <w:hideMark/>
          </w:tcPr>
          <w:p w14:paraId="362A6D6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de fraude en línea</w:t>
            </w:r>
          </w:p>
        </w:tc>
        <w:tc>
          <w:tcPr>
            <w:tcW w:w="0" w:type="auto"/>
            <w:vAlign w:val="center"/>
            <w:hideMark/>
          </w:tcPr>
          <w:p w14:paraId="14B404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Debe ocurrir antes de autorizar (ver ADR-005)</w:t>
            </w:r>
          </w:p>
        </w:tc>
      </w:tr>
      <w:tr w:rsidR="000444D1" w:rsidRPr="000444D1" w14:paraId="4EF834D8" w14:textId="77777777">
        <w:trPr>
          <w:tblCellSpacing w:w="15" w:type="dxa"/>
        </w:trPr>
        <w:tc>
          <w:tcPr>
            <w:tcW w:w="0" w:type="auto"/>
            <w:vAlign w:val="center"/>
            <w:hideMark/>
          </w:tcPr>
          <w:p w14:paraId="6BC68AD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al modelo de lectura</w:t>
            </w:r>
          </w:p>
        </w:tc>
        <w:tc>
          <w:tcPr>
            <w:tcW w:w="0" w:type="auto"/>
            <w:vAlign w:val="center"/>
            <w:hideMark/>
          </w:tcPr>
          <w:p w14:paraId="3AC913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Operación local de baja latencia, sin dependencia de sistemas legados</w:t>
            </w:r>
          </w:p>
        </w:tc>
      </w:tr>
    </w:tbl>
    <w:p w14:paraId="2310117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 xml:space="preserve">Consistencia transaccional: </w:t>
      </w:r>
      <w:r w:rsidRPr="000444D1">
        <w:rPr>
          <w:rFonts w:ascii="Times New Roman" w:eastAsia="Times New Roman" w:hAnsi="Times New Roman" w:cs="Times New Roman"/>
          <w:b/>
          <w:bCs/>
          <w:kern w:val="0"/>
          <w14:ligatures w14:val="none"/>
        </w:rPr>
        <w:t>saga orquestada</w:t>
      </w:r>
      <w:r w:rsidRPr="000444D1">
        <w:rPr>
          <w:rFonts w:ascii="Times New Roman" w:eastAsia="Times New Roman" w:hAnsi="Times New Roman" w:cs="Times New Roman"/>
          <w:kern w:val="0"/>
          <w14:ligatures w14:val="none"/>
        </w:rPr>
        <w:t xml:space="preserve"> para la ejecución de pagos —transacción de negocio con múltiples participantes que requiere compensación auditable y visibilidad del estado para efectos regulatorios— y </w:t>
      </w:r>
      <w:r w:rsidRPr="000444D1">
        <w:rPr>
          <w:rFonts w:ascii="Times New Roman" w:eastAsia="Times New Roman" w:hAnsi="Times New Roman" w:cs="Times New Roman"/>
          <w:b/>
          <w:bCs/>
          <w:kern w:val="0"/>
          <w14:ligatures w14:val="none"/>
        </w:rPr>
        <w:t>coreografía por eventos</w:t>
      </w:r>
      <w:r w:rsidRPr="000444D1">
        <w:rPr>
          <w:rFonts w:ascii="Times New Roman" w:eastAsia="Times New Roman" w:hAnsi="Times New Roman" w:cs="Times New Roman"/>
          <w:kern w:val="0"/>
          <w14:ligatures w14:val="none"/>
        </w:rPr>
        <w:t xml:space="preserve"> para la propagación de cambios de dominio hacia riesgos, fraude, notificaciones y analítica. Todo servicio productor implementa </w:t>
      </w:r>
      <w:r w:rsidRPr="000444D1">
        <w:rPr>
          <w:rFonts w:ascii="Times New Roman" w:eastAsia="Times New Roman" w:hAnsi="Times New Roman" w:cs="Times New Roman"/>
          <w:b/>
          <w:bCs/>
          <w:kern w:val="0"/>
          <w14:ligatures w14:val="none"/>
        </w:rPr>
        <w:t>outbox transaccional</w:t>
      </w:r>
      <w:r w:rsidRPr="000444D1">
        <w:rPr>
          <w:rFonts w:ascii="Times New Roman" w:eastAsia="Times New Roman" w:hAnsi="Times New Roman" w:cs="Times New Roman"/>
          <w:kern w:val="0"/>
          <w14:ligatures w14:val="none"/>
        </w:rPr>
        <w:t xml:space="preserve">; toda operación de escritura expone </w:t>
      </w:r>
      <w:r w:rsidRPr="000444D1">
        <w:rPr>
          <w:rFonts w:ascii="Times New Roman" w:eastAsia="Times New Roman" w:hAnsi="Times New Roman" w:cs="Times New Roman"/>
          <w:b/>
          <w:bCs/>
          <w:kern w:val="0"/>
          <w14:ligatures w14:val="none"/>
        </w:rPr>
        <w:t>clave de idempotencia</w:t>
      </w:r>
      <w:r w:rsidRPr="000444D1">
        <w:rPr>
          <w:rFonts w:ascii="Times New Roman" w:eastAsia="Times New Roman" w:hAnsi="Times New Roman" w:cs="Times New Roman"/>
          <w:kern w:val="0"/>
          <w14:ligatures w14:val="none"/>
        </w:rPr>
        <w:t>.</w:t>
      </w:r>
    </w:p>
    <w:p w14:paraId="3A7A072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Alternativas descartadas.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7"/>
        <w:gridCol w:w="6413"/>
      </w:tblGrid>
      <w:tr w:rsidR="000444D1" w:rsidRPr="000444D1" w14:paraId="142537C4" w14:textId="77777777">
        <w:trPr>
          <w:tblHeader/>
          <w:tblCellSpacing w:w="15" w:type="dxa"/>
        </w:trPr>
        <w:tc>
          <w:tcPr>
            <w:tcW w:w="0" w:type="auto"/>
            <w:vAlign w:val="center"/>
            <w:hideMark/>
          </w:tcPr>
          <w:p w14:paraId="76701FC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w:t>
            </w:r>
          </w:p>
        </w:tc>
        <w:tc>
          <w:tcPr>
            <w:tcW w:w="0" w:type="auto"/>
            <w:vAlign w:val="center"/>
            <w:hideMark/>
          </w:tcPr>
          <w:p w14:paraId="467F13B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00EA3F51" w14:textId="77777777">
        <w:trPr>
          <w:tblCellSpacing w:w="15" w:type="dxa"/>
        </w:trPr>
        <w:tc>
          <w:tcPr>
            <w:tcW w:w="0" w:type="auto"/>
            <w:vAlign w:val="center"/>
            <w:hideMark/>
          </w:tcPr>
          <w:p w14:paraId="72D928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Transacción distribuida (2PC / XA) sobre ambos cores</w:t>
            </w:r>
          </w:p>
        </w:tc>
        <w:tc>
          <w:tcPr>
            <w:tcW w:w="0" w:type="auto"/>
            <w:vAlign w:val="center"/>
            <w:hideMark/>
          </w:tcPr>
          <w:p w14:paraId="0FF68F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Acoplamiento temporal inaceptable; el core tradicional no ofrece un coordinador transaccional externo viable</w:t>
            </w:r>
          </w:p>
        </w:tc>
      </w:tr>
      <w:tr w:rsidR="000444D1" w:rsidRPr="000444D1" w14:paraId="1B51962C" w14:textId="77777777">
        <w:trPr>
          <w:tblCellSpacing w:w="15" w:type="dxa"/>
        </w:trPr>
        <w:tc>
          <w:tcPr>
            <w:tcW w:w="0" w:type="auto"/>
            <w:vAlign w:val="center"/>
            <w:hideMark/>
          </w:tcPr>
          <w:p w14:paraId="358BC8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Saga por coreografía también para pagos</w:t>
            </w:r>
          </w:p>
        </w:tc>
        <w:tc>
          <w:tcPr>
            <w:tcW w:w="0" w:type="auto"/>
            <w:vAlign w:val="center"/>
            <w:hideMark/>
          </w:tcPr>
          <w:p w14:paraId="4E9DEB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estado de la transacción quedaría implícito y disperso, dificultando la trazabilidad regulatoria y el diagnóstico de compensaciones fallidas</w:t>
            </w:r>
          </w:p>
        </w:tc>
      </w:tr>
      <w:tr w:rsidR="000444D1" w:rsidRPr="000444D1" w14:paraId="3D8C1F74" w14:textId="77777777">
        <w:trPr>
          <w:tblCellSpacing w:w="15" w:type="dxa"/>
        </w:trPr>
        <w:tc>
          <w:tcPr>
            <w:tcW w:w="0" w:type="auto"/>
            <w:vAlign w:val="center"/>
            <w:hideMark/>
          </w:tcPr>
          <w:p w14:paraId="23FAD9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Orquestación central para todos los flujos</w:t>
            </w:r>
          </w:p>
        </w:tc>
        <w:tc>
          <w:tcPr>
            <w:tcW w:w="0" w:type="auto"/>
            <w:vAlign w:val="center"/>
            <w:hideMark/>
          </w:tcPr>
          <w:p w14:paraId="696E0A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Concentraría lógica de dominio ajena en un único componente, reintroduciendo un monolito de integración</w:t>
            </w:r>
          </w:p>
        </w:tc>
      </w:tr>
    </w:tbl>
    <w:p w14:paraId="439F75B0"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378F64C2">
          <v:rect id="Horizontal Line 431"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72C4E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ADR-004 — Ingesta de cambios del core tradicional: doble mecanismo</w:t>
      </w:r>
    </w:p>
    <w:p w14:paraId="68F8448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Contexto.</w:t>
      </w:r>
      <w:r w:rsidRPr="000444D1">
        <w:rPr>
          <w:rFonts w:ascii="Times New Roman" w:eastAsia="Times New Roman" w:hAnsi="Times New Roman" w:cs="Times New Roman"/>
          <w:kern w:val="0"/>
          <w14:ligatures w14:val="none"/>
        </w:rPr>
        <w:t xml:space="preserve"> El core tradicional no publica eventos de cambio de estado (supuesto 2.1). Los sistemas de riesgos y fraude, y el modelo de lectura del ADR-002, requieren conocer </w:t>
      </w:r>
      <w:r w:rsidRPr="000444D1">
        <w:rPr>
          <w:rFonts w:ascii="Times New Roman" w:eastAsia="Times New Roman" w:hAnsi="Times New Roman" w:cs="Times New Roman"/>
          <w:b/>
          <w:bCs/>
          <w:kern w:val="0"/>
          <w14:ligatures w14:val="none"/>
        </w:rPr>
        <w:t>todos</w:t>
      </w:r>
      <w:r w:rsidRPr="000444D1">
        <w:rPr>
          <w:rFonts w:ascii="Times New Roman" w:eastAsia="Times New Roman" w:hAnsi="Times New Roman" w:cs="Times New Roman"/>
          <w:kern w:val="0"/>
          <w14:ligatures w14:val="none"/>
        </w:rPr>
        <w:t xml:space="preserve"> los cambios que ocurren en él, incluidos los originados por canales no digitales: ventanilla, cajeros automáticos, procesos batch internos y operaciones de back office.</w:t>
      </w:r>
    </w:p>
    <w:p w14:paraId="1768F55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Decisión.</w:t>
      </w:r>
      <w:r w:rsidRPr="000444D1">
        <w:rPr>
          <w:rFonts w:ascii="Times New Roman" w:eastAsia="Times New Roman" w:hAnsi="Times New Roman" w:cs="Times New Roman"/>
          <w:kern w:val="0"/>
          <w14:ligatures w14:val="none"/>
        </w:rPr>
        <w:t xml:space="preserve"> Se combinan dos mecanismos complementarios:</w:t>
      </w:r>
    </w:p>
    <w:p w14:paraId="3099A4DD" w14:textId="77777777" w:rsidR="000444D1" w:rsidRPr="000444D1" w:rsidRDefault="000444D1" w:rsidP="00C6468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Emisión de eventos desde la capa anticorrupción.</w:t>
      </w:r>
      <w:r w:rsidRPr="000444D1">
        <w:rPr>
          <w:rFonts w:ascii="Times New Roman" w:eastAsia="Times New Roman" w:hAnsi="Times New Roman" w:cs="Times New Roman"/>
          <w:kern w:val="0"/>
          <w14:ligatures w14:val="none"/>
        </w:rPr>
        <w:t xml:space="preserve"> Toda operación que el propio ACL origina contra el core produce un evento de dominio inmediatamente tras su confirmación. Cubre el 100 % del tráfico digital con latencia mínima.</w:t>
      </w:r>
    </w:p>
    <w:p w14:paraId="11566EFB" w14:textId="77777777" w:rsidR="000444D1" w:rsidRPr="000444D1" w:rsidRDefault="000444D1" w:rsidP="00C6468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Captura de cambios (CDC) sobre la réplica de la base de datos del core.</w:t>
      </w:r>
      <w:r w:rsidRPr="000444D1">
        <w:rPr>
          <w:rFonts w:ascii="Times New Roman" w:eastAsia="Times New Roman" w:hAnsi="Times New Roman" w:cs="Times New Roman"/>
          <w:kern w:val="0"/>
          <w14:ligatures w14:val="none"/>
        </w:rPr>
        <w:t xml:space="preserve"> Captura las operaciones </w:t>
      </w:r>
      <w:r w:rsidRPr="000444D1">
        <w:rPr>
          <w:rFonts w:ascii="Times New Roman" w:eastAsia="Times New Roman" w:hAnsi="Times New Roman" w:cs="Times New Roman"/>
          <w:b/>
          <w:bCs/>
          <w:kern w:val="0"/>
          <w14:ligatures w14:val="none"/>
        </w:rPr>
        <w:t>no originadas en los canales digitales</w:t>
      </w:r>
      <w:r w:rsidRPr="000444D1">
        <w:rPr>
          <w:rFonts w:ascii="Times New Roman" w:eastAsia="Times New Roman" w:hAnsi="Times New Roman" w:cs="Times New Roman"/>
          <w:kern w:val="0"/>
          <w14:ligatures w14:val="none"/>
        </w:rPr>
        <w:t>, que el mecanismo anterior no puede ver.</w:t>
      </w:r>
    </w:p>
    <w:p w14:paraId="3BEC4B9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punto crítico de esta decisión es el segundo mecanismo.</w:t>
      </w:r>
      <w:r w:rsidRPr="000444D1">
        <w:rPr>
          <w:rFonts w:ascii="Times New Roman" w:eastAsia="Times New Roman" w:hAnsi="Times New Roman" w:cs="Times New Roman"/>
          <w:kern w:val="0"/>
          <w14:ligatures w14:val="none"/>
        </w:rPr>
        <w:t xml:space="preserve"> Sin él, el modelo de lectura mostraría saldos desactualizados tras una operación en ventanilla, y —más grave— el motor de fraude quedaría ciego a la actividad presencial del cliente, que es precisamente parte del patrón de comportamiento que necesita evaluar. Un diseño que solo emite eventos desde el ACL parece completo y no lo es.</w:t>
      </w:r>
    </w:p>
    <w:p w14:paraId="731D4A8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Alternativas descartadas.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1"/>
        <w:gridCol w:w="6049"/>
      </w:tblGrid>
      <w:tr w:rsidR="000444D1" w:rsidRPr="000444D1" w14:paraId="53C263E5" w14:textId="77777777">
        <w:trPr>
          <w:tblHeader/>
          <w:tblCellSpacing w:w="15" w:type="dxa"/>
        </w:trPr>
        <w:tc>
          <w:tcPr>
            <w:tcW w:w="0" w:type="auto"/>
            <w:vAlign w:val="center"/>
            <w:hideMark/>
          </w:tcPr>
          <w:p w14:paraId="45C1195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w:t>
            </w:r>
          </w:p>
        </w:tc>
        <w:tc>
          <w:tcPr>
            <w:tcW w:w="0" w:type="auto"/>
            <w:vAlign w:val="center"/>
            <w:hideMark/>
          </w:tcPr>
          <w:p w14:paraId="1BF6525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744B8C8F" w14:textId="77777777">
        <w:trPr>
          <w:tblCellSpacing w:w="15" w:type="dxa"/>
        </w:trPr>
        <w:tc>
          <w:tcPr>
            <w:tcW w:w="0" w:type="auto"/>
            <w:vAlign w:val="center"/>
            <w:hideMark/>
          </w:tcPr>
          <w:p w14:paraId="637F25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Únicamente eventos desde el ACL</w:t>
            </w:r>
          </w:p>
        </w:tc>
        <w:tc>
          <w:tcPr>
            <w:tcW w:w="0" w:type="auto"/>
            <w:vAlign w:val="center"/>
            <w:hideMark/>
          </w:tcPr>
          <w:p w14:paraId="1FC219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Cobertura incompleta: invisible a operaciones presenciales y batch</w:t>
            </w:r>
          </w:p>
        </w:tc>
      </w:tr>
      <w:tr w:rsidR="000444D1" w:rsidRPr="000444D1" w14:paraId="6143507B" w14:textId="77777777">
        <w:trPr>
          <w:tblCellSpacing w:w="15" w:type="dxa"/>
        </w:trPr>
        <w:tc>
          <w:tcPr>
            <w:tcW w:w="0" w:type="auto"/>
            <w:vAlign w:val="center"/>
            <w:hideMark/>
          </w:tcPr>
          <w:p w14:paraId="115C4E4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Únicamente polling programado sobre el core</w:t>
            </w:r>
          </w:p>
        </w:tc>
        <w:tc>
          <w:tcPr>
            <w:tcW w:w="0" w:type="auto"/>
            <w:vAlign w:val="center"/>
            <w:hideMark/>
          </w:tcPr>
          <w:p w14:paraId="1D33A4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incompatible con los canales digitales y carga sostenida sobre la plataforma legada</w:t>
            </w:r>
          </w:p>
        </w:tc>
      </w:tr>
      <w:tr w:rsidR="000444D1" w:rsidRPr="000444D1" w14:paraId="11BB9EF8" w14:textId="77777777">
        <w:trPr>
          <w:tblCellSpacing w:w="15" w:type="dxa"/>
        </w:trPr>
        <w:tc>
          <w:tcPr>
            <w:tcW w:w="0" w:type="auto"/>
            <w:vAlign w:val="center"/>
            <w:hideMark/>
          </w:tcPr>
          <w:p w14:paraId="6E7361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Modificar el core para que publique eventos nativamente</w:t>
            </w:r>
          </w:p>
        </w:tc>
        <w:tc>
          <w:tcPr>
            <w:tcW w:w="0" w:type="auto"/>
            <w:vAlign w:val="center"/>
            <w:hideMark/>
          </w:tcPr>
          <w:p w14:paraId="5B70CED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Contradice el supuesto de baja modificabilidad; introduce dependencia del ciclo de release trimestral del legado</w:t>
            </w:r>
          </w:p>
        </w:tc>
      </w:tr>
    </w:tbl>
    <w:p w14:paraId="65CE3E8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Consecuencias.</w:t>
      </w:r>
      <w:r w:rsidRPr="000444D1">
        <w:rPr>
          <w:rFonts w:ascii="Times New Roman" w:eastAsia="Times New Roman" w:hAnsi="Times New Roman" w:cs="Times New Roman"/>
          <w:kern w:val="0"/>
          <w14:ligatures w14:val="none"/>
        </w:rPr>
        <w:t xml:space="preserve"> Existen dos fuentes de eventos que pueden reportar el mismo hecho. Se requiere </w:t>
      </w:r>
      <w:r w:rsidRPr="000444D1">
        <w:rPr>
          <w:rFonts w:ascii="Times New Roman" w:eastAsia="Times New Roman" w:hAnsi="Times New Roman" w:cs="Times New Roman"/>
          <w:b/>
          <w:bCs/>
          <w:kern w:val="0"/>
          <w14:ligatures w14:val="none"/>
        </w:rPr>
        <w:t>deduplicación por clave de negocio</w:t>
      </w:r>
      <w:r w:rsidRPr="000444D1">
        <w:rPr>
          <w:rFonts w:ascii="Times New Roman" w:eastAsia="Times New Roman" w:hAnsi="Times New Roman" w:cs="Times New Roman"/>
          <w:kern w:val="0"/>
          <w14:ligatures w14:val="none"/>
        </w:rPr>
        <w:t xml:space="preserve"> y consumidores idempotentes. Este es el costo aceptado a cambio de completitud.</w:t>
      </w:r>
    </w:p>
    <w:p w14:paraId="34427260"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57C4046A">
          <v:rect id="Horizontal Line 432"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2AADD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ADR-005 — Política de evaluación de fraude en línea</w:t>
      </w:r>
    </w:p>
    <w:p w14:paraId="245B9FD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Contexto.</w:t>
      </w:r>
      <w:r w:rsidRPr="000444D1">
        <w:rPr>
          <w:rFonts w:ascii="Times New Roman" w:eastAsia="Times New Roman" w:hAnsi="Times New Roman" w:cs="Times New Roman"/>
          <w:kern w:val="0"/>
          <w14:ligatures w14:val="none"/>
        </w:rPr>
        <w:t xml:space="preserve"> El motor de fraude debe evaluar la operación antes de autorizarla, dentro de un presupuesto de 300 ms. Situarlo en el camino crítico lo convierte en una dependencia cuya indisponibilidad afectaría a toda la operativa transaccional del banco.</w:t>
      </w:r>
    </w:p>
    <w:p w14:paraId="6A10D93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Decisión.</w:t>
      </w:r>
      <w:r w:rsidRPr="000444D1">
        <w:rPr>
          <w:rFonts w:ascii="Times New Roman" w:eastAsia="Times New Roman" w:hAnsi="Times New Roman" w:cs="Times New Roman"/>
          <w:kern w:val="0"/>
          <w14:ligatures w14:val="none"/>
        </w:rPr>
        <w:t xml:space="preserve"> Invocación </w:t>
      </w:r>
      <w:r w:rsidRPr="000444D1">
        <w:rPr>
          <w:rFonts w:ascii="Times New Roman" w:eastAsia="Times New Roman" w:hAnsi="Times New Roman" w:cs="Times New Roman"/>
          <w:b/>
          <w:bCs/>
          <w:kern w:val="0"/>
          <w14:ligatures w14:val="none"/>
        </w:rPr>
        <w:t>síncrona con timeout de 300 ms</w:t>
      </w:r>
      <w:r w:rsidRPr="000444D1">
        <w:rPr>
          <w:rFonts w:ascii="Times New Roman" w:eastAsia="Times New Roman" w:hAnsi="Times New Roman" w:cs="Times New Roman"/>
          <w:kern w:val="0"/>
          <w14:ligatures w14:val="none"/>
        </w:rPr>
        <w:t xml:space="preserve"> y política de degradación </w:t>
      </w:r>
      <w:r w:rsidRPr="000444D1">
        <w:rPr>
          <w:rFonts w:ascii="Times New Roman" w:eastAsia="Times New Roman" w:hAnsi="Times New Roman" w:cs="Times New Roman"/>
          <w:b/>
          <w:bCs/>
          <w:kern w:val="0"/>
          <w14:ligatures w14:val="none"/>
        </w:rPr>
        <w:t>graduada por umbral de monto</w:t>
      </w:r>
      <w:r w:rsidRPr="000444D1">
        <w:rPr>
          <w:rFonts w:ascii="Times New Roman" w:eastAsia="Times New Roman" w:hAnsi="Times New Roman" w:cs="Times New Roman"/>
          <w:kern w:val="0"/>
          <w14:ligatures w14:val="none"/>
        </w:rPr>
        <w:t>: ante ausencia de respuesta, las operaciones por debajo del umbral se autorizan y se marcan para evaluación posterior obligatoria; las operaciones por encima del umbral se rechazan con mensaje de reintento. Adicionalmente, toda operación —autorizada o no— se publica como evento para evaluación asíncrona de riesgos y realimentación del modelo.</w:t>
      </w:r>
    </w:p>
    <w:p w14:paraId="236B184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Alternativas descartadas.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6"/>
        <w:gridCol w:w="6444"/>
      </w:tblGrid>
      <w:tr w:rsidR="000444D1" w:rsidRPr="000444D1" w14:paraId="4FD92629" w14:textId="77777777">
        <w:trPr>
          <w:tblHeader/>
          <w:tblCellSpacing w:w="15" w:type="dxa"/>
        </w:trPr>
        <w:tc>
          <w:tcPr>
            <w:tcW w:w="0" w:type="auto"/>
            <w:vAlign w:val="center"/>
            <w:hideMark/>
          </w:tcPr>
          <w:p w14:paraId="5E90610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w:t>
            </w:r>
          </w:p>
        </w:tc>
        <w:tc>
          <w:tcPr>
            <w:tcW w:w="0" w:type="auto"/>
            <w:vAlign w:val="center"/>
            <w:hideMark/>
          </w:tcPr>
          <w:p w14:paraId="63E7D4B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45ABF21E" w14:textId="77777777">
        <w:trPr>
          <w:tblCellSpacing w:w="15" w:type="dxa"/>
        </w:trPr>
        <w:tc>
          <w:tcPr>
            <w:tcW w:w="0" w:type="auto"/>
            <w:vAlign w:val="center"/>
            <w:hideMark/>
          </w:tcPr>
          <w:p w14:paraId="5899C2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i/>
                <w:iCs/>
                <w:kern w:val="0"/>
                <w14:ligatures w14:val="none"/>
              </w:rPr>
              <w:t>Fail-open</w:t>
            </w:r>
            <w:r w:rsidRPr="000444D1">
              <w:rPr>
                <w:rFonts w:ascii="Times New Roman" w:eastAsia="Times New Roman" w:hAnsi="Times New Roman" w:cs="Times New Roman"/>
                <w:kern w:val="0"/>
                <w14:ligatures w14:val="none"/>
              </w:rPr>
              <w:t xml:space="preserve"> puro</w:t>
            </w:r>
          </w:p>
        </w:tc>
        <w:tc>
          <w:tcPr>
            <w:tcW w:w="0" w:type="auto"/>
            <w:vAlign w:val="center"/>
            <w:hideMark/>
          </w:tcPr>
          <w:p w14:paraId="1DB50C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caída del motor abriría una ventana de fraude masivo, con impacto material y reputacional</w:t>
            </w:r>
          </w:p>
        </w:tc>
      </w:tr>
      <w:tr w:rsidR="000444D1" w:rsidRPr="000444D1" w14:paraId="48C12F6E" w14:textId="77777777">
        <w:trPr>
          <w:tblCellSpacing w:w="15" w:type="dxa"/>
        </w:trPr>
        <w:tc>
          <w:tcPr>
            <w:tcW w:w="0" w:type="auto"/>
            <w:vAlign w:val="center"/>
            <w:hideMark/>
          </w:tcPr>
          <w:p w14:paraId="70744E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i/>
                <w:iCs/>
                <w:kern w:val="0"/>
                <w14:ligatures w14:val="none"/>
              </w:rPr>
              <w:t>Fail-closed</w:t>
            </w:r>
            <w:r w:rsidRPr="000444D1">
              <w:rPr>
                <w:rFonts w:ascii="Times New Roman" w:eastAsia="Times New Roman" w:hAnsi="Times New Roman" w:cs="Times New Roman"/>
                <w:kern w:val="0"/>
                <w14:ligatures w14:val="none"/>
              </w:rPr>
              <w:t xml:space="preserve"> puro</w:t>
            </w:r>
          </w:p>
        </w:tc>
        <w:tc>
          <w:tcPr>
            <w:tcW w:w="0" w:type="auto"/>
            <w:vAlign w:val="center"/>
            <w:hideMark/>
          </w:tcPr>
          <w:p w14:paraId="38EBCA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Convierte al motor de fraude en punto único de falla de toda la operativa transaccional del banco</w:t>
            </w:r>
          </w:p>
        </w:tc>
      </w:tr>
      <w:tr w:rsidR="000444D1" w:rsidRPr="000444D1" w14:paraId="40FAC992" w14:textId="77777777">
        <w:trPr>
          <w:tblCellSpacing w:w="15" w:type="dxa"/>
        </w:trPr>
        <w:tc>
          <w:tcPr>
            <w:tcW w:w="0" w:type="auto"/>
            <w:vAlign w:val="center"/>
            <w:hideMark/>
          </w:tcPr>
          <w:p w14:paraId="364570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exclusivamente asíncrona</w:t>
            </w:r>
          </w:p>
        </w:tc>
        <w:tc>
          <w:tcPr>
            <w:tcW w:w="0" w:type="auto"/>
            <w:vAlign w:val="center"/>
            <w:hideMark/>
          </w:tcPr>
          <w:p w14:paraId="20FA64D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permite bloquear la operación antes de su ejecución, que es el objetivo del sistema</w:t>
            </w:r>
          </w:p>
        </w:tc>
      </w:tr>
    </w:tbl>
    <w:p w14:paraId="7013B47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Consecuencias.</w:t>
      </w:r>
      <w:r w:rsidRPr="000444D1">
        <w:rPr>
          <w:rFonts w:ascii="Times New Roman" w:eastAsia="Times New Roman" w:hAnsi="Times New Roman" w:cs="Times New Roman"/>
          <w:kern w:val="0"/>
          <w14:ligatures w14:val="none"/>
        </w:rPr>
        <w:t xml:space="preserve"> El umbral es un parámetro de negocio, no técnico, y debe ser configurable sin despliegue. La decisión y su motivo se registran en la traza de auditoría de cada operación.</w:t>
      </w:r>
    </w:p>
    <w:p w14:paraId="3F000011"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70FF0802">
          <v:rect id="Horizontal Line 433"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0F722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ADR-006 — Modelo de despliegue y selección de proveedor de nube</w:t>
      </w:r>
    </w:p>
    <w:p w14:paraId="319B242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Contexto.</w:t>
      </w:r>
      <w:r w:rsidRPr="000444D1">
        <w:rPr>
          <w:rFonts w:ascii="Times New Roman" w:eastAsia="Times New Roman" w:hAnsi="Times New Roman" w:cs="Times New Roman"/>
          <w:kern w:val="0"/>
          <w14:ligatures w14:val="none"/>
        </w:rPr>
        <w:t xml:space="preserve"> El core tradicional reside on-premise y su reubicación está fuera de alcance. La capa digital requiere elasticidad para absorber picos estacionales de ×4. Existe además un requisito de residencia de datos personales.</w:t>
      </w:r>
    </w:p>
    <w:p w14:paraId="27C79C4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Decisión.</w:t>
      </w:r>
      <w:r w:rsidRPr="000444D1">
        <w:rPr>
          <w:rFonts w:ascii="Times New Roman" w:eastAsia="Times New Roman" w:hAnsi="Times New Roman" w:cs="Times New Roman"/>
          <w:kern w:val="0"/>
          <w14:ligatures w14:val="none"/>
        </w:rPr>
        <w:t xml:space="preserve"> Modelo </w:t>
      </w:r>
      <w:r w:rsidRPr="000444D1">
        <w:rPr>
          <w:rFonts w:ascii="Times New Roman" w:eastAsia="Times New Roman" w:hAnsi="Times New Roman" w:cs="Times New Roman"/>
          <w:b/>
          <w:bCs/>
          <w:kern w:val="0"/>
          <w14:ligatures w14:val="none"/>
        </w:rPr>
        <w:t>híbrido</w:t>
      </w:r>
      <w:r w:rsidRPr="000444D1">
        <w:rPr>
          <w:rFonts w:ascii="Times New Roman" w:eastAsia="Times New Roman" w:hAnsi="Times New Roman" w:cs="Times New Roman"/>
          <w:kern w:val="0"/>
          <w14:ligatures w14:val="none"/>
        </w:rPr>
        <w:t xml:space="preserve">: core tradicional y sus réplicas permanecen on-premise; capa de integración, servicios de dominio, modelo de lectura y canales se despliegan en nube, con conectividad dedicada de baja latencia hacia el centro de datos. Se adopta </w:t>
      </w:r>
      <w:r w:rsidRPr="000444D1">
        <w:rPr>
          <w:rFonts w:ascii="Times New Roman" w:eastAsia="Times New Roman" w:hAnsi="Times New Roman" w:cs="Times New Roman"/>
          <w:b/>
          <w:bCs/>
          <w:kern w:val="0"/>
          <w14:ligatures w14:val="none"/>
        </w:rPr>
        <w:t>un proveedor de referencia</w:t>
      </w:r>
      <w:r w:rsidRPr="000444D1">
        <w:rPr>
          <w:rFonts w:ascii="Times New Roman" w:eastAsia="Times New Roman" w:hAnsi="Times New Roman" w:cs="Times New Roman"/>
          <w:kern w:val="0"/>
          <w14:ligatures w14:val="none"/>
        </w:rPr>
        <w:t xml:space="preserve"> para efectos de concreción del diseño, y se documenta el mapeo de cada capacidad genérica a su servicio concreto, junto con su equivalente en el proveedor alternativo.</w:t>
      </w:r>
    </w:p>
    <w:p w14:paraId="2FC41A8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arquitectura se expresa en </w:t>
      </w:r>
      <w:r w:rsidRPr="000444D1">
        <w:rPr>
          <w:rFonts w:ascii="Times New Roman" w:eastAsia="Times New Roman" w:hAnsi="Times New Roman" w:cs="Times New Roman"/>
          <w:b/>
          <w:bCs/>
          <w:kern w:val="0"/>
          <w14:ligatures w14:val="none"/>
        </w:rPr>
        <w:t>capacidades genéricas</w:t>
      </w:r>
      <w:r w:rsidRPr="000444D1">
        <w:rPr>
          <w:rFonts w:ascii="Times New Roman" w:eastAsia="Times New Roman" w:hAnsi="Times New Roman" w:cs="Times New Roman"/>
          <w:kern w:val="0"/>
          <w14:ligatures w14:val="none"/>
        </w:rPr>
        <w:t xml:space="preserve"> (broker de eventos, gestor de APIs, almacén de secretos, proveedor de identidad); la selección de productos concretos es una decisión de implementación documentada y sustituible, no un supuesto estructural (principio P8). El detalle del mapeo se desarrolla en la sección 10.</w:t>
      </w:r>
    </w:p>
    <w:p w14:paraId="113A7DB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Alternativas descartadas.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7438"/>
      </w:tblGrid>
      <w:tr w:rsidR="000444D1" w:rsidRPr="000444D1" w14:paraId="179A3548" w14:textId="77777777">
        <w:trPr>
          <w:tblHeader/>
          <w:tblCellSpacing w:w="15" w:type="dxa"/>
        </w:trPr>
        <w:tc>
          <w:tcPr>
            <w:tcW w:w="0" w:type="auto"/>
            <w:vAlign w:val="center"/>
            <w:hideMark/>
          </w:tcPr>
          <w:p w14:paraId="0BF6AD8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w:t>
            </w:r>
          </w:p>
        </w:tc>
        <w:tc>
          <w:tcPr>
            <w:tcW w:w="0" w:type="auto"/>
            <w:vAlign w:val="center"/>
            <w:hideMark/>
          </w:tcPr>
          <w:p w14:paraId="116CD7A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6BA84178" w14:textId="77777777">
        <w:trPr>
          <w:tblCellSpacing w:w="15" w:type="dxa"/>
        </w:trPr>
        <w:tc>
          <w:tcPr>
            <w:tcW w:w="0" w:type="auto"/>
            <w:vAlign w:val="center"/>
            <w:hideMark/>
          </w:tcPr>
          <w:p w14:paraId="11FAB8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on-premise</w:t>
            </w:r>
          </w:p>
        </w:tc>
        <w:tc>
          <w:tcPr>
            <w:tcW w:w="0" w:type="auto"/>
            <w:vAlign w:val="center"/>
            <w:hideMark/>
          </w:tcPr>
          <w:p w14:paraId="5A78E9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satisface la elasticidad requerida ante picos estacionales sin sobredimensionar permanentemente la infraestructura</w:t>
            </w:r>
          </w:p>
        </w:tc>
      </w:tr>
      <w:tr w:rsidR="000444D1" w:rsidRPr="000444D1" w14:paraId="083EEF08" w14:textId="77777777">
        <w:trPr>
          <w:tblCellSpacing w:w="15" w:type="dxa"/>
        </w:trPr>
        <w:tc>
          <w:tcPr>
            <w:tcW w:w="0" w:type="auto"/>
            <w:vAlign w:val="center"/>
            <w:hideMark/>
          </w:tcPr>
          <w:p w14:paraId="30E493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en nube pública</w:t>
            </w:r>
          </w:p>
        </w:tc>
        <w:tc>
          <w:tcPr>
            <w:tcW w:w="0" w:type="auto"/>
            <w:vAlign w:val="center"/>
            <w:hideMark/>
          </w:tcPr>
          <w:p w14:paraId="4BF4C5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Fuera de alcance (reubicación del core) y en tensión con el requisito de residencia de datos</w:t>
            </w:r>
          </w:p>
        </w:tc>
      </w:tr>
      <w:tr w:rsidR="000444D1" w:rsidRPr="000444D1" w14:paraId="02B225B3" w14:textId="77777777">
        <w:trPr>
          <w:tblCellSpacing w:w="15" w:type="dxa"/>
        </w:trPr>
        <w:tc>
          <w:tcPr>
            <w:tcW w:w="0" w:type="auto"/>
            <w:vAlign w:val="center"/>
            <w:hideMark/>
          </w:tcPr>
          <w:p w14:paraId="7164B8C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Multinube activo-activo</w:t>
            </w:r>
          </w:p>
        </w:tc>
        <w:tc>
          <w:tcPr>
            <w:tcW w:w="0" w:type="auto"/>
            <w:vAlign w:val="center"/>
            <w:hideMark/>
          </w:tcPr>
          <w:p w14:paraId="4011B7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Complejidad operativa desproporcionada frente al beneficio; no lo exige ningún requisito declarado</w:t>
            </w:r>
          </w:p>
        </w:tc>
      </w:tr>
    </w:tbl>
    <w:p w14:paraId="075CE8E5"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2D22F593">
          <v:rect id="Horizontal Line 434"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5F5AC2"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5. Modelo de dominios y systems of record</w:t>
      </w:r>
    </w:p>
    <w:p w14:paraId="6F298C7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 sección establece la descomposición funcional de la solución y la propiedad del dato. Es la base de la que se derivan los diagramas de las secciones 6 a 8: cada servicio del diagrama de contenedores corresponde a un dominio identificado aquí, y ningún dominio identificado aquí carece de representación en el diagrama.</w:t>
      </w:r>
    </w:p>
    <w:p w14:paraId="27FEDDE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5.1 Encuadre en el modelo BIAN</w:t>
      </w:r>
    </w:p>
    <w:p w14:paraId="7793C43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Se adopta el </w:t>
      </w:r>
      <w:r w:rsidRPr="000444D1">
        <w:rPr>
          <w:rFonts w:ascii="Times New Roman" w:eastAsia="Times New Roman" w:hAnsi="Times New Roman" w:cs="Times New Roman"/>
          <w:b/>
          <w:bCs/>
          <w:kern w:val="0"/>
          <w14:ligatures w14:val="none"/>
        </w:rPr>
        <w:t>BIAN Service Landscape</w:t>
      </w:r>
      <w:r w:rsidRPr="000444D1">
        <w:rPr>
          <w:rFonts w:ascii="Times New Roman" w:eastAsia="Times New Roman" w:hAnsi="Times New Roman" w:cs="Times New Roman"/>
          <w:kern w:val="0"/>
          <w14:ligatures w14:val="none"/>
        </w:rPr>
        <w:t xml:space="preserve"> como marco de referencia para la nomenclatura y el alcance funcional de los servicios. La motivación es concreta y no cosmética: BIAN provee una partición del negocio bancario en </w:t>
      </w:r>
      <w:r w:rsidRPr="000444D1">
        <w:rPr>
          <w:rFonts w:ascii="Times New Roman" w:eastAsia="Times New Roman" w:hAnsi="Times New Roman" w:cs="Times New Roman"/>
          <w:i/>
          <w:iCs/>
          <w:kern w:val="0"/>
          <w14:ligatures w14:val="none"/>
        </w:rPr>
        <w:t>Service Domains</w:t>
      </w:r>
      <w:r w:rsidRPr="000444D1">
        <w:rPr>
          <w:rFonts w:ascii="Times New Roman" w:eastAsia="Times New Roman" w:hAnsi="Times New Roman" w:cs="Times New Roman"/>
          <w:kern w:val="0"/>
          <w14:ligatures w14:val="none"/>
        </w:rPr>
        <w:t xml:space="preserve"> con responsabilidad y frontera de datos ya definidas, lo que reduce la arbitrariedad en el corte de servicios —precisamente el punto donde las arquitecturas de microservicios suelen degradarse— y facilita el diálogo con proveedores y reguladores que comparten ese vocabulario.</w:t>
      </w:r>
    </w:p>
    <w:p w14:paraId="7ADADE3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escenario planteado involucra cuatro de las Business Areas del modelo. No se abordan todas: las áreas de soporte al negocio (finanzas, recursos humanos, tecnología interna) quedan fuera del alcance declarado en la sección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3120"/>
        <w:gridCol w:w="4378"/>
      </w:tblGrid>
      <w:tr w:rsidR="000444D1" w:rsidRPr="000444D1" w14:paraId="49365031" w14:textId="77777777">
        <w:trPr>
          <w:tblHeader/>
          <w:tblCellSpacing w:w="15" w:type="dxa"/>
        </w:trPr>
        <w:tc>
          <w:tcPr>
            <w:tcW w:w="0" w:type="auto"/>
            <w:vAlign w:val="center"/>
            <w:hideMark/>
          </w:tcPr>
          <w:p w14:paraId="398B262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Business Area</w:t>
            </w:r>
          </w:p>
        </w:tc>
        <w:tc>
          <w:tcPr>
            <w:tcW w:w="0" w:type="auto"/>
            <w:vAlign w:val="center"/>
            <w:hideMark/>
          </w:tcPr>
          <w:p w14:paraId="2A43F8C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Business Domain</w:t>
            </w:r>
          </w:p>
        </w:tc>
        <w:tc>
          <w:tcPr>
            <w:tcW w:w="0" w:type="auto"/>
            <w:vAlign w:val="center"/>
            <w:hideMark/>
          </w:tcPr>
          <w:p w14:paraId="0CAC4DE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Relevancia en este escenario</w:t>
            </w:r>
          </w:p>
        </w:tc>
      </w:tr>
      <w:tr w:rsidR="000444D1" w:rsidRPr="000444D1" w14:paraId="4420216D" w14:textId="77777777">
        <w:trPr>
          <w:tblCellSpacing w:w="15" w:type="dxa"/>
        </w:trPr>
        <w:tc>
          <w:tcPr>
            <w:tcW w:w="0" w:type="auto"/>
            <w:vAlign w:val="center"/>
            <w:hideMark/>
          </w:tcPr>
          <w:p w14:paraId="43AF52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Reference Data</w:t>
            </w:r>
          </w:p>
        </w:tc>
        <w:tc>
          <w:tcPr>
            <w:tcW w:w="0" w:type="auto"/>
            <w:vAlign w:val="center"/>
            <w:hideMark/>
          </w:tcPr>
          <w:p w14:paraId="37FCC5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Party Reference Data · Product Management</w:t>
            </w:r>
          </w:p>
        </w:tc>
        <w:tc>
          <w:tcPr>
            <w:tcW w:w="0" w:type="auto"/>
            <w:vAlign w:val="center"/>
            <w:hideMark/>
          </w:tcPr>
          <w:p w14:paraId="77243C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Identidad del cliente y catálogo de productos; determinan el enrutamiento multicore</w:t>
            </w:r>
          </w:p>
        </w:tc>
      </w:tr>
      <w:tr w:rsidR="000444D1" w:rsidRPr="000444D1" w14:paraId="0EA577C3" w14:textId="77777777">
        <w:trPr>
          <w:tblCellSpacing w:w="15" w:type="dxa"/>
        </w:trPr>
        <w:tc>
          <w:tcPr>
            <w:tcW w:w="0" w:type="auto"/>
            <w:vAlign w:val="center"/>
            <w:hideMark/>
          </w:tcPr>
          <w:p w14:paraId="1FAF2B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Sales &amp; Service</w:t>
            </w:r>
          </w:p>
        </w:tc>
        <w:tc>
          <w:tcPr>
            <w:tcW w:w="0" w:type="auto"/>
            <w:vAlign w:val="center"/>
            <w:hideMark/>
          </w:tcPr>
          <w:p w14:paraId="1E2BD7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Customer Management · Servicing</w:t>
            </w:r>
          </w:p>
        </w:tc>
        <w:tc>
          <w:tcPr>
            <w:tcW w:w="0" w:type="auto"/>
            <w:vAlign w:val="center"/>
            <w:hideMark/>
          </w:tcPr>
          <w:p w14:paraId="12FCFD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Posición consolidada del cliente y atención por canal</w:t>
            </w:r>
          </w:p>
        </w:tc>
      </w:tr>
      <w:tr w:rsidR="000444D1" w:rsidRPr="000444D1" w14:paraId="3B68A15D" w14:textId="77777777">
        <w:trPr>
          <w:tblCellSpacing w:w="15" w:type="dxa"/>
        </w:trPr>
        <w:tc>
          <w:tcPr>
            <w:tcW w:w="0" w:type="auto"/>
            <w:vAlign w:val="center"/>
            <w:hideMark/>
          </w:tcPr>
          <w:p w14:paraId="7CF03C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Operations &amp; Execution</w:t>
            </w:r>
          </w:p>
        </w:tc>
        <w:tc>
          <w:tcPr>
            <w:tcW w:w="0" w:type="auto"/>
            <w:vAlign w:val="center"/>
            <w:hideMark/>
          </w:tcPr>
          <w:p w14:paraId="274BBB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Payments · Account Management · Cards</w:t>
            </w:r>
          </w:p>
        </w:tc>
        <w:tc>
          <w:tcPr>
            <w:tcW w:w="0" w:type="auto"/>
            <w:vAlign w:val="center"/>
            <w:hideMark/>
          </w:tcPr>
          <w:p w14:paraId="1F69DD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Ejecución transaccional; es donde reside la coexistencia de los dos cores</w:t>
            </w:r>
          </w:p>
        </w:tc>
      </w:tr>
      <w:tr w:rsidR="000444D1" w:rsidRPr="000444D1" w14:paraId="0689E272" w14:textId="77777777">
        <w:trPr>
          <w:tblCellSpacing w:w="15" w:type="dxa"/>
        </w:trPr>
        <w:tc>
          <w:tcPr>
            <w:tcW w:w="0" w:type="auto"/>
            <w:vAlign w:val="center"/>
            <w:hideMark/>
          </w:tcPr>
          <w:p w14:paraId="38033CE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Risk &amp; Compliance</w:t>
            </w:r>
          </w:p>
        </w:tc>
        <w:tc>
          <w:tcPr>
            <w:tcW w:w="0" w:type="auto"/>
            <w:vAlign w:val="center"/>
            <w:hideMark/>
          </w:tcPr>
          <w:p w14:paraId="6F438A9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Financial Crime · Credit Risk · Regulatory Compliance</w:t>
            </w:r>
          </w:p>
        </w:tc>
        <w:tc>
          <w:tcPr>
            <w:tcW w:w="0" w:type="auto"/>
            <w:vAlign w:val="center"/>
            <w:hideMark/>
          </w:tcPr>
          <w:p w14:paraId="0D295A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Fraude, riesgos y trazabilidad regulatoria</w:t>
            </w:r>
          </w:p>
        </w:tc>
      </w:tr>
    </w:tbl>
    <w:p w14:paraId="72C0D93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Nota sobre el uso de BIAN.</w:t>
      </w:r>
      <w:r w:rsidRPr="000444D1">
        <w:rPr>
          <w:rFonts w:ascii="Times New Roman" w:eastAsia="Times New Roman" w:hAnsi="Times New Roman" w:cs="Times New Roman"/>
          <w:kern w:val="0"/>
          <w14:ligatures w14:val="none"/>
        </w:rPr>
        <w:t xml:space="preserve"> Se emplea como marco de referencia semántica, no como especificación de implementación. Los servicios propuestos se alinean al alcance funcional de los Service Domains correspondientes, pero su granularidad de despliegue responde a criterios de acoplamiento y de organización de equipos (sección 5.4). La denominación exacta de cada Service Domain debe verificarse contra la versión vigente del Service Landscape antes de su adopción formal en el catálogo de servicios del banco.</w:t>
      </w:r>
    </w:p>
    <w:p w14:paraId="6B5A472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5.2 Matriz de dominios</w:t>
      </w:r>
    </w:p>
    <w:p w14:paraId="0169AA1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Nueve dominios cubren el alcance del escenario. La columna </w:t>
      </w:r>
      <w:r w:rsidRPr="000444D1">
        <w:rPr>
          <w:rFonts w:ascii="Times New Roman" w:eastAsia="Times New Roman" w:hAnsi="Times New Roman" w:cs="Times New Roman"/>
          <w:i/>
          <w:iCs/>
          <w:kern w:val="0"/>
          <w14:ligatures w14:val="none"/>
        </w:rPr>
        <w:t>tipo</w:t>
      </w:r>
      <w:r w:rsidRPr="000444D1">
        <w:rPr>
          <w:rFonts w:ascii="Times New Roman" w:eastAsia="Times New Roman" w:hAnsi="Times New Roman" w:cs="Times New Roman"/>
          <w:kern w:val="0"/>
          <w14:ligatures w14:val="none"/>
        </w:rPr>
        <w:t xml:space="preserve"> distingue tres naturalezas cuya diferencia es determinante para el diseño: los dominios </w:t>
      </w:r>
      <w:r w:rsidRPr="000444D1">
        <w:rPr>
          <w:rFonts w:ascii="Times New Roman" w:eastAsia="Times New Roman" w:hAnsi="Times New Roman" w:cs="Times New Roman"/>
          <w:b/>
          <w:bCs/>
          <w:kern w:val="0"/>
          <w14:ligatures w14:val="none"/>
        </w:rPr>
        <w:t>propietarios</w:t>
      </w:r>
      <w:r w:rsidRPr="000444D1">
        <w:rPr>
          <w:rFonts w:ascii="Times New Roman" w:eastAsia="Times New Roman" w:hAnsi="Times New Roman" w:cs="Times New Roman"/>
          <w:kern w:val="0"/>
          <w14:ligatures w14:val="none"/>
        </w:rPr>
        <w:t xml:space="preserve"> poseen datos y son fuente de verdad; los </w:t>
      </w:r>
      <w:r w:rsidRPr="000444D1">
        <w:rPr>
          <w:rFonts w:ascii="Times New Roman" w:eastAsia="Times New Roman" w:hAnsi="Times New Roman" w:cs="Times New Roman"/>
          <w:b/>
          <w:bCs/>
          <w:kern w:val="0"/>
          <w14:ligatures w14:val="none"/>
        </w:rPr>
        <w:t>de mediación</w:t>
      </w:r>
      <w:r w:rsidRPr="000444D1">
        <w:rPr>
          <w:rFonts w:ascii="Times New Roman" w:eastAsia="Times New Roman" w:hAnsi="Times New Roman" w:cs="Times New Roman"/>
          <w:kern w:val="0"/>
          <w14:ligatures w14:val="none"/>
        </w:rPr>
        <w:t xml:space="preserve"> no poseen datos propios y traducen hacia un sistema existente; las </w:t>
      </w:r>
      <w:r w:rsidRPr="000444D1">
        <w:rPr>
          <w:rFonts w:ascii="Times New Roman" w:eastAsia="Times New Roman" w:hAnsi="Times New Roman" w:cs="Times New Roman"/>
          <w:b/>
          <w:bCs/>
          <w:kern w:val="0"/>
          <w14:ligatures w14:val="none"/>
        </w:rPr>
        <w:t>proyecciones</w:t>
      </w:r>
      <w:r w:rsidRPr="000444D1">
        <w:rPr>
          <w:rFonts w:ascii="Times New Roman" w:eastAsia="Times New Roman" w:hAnsi="Times New Roman" w:cs="Times New Roman"/>
          <w:kern w:val="0"/>
          <w14:ligatures w14:val="none"/>
        </w:rPr>
        <w:t xml:space="preserve"> no poseen datos ni fuente de verdad, y solo materializan una vista derivada de eventos ajenos.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006"/>
        <w:gridCol w:w="1838"/>
        <w:gridCol w:w="1193"/>
        <w:gridCol w:w="3954"/>
      </w:tblGrid>
      <w:tr w:rsidR="000444D1" w:rsidRPr="000444D1" w14:paraId="4B54FBFB" w14:textId="77777777">
        <w:trPr>
          <w:tblHeader/>
          <w:tblCellSpacing w:w="15" w:type="dxa"/>
        </w:trPr>
        <w:tc>
          <w:tcPr>
            <w:tcW w:w="0" w:type="auto"/>
            <w:vAlign w:val="center"/>
            <w:hideMark/>
          </w:tcPr>
          <w:p w14:paraId="4DAE3FD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30D40A0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Dominio</w:t>
            </w:r>
          </w:p>
        </w:tc>
        <w:tc>
          <w:tcPr>
            <w:tcW w:w="0" w:type="auto"/>
            <w:vAlign w:val="center"/>
            <w:hideMark/>
          </w:tcPr>
          <w:p w14:paraId="519080B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Service Domain BIAN de referencia</w:t>
            </w:r>
          </w:p>
        </w:tc>
        <w:tc>
          <w:tcPr>
            <w:tcW w:w="0" w:type="auto"/>
            <w:vAlign w:val="center"/>
            <w:hideMark/>
          </w:tcPr>
          <w:p w14:paraId="2FA6905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w:t>
            </w:r>
          </w:p>
        </w:tc>
        <w:tc>
          <w:tcPr>
            <w:tcW w:w="0" w:type="auto"/>
            <w:vAlign w:val="center"/>
            <w:hideMark/>
          </w:tcPr>
          <w:p w14:paraId="23FD669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 única</w:t>
            </w:r>
          </w:p>
        </w:tc>
      </w:tr>
      <w:tr w:rsidR="000444D1" w:rsidRPr="000444D1" w14:paraId="78813F6D" w14:textId="77777777">
        <w:trPr>
          <w:tblCellSpacing w:w="15" w:type="dxa"/>
        </w:trPr>
        <w:tc>
          <w:tcPr>
            <w:tcW w:w="0" w:type="auto"/>
            <w:vAlign w:val="center"/>
            <w:hideMark/>
          </w:tcPr>
          <w:p w14:paraId="165399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w:t>
            </w:r>
          </w:p>
        </w:tc>
        <w:tc>
          <w:tcPr>
            <w:tcW w:w="0" w:type="auto"/>
            <w:vAlign w:val="center"/>
            <w:hideMark/>
          </w:tcPr>
          <w:p w14:paraId="20297BF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Datos maestros de cliente</w:t>
            </w:r>
          </w:p>
        </w:tc>
        <w:tc>
          <w:tcPr>
            <w:tcW w:w="0" w:type="auto"/>
            <w:vAlign w:val="center"/>
            <w:hideMark/>
          </w:tcPr>
          <w:p w14:paraId="72859A4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Party Reference Data Directory</w:t>
            </w:r>
          </w:p>
        </w:tc>
        <w:tc>
          <w:tcPr>
            <w:tcW w:w="0" w:type="auto"/>
            <w:vAlign w:val="center"/>
            <w:hideMark/>
          </w:tcPr>
          <w:p w14:paraId="0A7C970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Mediación</w:t>
            </w:r>
          </w:p>
        </w:tc>
        <w:tc>
          <w:tcPr>
            <w:tcW w:w="0" w:type="auto"/>
            <w:vAlign w:val="center"/>
            <w:hideMark/>
          </w:tcPr>
          <w:p w14:paraId="68BB67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Exponer la identidad del cliente en modelo canónico y publicar sus cambios como eventos</w:t>
            </w:r>
          </w:p>
        </w:tc>
      </w:tr>
      <w:tr w:rsidR="000444D1" w:rsidRPr="000444D1" w14:paraId="52605742" w14:textId="77777777">
        <w:trPr>
          <w:tblCellSpacing w:w="15" w:type="dxa"/>
        </w:trPr>
        <w:tc>
          <w:tcPr>
            <w:tcW w:w="0" w:type="auto"/>
            <w:vAlign w:val="center"/>
            <w:hideMark/>
          </w:tcPr>
          <w:p w14:paraId="116B2E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D2</w:t>
            </w:r>
          </w:p>
        </w:tc>
        <w:tc>
          <w:tcPr>
            <w:tcW w:w="0" w:type="auto"/>
            <w:vAlign w:val="center"/>
            <w:hideMark/>
          </w:tcPr>
          <w:p w14:paraId="57DC74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Catálogo de productos</w:t>
            </w:r>
          </w:p>
        </w:tc>
        <w:tc>
          <w:tcPr>
            <w:tcW w:w="0" w:type="auto"/>
            <w:vAlign w:val="center"/>
            <w:hideMark/>
          </w:tcPr>
          <w:p w14:paraId="3F6776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 Directory</w:t>
            </w:r>
          </w:p>
        </w:tc>
        <w:tc>
          <w:tcPr>
            <w:tcW w:w="0" w:type="auto"/>
            <w:vAlign w:val="center"/>
            <w:hideMark/>
          </w:tcPr>
          <w:p w14:paraId="7F270D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182EB19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Mantener el catálogo de productos y la relación producto → core propietario que resuelve el enrutamiento</w:t>
            </w:r>
          </w:p>
        </w:tc>
      </w:tr>
      <w:tr w:rsidR="000444D1" w:rsidRPr="000444D1" w14:paraId="50365091" w14:textId="77777777">
        <w:trPr>
          <w:tblCellSpacing w:w="15" w:type="dxa"/>
        </w:trPr>
        <w:tc>
          <w:tcPr>
            <w:tcW w:w="0" w:type="auto"/>
            <w:vAlign w:val="center"/>
            <w:hideMark/>
          </w:tcPr>
          <w:p w14:paraId="550051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w:t>
            </w:r>
          </w:p>
        </w:tc>
        <w:tc>
          <w:tcPr>
            <w:tcW w:w="0" w:type="auto"/>
            <w:vAlign w:val="center"/>
            <w:hideMark/>
          </w:tcPr>
          <w:p w14:paraId="084548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Posición consolidada</w:t>
            </w:r>
          </w:p>
        </w:tc>
        <w:tc>
          <w:tcPr>
            <w:tcW w:w="0" w:type="auto"/>
            <w:vAlign w:val="center"/>
            <w:hideMark/>
          </w:tcPr>
          <w:p w14:paraId="64ED76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Customer Position</w:t>
            </w:r>
          </w:p>
        </w:tc>
        <w:tc>
          <w:tcPr>
            <w:tcW w:w="0" w:type="auto"/>
            <w:vAlign w:val="center"/>
            <w:hideMark/>
          </w:tcPr>
          <w:p w14:paraId="04EADC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Proyección</w:t>
            </w:r>
          </w:p>
        </w:tc>
        <w:tc>
          <w:tcPr>
            <w:tcW w:w="0" w:type="auto"/>
            <w:vAlign w:val="center"/>
            <w:hideMark/>
          </w:tcPr>
          <w:p w14:paraId="41074D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Materializar la posición del cliente a través de ambos cores para consulta interactiva</w:t>
            </w:r>
          </w:p>
        </w:tc>
      </w:tr>
      <w:tr w:rsidR="000444D1" w:rsidRPr="000444D1" w14:paraId="20F00CC9" w14:textId="77777777">
        <w:trPr>
          <w:tblCellSpacing w:w="15" w:type="dxa"/>
        </w:trPr>
        <w:tc>
          <w:tcPr>
            <w:tcW w:w="0" w:type="auto"/>
            <w:vAlign w:val="center"/>
            <w:hideMark/>
          </w:tcPr>
          <w:p w14:paraId="4EBDB5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w:t>
            </w:r>
          </w:p>
        </w:tc>
        <w:tc>
          <w:tcPr>
            <w:tcW w:w="0" w:type="auto"/>
            <w:vAlign w:val="center"/>
            <w:hideMark/>
          </w:tcPr>
          <w:p w14:paraId="5EEF70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Órdenes de pago</w:t>
            </w:r>
          </w:p>
        </w:tc>
        <w:tc>
          <w:tcPr>
            <w:tcW w:w="0" w:type="auto"/>
            <w:vAlign w:val="center"/>
            <w:hideMark/>
          </w:tcPr>
          <w:p w14:paraId="22A8E5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Payment Order</w:t>
            </w:r>
          </w:p>
        </w:tc>
        <w:tc>
          <w:tcPr>
            <w:tcW w:w="0" w:type="auto"/>
            <w:vAlign w:val="center"/>
            <w:hideMark/>
          </w:tcPr>
          <w:p w14:paraId="447850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56B961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Mantener el ciclo de vida de la orden de pago y orquestar su saga de ejecución</w:t>
            </w:r>
          </w:p>
        </w:tc>
      </w:tr>
      <w:tr w:rsidR="000444D1" w:rsidRPr="000444D1" w14:paraId="27CF03F5" w14:textId="77777777">
        <w:trPr>
          <w:tblCellSpacing w:w="15" w:type="dxa"/>
        </w:trPr>
        <w:tc>
          <w:tcPr>
            <w:tcW w:w="0" w:type="auto"/>
            <w:vAlign w:val="center"/>
            <w:hideMark/>
          </w:tcPr>
          <w:p w14:paraId="34273C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w:t>
            </w:r>
          </w:p>
        </w:tc>
        <w:tc>
          <w:tcPr>
            <w:tcW w:w="0" w:type="auto"/>
            <w:vAlign w:val="center"/>
            <w:hideMark/>
          </w:tcPr>
          <w:p w14:paraId="604917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de fraude</w:t>
            </w:r>
          </w:p>
        </w:tc>
        <w:tc>
          <w:tcPr>
            <w:tcW w:w="0" w:type="auto"/>
            <w:vAlign w:val="center"/>
            <w:hideMark/>
          </w:tcPr>
          <w:p w14:paraId="6F1C2B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Fraud Evaluation</w:t>
            </w:r>
          </w:p>
        </w:tc>
        <w:tc>
          <w:tcPr>
            <w:tcW w:w="0" w:type="auto"/>
            <w:vAlign w:val="center"/>
            <w:hideMark/>
          </w:tcPr>
          <w:p w14:paraId="26AFF2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Mediación</w:t>
            </w:r>
          </w:p>
        </w:tc>
        <w:tc>
          <w:tcPr>
            <w:tcW w:w="0" w:type="auto"/>
            <w:vAlign w:val="center"/>
            <w:hideMark/>
          </w:tcPr>
          <w:p w14:paraId="46E3AF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Aplicar la política de evaluación en línea (ADR-005) y mediar con el motor de fraude existente</w:t>
            </w:r>
          </w:p>
        </w:tc>
      </w:tr>
      <w:tr w:rsidR="000444D1" w:rsidRPr="000444D1" w14:paraId="0DE6DBF6" w14:textId="77777777">
        <w:trPr>
          <w:tblCellSpacing w:w="15" w:type="dxa"/>
        </w:trPr>
        <w:tc>
          <w:tcPr>
            <w:tcW w:w="0" w:type="auto"/>
            <w:vAlign w:val="center"/>
            <w:hideMark/>
          </w:tcPr>
          <w:p w14:paraId="4BD789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D6</w:t>
            </w:r>
          </w:p>
        </w:tc>
        <w:tc>
          <w:tcPr>
            <w:tcW w:w="0" w:type="auto"/>
            <w:vAlign w:val="center"/>
            <w:hideMark/>
          </w:tcPr>
          <w:p w14:paraId="26BFCFA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de riesgo</w:t>
            </w:r>
          </w:p>
        </w:tc>
        <w:tc>
          <w:tcPr>
            <w:tcW w:w="0" w:type="auto"/>
            <w:vAlign w:val="center"/>
            <w:hideMark/>
          </w:tcPr>
          <w:p w14:paraId="278DDD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Customer Credit Rating</w:t>
            </w:r>
          </w:p>
        </w:tc>
        <w:tc>
          <w:tcPr>
            <w:tcW w:w="0" w:type="auto"/>
            <w:vAlign w:val="center"/>
            <w:hideMark/>
          </w:tcPr>
          <w:p w14:paraId="088510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Mediación</w:t>
            </w:r>
          </w:p>
        </w:tc>
        <w:tc>
          <w:tcPr>
            <w:tcW w:w="0" w:type="auto"/>
            <w:vAlign w:val="center"/>
            <w:hideMark/>
          </w:tcPr>
          <w:p w14:paraId="73D6AE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Mediar con el sistema de gestión de riesgos y exponer su veredicto en modelo canónico</w:t>
            </w:r>
          </w:p>
        </w:tc>
      </w:tr>
      <w:tr w:rsidR="000444D1" w:rsidRPr="000444D1" w14:paraId="796926C1" w14:textId="77777777">
        <w:trPr>
          <w:tblCellSpacing w:w="15" w:type="dxa"/>
        </w:trPr>
        <w:tc>
          <w:tcPr>
            <w:tcW w:w="0" w:type="auto"/>
            <w:vAlign w:val="center"/>
            <w:hideMark/>
          </w:tcPr>
          <w:p w14:paraId="6C912D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w:t>
            </w:r>
          </w:p>
        </w:tc>
        <w:tc>
          <w:tcPr>
            <w:tcW w:w="0" w:type="auto"/>
            <w:vAlign w:val="center"/>
            <w:hideMark/>
          </w:tcPr>
          <w:p w14:paraId="18905B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Consentimientos</w:t>
            </w:r>
          </w:p>
        </w:tc>
        <w:tc>
          <w:tcPr>
            <w:tcW w:w="0" w:type="auto"/>
            <w:vAlign w:val="center"/>
            <w:hideMark/>
          </w:tcPr>
          <w:p w14:paraId="750D21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i/>
                <w:iCs/>
                <w:kern w:val="0"/>
                <w14:ligatures w14:val="none"/>
              </w:rPr>
              <w:t>(extensión — ver nota)</w:t>
            </w:r>
          </w:p>
        </w:tc>
        <w:tc>
          <w:tcPr>
            <w:tcW w:w="0" w:type="auto"/>
            <w:vAlign w:val="center"/>
            <w:hideMark/>
          </w:tcPr>
          <w:p w14:paraId="13C540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113A01F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Registrar, consultar y revocar los consentimientos de acceso de terceros Open Finance</w:t>
            </w:r>
          </w:p>
        </w:tc>
      </w:tr>
      <w:tr w:rsidR="000444D1" w:rsidRPr="000444D1" w14:paraId="6157B79C" w14:textId="77777777">
        <w:trPr>
          <w:tblCellSpacing w:w="15" w:type="dxa"/>
        </w:trPr>
        <w:tc>
          <w:tcPr>
            <w:tcW w:w="0" w:type="auto"/>
            <w:vAlign w:val="center"/>
            <w:hideMark/>
          </w:tcPr>
          <w:p w14:paraId="5200C0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w:t>
            </w:r>
          </w:p>
        </w:tc>
        <w:tc>
          <w:tcPr>
            <w:tcW w:w="0" w:type="auto"/>
            <w:vAlign w:val="center"/>
            <w:hideMark/>
          </w:tcPr>
          <w:p w14:paraId="01EFBC0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Historial de eventos de cliente</w:t>
            </w:r>
          </w:p>
        </w:tc>
        <w:tc>
          <w:tcPr>
            <w:tcW w:w="0" w:type="auto"/>
            <w:vAlign w:val="center"/>
            <w:hideMark/>
          </w:tcPr>
          <w:p w14:paraId="650E15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Customer Event History</w:t>
            </w:r>
          </w:p>
        </w:tc>
        <w:tc>
          <w:tcPr>
            <w:tcW w:w="0" w:type="auto"/>
            <w:vAlign w:val="center"/>
            <w:hideMark/>
          </w:tcPr>
          <w:p w14:paraId="686C82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25D7C2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Conservar el registro inmutable de operaciones para trazabilidad regulatoria</w:t>
            </w:r>
          </w:p>
        </w:tc>
      </w:tr>
      <w:tr w:rsidR="000444D1" w:rsidRPr="000444D1" w14:paraId="0B853DBF" w14:textId="77777777">
        <w:trPr>
          <w:tblCellSpacing w:w="15" w:type="dxa"/>
        </w:trPr>
        <w:tc>
          <w:tcPr>
            <w:tcW w:w="0" w:type="auto"/>
            <w:vAlign w:val="center"/>
            <w:hideMark/>
          </w:tcPr>
          <w:p w14:paraId="7D2BD6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D9</w:t>
            </w:r>
          </w:p>
        </w:tc>
        <w:tc>
          <w:tcPr>
            <w:tcW w:w="0" w:type="auto"/>
            <w:vAlign w:val="center"/>
            <w:hideMark/>
          </w:tcPr>
          <w:p w14:paraId="15DB7A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Entitlements de acceso</w:t>
            </w:r>
          </w:p>
        </w:tc>
        <w:tc>
          <w:tcPr>
            <w:tcW w:w="0" w:type="auto"/>
            <w:vAlign w:val="center"/>
            <w:hideMark/>
          </w:tcPr>
          <w:p w14:paraId="20046F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Customer Access Entitlement</w:t>
            </w:r>
          </w:p>
        </w:tc>
        <w:tc>
          <w:tcPr>
            <w:tcW w:w="0" w:type="auto"/>
            <w:vAlign w:val="center"/>
            <w:hideMark/>
          </w:tcPr>
          <w:p w14:paraId="652A39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1FE0BB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Determinar qué productos y operaciones puede ejercer cada identidad sobre cada cuenta</w:t>
            </w:r>
          </w:p>
        </w:tc>
      </w:tr>
    </w:tbl>
    <w:p w14:paraId="119E769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Nota sobre D7.</w:t>
      </w:r>
      <w:r w:rsidRPr="000444D1">
        <w:rPr>
          <w:rFonts w:ascii="Times New Roman" w:eastAsia="Times New Roman" w:hAnsi="Times New Roman" w:cs="Times New Roman"/>
          <w:kern w:val="0"/>
          <w14:ligatures w14:val="none"/>
        </w:rPr>
        <w:t xml:space="preserve"> El modelo BIAN no ofrece un Service Domain que cubra con precisión la gestión de consentimientos de Open Finance en el sentido que le da la normativa de banca abierta. Se declara explícitamente como </w:t>
      </w:r>
      <w:r w:rsidRPr="000444D1">
        <w:rPr>
          <w:rFonts w:ascii="Times New Roman" w:eastAsia="Times New Roman" w:hAnsi="Times New Roman" w:cs="Times New Roman"/>
          <w:b/>
          <w:bCs/>
          <w:kern w:val="0"/>
          <w14:ligatures w14:val="none"/>
        </w:rPr>
        <w:t>extensión al marco</w:t>
      </w:r>
      <w:r w:rsidRPr="000444D1">
        <w:rPr>
          <w:rFonts w:ascii="Times New Roman" w:eastAsia="Times New Roman" w:hAnsi="Times New Roman" w:cs="Times New Roman"/>
          <w:kern w:val="0"/>
          <w14:ligatures w14:val="none"/>
        </w:rPr>
        <w:t>, en lugar de forzar su encaje en un Service Domain existente. Documentar la brecha es preferible a una alineación aparente que resultaría engañosa para quien lea el diseño con el modelo BIAN en la mano.</w:t>
      </w:r>
    </w:p>
    <w:p w14:paraId="0739680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Elementos deliberadamente no elevados a dominio.</w:t>
      </w:r>
      <w:r w:rsidRPr="000444D1">
        <w:rPr>
          <w:rFonts w:ascii="Times New Roman" w:eastAsia="Times New Roman" w:hAnsi="Times New Roman" w:cs="Times New Roman"/>
          <w:kern w:val="0"/>
          <w14:ligatures w14:val="none"/>
        </w:rPr>
        <w:t xml:space="preserve"> Los siguientes se implementan como adaptadores de infraestructura, no como servicios de dominio, porque carecen de lógica de negocio y de datos propios: adaptador del core tradicional (capa anticorrupción), adaptador del core digital, adaptador de redes de pago externas, y canalización de captura de cambios (CDC). Elevarlos a servicios de dominio produciría componentes sin responsabilidad de negocio identificable, que es uno de los anti-patrones que el diseño debe evitar.</w:t>
      </w:r>
    </w:p>
    <w:p w14:paraId="4058020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5.3 Matriz de systems of record</w:t>
      </w:r>
    </w:p>
    <w:p w14:paraId="0B5360B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Regla de lectura: </w:t>
      </w:r>
      <w:r w:rsidRPr="000444D1">
        <w:rPr>
          <w:rFonts w:ascii="Times New Roman" w:eastAsia="Times New Roman" w:hAnsi="Times New Roman" w:cs="Times New Roman"/>
          <w:b/>
          <w:bCs/>
          <w:kern w:val="0"/>
          <w14:ligatures w14:val="none"/>
        </w:rPr>
        <w:t>para cada entidad existe exactamente un propietario, y solo él escribe.</w:t>
      </w:r>
      <w:r w:rsidRPr="000444D1">
        <w:rPr>
          <w:rFonts w:ascii="Times New Roman" w:eastAsia="Times New Roman" w:hAnsi="Times New Roman" w:cs="Times New Roman"/>
          <w:kern w:val="0"/>
          <w14:ligatures w14:val="none"/>
        </w:rPr>
        <w:t xml:space="preserve"> Todo acceso de escritura desde cualquier otro componente ocurre a través del propietario, nunca contra su almacén.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1924"/>
        <w:gridCol w:w="1871"/>
        <w:gridCol w:w="1567"/>
        <w:gridCol w:w="2157"/>
      </w:tblGrid>
      <w:tr w:rsidR="000444D1" w:rsidRPr="000444D1" w14:paraId="01311E50" w14:textId="77777777">
        <w:trPr>
          <w:tblHeader/>
          <w:tblCellSpacing w:w="15" w:type="dxa"/>
        </w:trPr>
        <w:tc>
          <w:tcPr>
            <w:tcW w:w="0" w:type="auto"/>
            <w:vAlign w:val="center"/>
            <w:hideMark/>
          </w:tcPr>
          <w:p w14:paraId="18B2754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Entidad de negocio</w:t>
            </w:r>
          </w:p>
        </w:tc>
        <w:tc>
          <w:tcPr>
            <w:tcW w:w="0" w:type="auto"/>
            <w:vAlign w:val="center"/>
            <w:hideMark/>
          </w:tcPr>
          <w:p w14:paraId="114AA12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System of Record</w:t>
            </w:r>
          </w:p>
        </w:tc>
        <w:tc>
          <w:tcPr>
            <w:tcW w:w="0" w:type="auto"/>
            <w:vAlign w:val="center"/>
            <w:hideMark/>
          </w:tcPr>
          <w:p w14:paraId="7715260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Escrito por</w:t>
            </w:r>
          </w:p>
        </w:tc>
        <w:tc>
          <w:tcPr>
            <w:tcW w:w="0" w:type="auto"/>
            <w:vAlign w:val="center"/>
            <w:hideMark/>
          </w:tcPr>
          <w:p w14:paraId="016040E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Consumido por</w:t>
            </w:r>
          </w:p>
        </w:tc>
        <w:tc>
          <w:tcPr>
            <w:tcW w:w="0" w:type="auto"/>
            <w:vAlign w:val="center"/>
            <w:hideMark/>
          </w:tcPr>
          <w:p w14:paraId="64A74C9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Mecanismo de acceso</w:t>
            </w:r>
          </w:p>
        </w:tc>
      </w:tr>
      <w:tr w:rsidR="000444D1" w:rsidRPr="000444D1" w14:paraId="0EA78B51" w14:textId="77777777">
        <w:trPr>
          <w:tblCellSpacing w:w="15" w:type="dxa"/>
        </w:trPr>
        <w:tc>
          <w:tcPr>
            <w:tcW w:w="0" w:type="auto"/>
            <w:vAlign w:val="center"/>
            <w:hideMark/>
          </w:tcPr>
          <w:p w14:paraId="546494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Datos maestros de cliente</w:t>
            </w:r>
          </w:p>
        </w:tc>
        <w:tc>
          <w:tcPr>
            <w:tcW w:w="0" w:type="auto"/>
            <w:vAlign w:val="center"/>
            <w:hideMark/>
          </w:tcPr>
          <w:p w14:paraId="31A2614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tradicional</w:t>
            </w:r>
          </w:p>
        </w:tc>
        <w:tc>
          <w:tcPr>
            <w:tcW w:w="0" w:type="auto"/>
            <w:vAlign w:val="center"/>
            <w:hideMark/>
          </w:tcPr>
          <w:p w14:paraId="3D7B81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tradicional (canales propios y back office)</w:t>
            </w:r>
          </w:p>
        </w:tc>
        <w:tc>
          <w:tcPr>
            <w:tcW w:w="0" w:type="auto"/>
            <w:vAlign w:val="center"/>
            <w:hideMark/>
          </w:tcPr>
          <w:p w14:paraId="462953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D5, D6, D7, canales</w:t>
            </w:r>
          </w:p>
        </w:tc>
        <w:tc>
          <w:tcPr>
            <w:tcW w:w="0" w:type="auto"/>
            <w:vAlign w:val="center"/>
            <w:hideMark/>
          </w:tcPr>
          <w:p w14:paraId="3A634D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Lectura vía D1; cambios propagados por eventos (ADR-004)</w:t>
            </w:r>
          </w:p>
        </w:tc>
      </w:tr>
      <w:tr w:rsidR="000444D1" w:rsidRPr="000444D1" w14:paraId="2ABB1478" w14:textId="77777777">
        <w:trPr>
          <w:tblCellSpacing w:w="15" w:type="dxa"/>
        </w:trPr>
        <w:tc>
          <w:tcPr>
            <w:tcW w:w="0" w:type="auto"/>
            <w:vAlign w:val="center"/>
            <w:hideMark/>
          </w:tcPr>
          <w:p w14:paraId="4C984F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Catálogo de productos y su core propietario</w:t>
            </w:r>
          </w:p>
        </w:tc>
        <w:tc>
          <w:tcPr>
            <w:tcW w:w="0" w:type="auto"/>
            <w:vAlign w:val="center"/>
            <w:hideMark/>
          </w:tcPr>
          <w:p w14:paraId="0A1BDC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D2 — Catálogo de productos</w:t>
            </w:r>
          </w:p>
        </w:tc>
        <w:tc>
          <w:tcPr>
            <w:tcW w:w="0" w:type="auto"/>
            <w:vAlign w:val="center"/>
            <w:hideMark/>
          </w:tcPr>
          <w:p w14:paraId="69E67C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D2</w:t>
            </w:r>
          </w:p>
        </w:tc>
        <w:tc>
          <w:tcPr>
            <w:tcW w:w="0" w:type="auto"/>
            <w:vAlign w:val="center"/>
            <w:hideMark/>
          </w:tcPr>
          <w:p w14:paraId="4A3B8E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D3, D4, canales, </w:t>
            </w:r>
            <w:r w:rsidRPr="000444D1">
              <w:rPr>
                <w:rFonts w:ascii="Times New Roman" w:eastAsia="Times New Roman" w:hAnsi="Times New Roman" w:cs="Times New Roman"/>
                <w:kern w:val="0"/>
                <w14:ligatures w14:val="none"/>
              </w:rPr>
              <w:lastRenderedPageBreak/>
              <w:t>adaptadores de core</w:t>
            </w:r>
          </w:p>
        </w:tc>
        <w:tc>
          <w:tcPr>
            <w:tcW w:w="0" w:type="auto"/>
            <w:vAlign w:val="center"/>
            <w:hideMark/>
          </w:tcPr>
          <w:p w14:paraId="69D4FB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 xml:space="preserve">API síncrona de baja latencia; datos de </w:t>
            </w:r>
            <w:r w:rsidRPr="000444D1">
              <w:rPr>
                <w:rFonts w:ascii="Times New Roman" w:eastAsia="Times New Roman" w:hAnsi="Times New Roman" w:cs="Times New Roman"/>
                <w:kern w:val="0"/>
                <w14:ligatures w14:val="none"/>
              </w:rPr>
              <w:lastRenderedPageBreak/>
              <w:t>cambio poco frecuente, cacheables</w:t>
            </w:r>
          </w:p>
        </w:tc>
      </w:tr>
      <w:tr w:rsidR="000444D1" w:rsidRPr="000444D1" w14:paraId="3F7EB98D" w14:textId="77777777">
        <w:trPr>
          <w:tblCellSpacing w:w="15" w:type="dxa"/>
        </w:trPr>
        <w:tc>
          <w:tcPr>
            <w:tcW w:w="0" w:type="auto"/>
            <w:vAlign w:val="center"/>
            <w:hideMark/>
          </w:tcPr>
          <w:p w14:paraId="660D0D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Cuenta tradicional, saldo y movimientos</w:t>
            </w:r>
          </w:p>
        </w:tc>
        <w:tc>
          <w:tcPr>
            <w:tcW w:w="0" w:type="auto"/>
            <w:vAlign w:val="center"/>
            <w:hideMark/>
          </w:tcPr>
          <w:p w14:paraId="1DCF5D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tradicional</w:t>
            </w:r>
          </w:p>
        </w:tc>
        <w:tc>
          <w:tcPr>
            <w:tcW w:w="0" w:type="auto"/>
            <w:vAlign w:val="center"/>
            <w:hideMark/>
          </w:tcPr>
          <w:p w14:paraId="37401D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tradicional</w:t>
            </w:r>
          </w:p>
        </w:tc>
        <w:tc>
          <w:tcPr>
            <w:tcW w:w="0" w:type="auto"/>
            <w:vAlign w:val="center"/>
            <w:hideMark/>
          </w:tcPr>
          <w:p w14:paraId="31B0F2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D4, D5, D6</w:t>
            </w:r>
          </w:p>
        </w:tc>
        <w:tc>
          <w:tcPr>
            <w:tcW w:w="0" w:type="auto"/>
            <w:vAlign w:val="center"/>
            <w:hideMark/>
          </w:tcPr>
          <w:p w14:paraId="6C5CCF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Escritura síncrona vía capa anticorrupción; lectura desde D3</w:t>
            </w:r>
          </w:p>
        </w:tc>
      </w:tr>
      <w:tr w:rsidR="000444D1" w:rsidRPr="000444D1" w14:paraId="6D608727" w14:textId="77777777">
        <w:trPr>
          <w:tblCellSpacing w:w="15" w:type="dxa"/>
        </w:trPr>
        <w:tc>
          <w:tcPr>
            <w:tcW w:w="0" w:type="auto"/>
            <w:vAlign w:val="center"/>
            <w:hideMark/>
          </w:tcPr>
          <w:p w14:paraId="7BA11B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Cuenta digital, saldo y movimientos</w:t>
            </w:r>
          </w:p>
        </w:tc>
        <w:tc>
          <w:tcPr>
            <w:tcW w:w="0" w:type="auto"/>
            <w:vAlign w:val="center"/>
            <w:hideMark/>
          </w:tcPr>
          <w:p w14:paraId="6EAFCA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digital</w:t>
            </w:r>
          </w:p>
        </w:tc>
        <w:tc>
          <w:tcPr>
            <w:tcW w:w="0" w:type="auto"/>
            <w:vAlign w:val="center"/>
            <w:hideMark/>
          </w:tcPr>
          <w:p w14:paraId="68FE97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digital</w:t>
            </w:r>
          </w:p>
        </w:tc>
        <w:tc>
          <w:tcPr>
            <w:tcW w:w="0" w:type="auto"/>
            <w:vAlign w:val="center"/>
            <w:hideMark/>
          </w:tcPr>
          <w:p w14:paraId="09FA74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D4, D5, D6</w:t>
            </w:r>
          </w:p>
        </w:tc>
        <w:tc>
          <w:tcPr>
            <w:tcW w:w="0" w:type="auto"/>
            <w:vAlign w:val="center"/>
            <w:hideMark/>
          </w:tcPr>
          <w:p w14:paraId="686107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REST del core digital vía su adaptador</w:t>
            </w:r>
          </w:p>
        </w:tc>
      </w:tr>
      <w:tr w:rsidR="000444D1" w:rsidRPr="000444D1" w14:paraId="79697529" w14:textId="77777777">
        <w:trPr>
          <w:tblCellSpacing w:w="15" w:type="dxa"/>
        </w:trPr>
        <w:tc>
          <w:tcPr>
            <w:tcW w:w="0" w:type="auto"/>
            <w:vAlign w:val="center"/>
            <w:hideMark/>
          </w:tcPr>
          <w:p w14:paraId="2B2DE0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Posición consolidada del cliente</w:t>
            </w:r>
          </w:p>
        </w:tc>
        <w:tc>
          <w:tcPr>
            <w:tcW w:w="0" w:type="auto"/>
            <w:vAlign w:val="center"/>
            <w:hideMark/>
          </w:tcPr>
          <w:p w14:paraId="19F72B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i/>
                <w:iCs/>
                <w:kern w:val="0"/>
                <w14:ligatures w14:val="none"/>
              </w:rPr>
              <w:t>(ninguno — proyección)</w:t>
            </w:r>
          </w:p>
        </w:tc>
        <w:tc>
          <w:tcPr>
            <w:tcW w:w="0" w:type="auto"/>
            <w:vAlign w:val="center"/>
            <w:hideMark/>
          </w:tcPr>
          <w:p w14:paraId="3A3998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a partir de eventos</w:t>
            </w:r>
          </w:p>
        </w:tc>
        <w:tc>
          <w:tcPr>
            <w:tcW w:w="0" w:type="auto"/>
            <w:vAlign w:val="center"/>
            <w:hideMark/>
          </w:tcPr>
          <w:p w14:paraId="4E97CB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Canales, D5</w:t>
            </w:r>
          </w:p>
        </w:tc>
        <w:tc>
          <w:tcPr>
            <w:tcW w:w="0" w:type="auto"/>
            <w:vAlign w:val="center"/>
            <w:hideMark/>
          </w:tcPr>
          <w:p w14:paraId="30604C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Consulta local; </w:t>
            </w:r>
            <w:r w:rsidRPr="000444D1">
              <w:rPr>
                <w:rFonts w:ascii="Times New Roman" w:eastAsia="Times New Roman" w:hAnsi="Times New Roman" w:cs="Times New Roman"/>
                <w:b/>
                <w:bCs/>
                <w:kern w:val="0"/>
                <w14:ligatures w14:val="none"/>
              </w:rPr>
              <w:t>no autoriza operaciones</w:t>
            </w:r>
            <w:r w:rsidRPr="000444D1">
              <w:rPr>
                <w:rFonts w:ascii="Times New Roman" w:eastAsia="Times New Roman" w:hAnsi="Times New Roman" w:cs="Times New Roman"/>
                <w:kern w:val="0"/>
                <w14:ligatures w14:val="none"/>
              </w:rPr>
              <w:t xml:space="preserve"> (ADR-002)</w:t>
            </w:r>
          </w:p>
        </w:tc>
      </w:tr>
      <w:tr w:rsidR="000444D1" w:rsidRPr="000444D1" w14:paraId="65E241CD" w14:textId="77777777">
        <w:trPr>
          <w:tblCellSpacing w:w="15" w:type="dxa"/>
        </w:trPr>
        <w:tc>
          <w:tcPr>
            <w:tcW w:w="0" w:type="auto"/>
            <w:vAlign w:val="center"/>
            <w:hideMark/>
          </w:tcPr>
          <w:p w14:paraId="5DC0A5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Orden de pago y su estado</w:t>
            </w:r>
          </w:p>
        </w:tc>
        <w:tc>
          <w:tcPr>
            <w:tcW w:w="0" w:type="auto"/>
            <w:vAlign w:val="center"/>
            <w:hideMark/>
          </w:tcPr>
          <w:p w14:paraId="429CBF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D4 — Órdenes de pago</w:t>
            </w:r>
          </w:p>
        </w:tc>
        <w:tc>
          <w:tcPr>
            <w:tcW w:w="0" w:type="auto"/>
            <w:vAlign w:val="center"/>
            <w:hideMark/>
          </w:tcPr>
          <w:p w14:paraId="1271864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w:t>
            </w:r>
          </w:p>
        </w:tc>
        <w:tc>
          <w:tcPr>
            <w:tcW w:w="0" w:type="auto"/>
            <w:vAlign w:val="center"/>
            <w:hideMark/>
          </w:tcPr>
          <w:p w14:paraId="2838D0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Canales, D5, D8, analítica</w:t>
            </w:r>
          </w:p>
        </w:tc>
        <w:tc>
          <w:tcPr>
            <w:tcW w:w="0" w:type="auto"/>
            <w:vAlign w:val="center"/>
            <w:hideMark/>
          </w:tcPr>
          <w:p w14:paraId="26AA14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síncrona para originación; eventos para el resto</w:t>
            </w:r>
          </w:p>
        </w:tc>
      </w:tr>
      <w:tr w:rsidR="000444D1" w:rsidRPr="000444D1" w14:paraId="379826BE" w14:textId="77777777">
        <w:trPr>
          <w:tblCellSpacing w:w="15" w:type="dxa"/>
        </w:trPr>
        <w:tc>
          <w:tcPr>
            <w:tcW w:w="0" w:type="auto"/>
            <w:vAlign w:val="center"/>
            <w:hideMark/>
          </w:tcPr>
          <w:p w14:paraId="34034F9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Asiento contable</w:t>
            </w:r>
          </w:p>
        </w:tc>
        <w:tc>
          <w:tcPr>
            <w:tcW w:w="0" w:type="auto"/>
            <w:vAlign w:val="center"/>
            <w:hideMark/>
          </w:tcPr>
          <w:p w14:paraId="7E11C9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propietario del producto</w:t>
            </w:r>
          </w:p>
        </w:tc>
        <w:tc>
          <w:tcPr>
            <w:tcW w:w="0" w:type="auto"/>
            <w:vAlign w:val="center"/>
            <w:hideMark/>
          </w:tcPr>
          <w:p w14:paraId="0B7F09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correspondiente</w:t>
            </w:r>
          </w:p>
        </w:tc>
        <w:tc>
          <w:tcPr>
            <w:tcW w:w="0" w:type="auto"/>
            <w:vAlign w:val="center"/>
            <w:hideMark/>
          </w:tcPr>
          <w:p w14:paraId="239EAF8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Contabilidad, reportería regulatoria</w:t>
            </w:r>
          </w:p>
        </w:tc>
        <w:tc>
          <w:tcPr>
            <w:tcW w:w="0" w:type="auto"/>
            <w:vAlign w:val="center"/>
            <w:hideMark/>
          </w:tcPr>
          <w:p w14:paraId="19C1B7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expuesto a canales; conciliación batch</w:t>
            </w:r>
          </w:p>
        </w:tc>
      </w:tr>
      <w:tr w:rsidR="000444D1" w:rsidRPr="000444D1" w14:paraId="2C292187" w14:textId="77777777">
        <w:trPr>
          <w:tblCellSpacing w:w="15" w:type="dxa"/>
        </w:trPr>
        <w:tc>
          <w:tcPr>
            <w:tcW w:w="0" w:type="auto"/>
            <w:vAlign w:val="center"/>
            <w:hideMark/>
          </w:tcPr>
          <w:p w14:paraId="631329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 Open Finance</w:t>
            </w:r>
          </w:p>
        </w:tc>
        <w:tc>
          <w:tcPr>
            <w:tcW w:w="0" w:type="auto"/>
            <w:vAlign w:val="center"/>
            <w:hideMark/>
          </w:tcPr>
          <w:p w14:paraId="7130E0D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D7 — Consentimientos</w:t>
            </w:r>
          </w:p>
        </w:tc>
        <w:tc>
          <w:tcPr>
            <w:tcW w:w="0" w:type="auto"/>
            <w:vAlign w:val="center"/>
            <w:hideMark/>
          </w:tcPr>
          <w:p w14:paraId="7B2DE89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w:t>
            </w:r>
          </w:p>
        </w:tc>
        <w:tc>
          <w:tcPr>
            <w:tcW w:w="0" w:type="auto"/>
            <w:vAlign w:val="center"/>
            <w:hideMark/>
          </w:tcPr>
          <w:p w14:paraId="2B412F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Gateway externo, D8, terceros</w:t>
            </w:r>
          </w:p>
        </w:tc>
        <w:tc>
          <w:tcPr>
            <w:tcW w:w="0" w:type="auto"/>
            <w:vAlign w:val="center"/>
            <w:hideMark/>
          </w:tcPr>
          <w:p w14:paraId="7ECD7C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síncrona; validación en cada acceso de tercero</w:t>
            </w:r>
          </w:p>
        </w:tc>
      </w:tr>
      <w:tr w:rsidR="000444D1" w:rsidRPr="000444D1" w14:paraId="2E9E4156" w14:textId="77777777">
        <w:trPr>
          <w:tblCellSpacing w:w="15" w:type="dxa"/>
        </w:trPr>
        <w:tc>
          <w:tcPr>
            <w:tcW w:w="0" w:type="auto"/>
            <w:vAlign w:val="center"/>
            <w:hideMark/>
          </w:tcPr>
          <w:p w14:paraId="40F809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Veredicto y score de fraude</w:t>
            </w:r>
          </w:p>
        </w:tc>
        <w:tc>
          <w:tcPr>
            <w:tcW w:w="0" w:type="auto"/>
            <w:vAlign w:val="center"/>
            <w:hideMark/>
          </w:tcPr>
          <w:p w14:paraId="069C6A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Sistema de prevención de fraudes</w:t>
            </w:r>
          </w:p>
        </w:tc>
        <w:tc>
          <w:tcPr>
            <w:tcW w:w="0" w:type="auto"/>
            <w:vAlign w:val="center"/>
            <w:hideMark/>
          </w:tcPr>
          <w:p w14:paraId="39B7C5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de fraude</w:t>
            </w:r>
          </w:p>
        </w:tc>
        <w:tc>
          <w:tcPr>
            <w:tcW w:w="0" w:type="auto"/>
            <w:vAlign w:val="center"/>
            <w:hideMark/>
          </w:tcPr>
          <w:p w14:paraId="5A124F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D8</w:t>
            </w:r>
          </w:p>
        </w:tc>
        <w:tc>
          <w:tcPr>
            <w:tcW w:w="0" w:type="auto"/>
            <w:vAlign w:val="center"/>
            <w:hideMark/>
          </w:tcPr>
          <w:p w14:paraId="0B71FA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Invocación síncrona vía D5; eventos de realimentación</w:t>
            </w:r>
          </w:p>
        </w:tc>
      </w:tr>
      <w:tr w:rsidR="000444D1" w:rsidRPr="000444D1" w14:paraId="1935C0C1" w14:textId="77777777">
        <w:trPr>
          <w:tblCellSpacing w:w="15" w:type="dxa"/>
        </w:trPr>
        <w:tc>
          <w:tcPr>
            <w:tcW w:w="0" w:type="auto"/>
            <w:vAlign w:val="center"/>
            <w:hideMark/>
          </w:tcPr>
          <w:p w14:paraId="083D56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Perfil y calificación de riesgo</w:t>
            </w:r>
          </w:p>
        </w:tc>
        <w:tc>
          <w:tcPr>
            <w:tcW w:w="0" w:type="auto"/>
            <w:vAlign w:val="center"/>
            <w:hideMark/>
          </w:tcPr>
          <w:p w14:paraId="34316F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Sistema de gestión de riesgos</w:t>
            </w:r>
          </w:p>
        </w:tc>
        <w:tc>
          <w:tcPr>
            <w:tcW w:w="0" w:type="auto"/>
            <w:vAlign w:val="center"/>
            <w:hideMark/>
          </w:tcPr>
          <w:p w14:paraId="6785C1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de riesgos</w:t>
            </w:r>
          </w:p>
        </w:tc>
        <w:tc>
          <w:tcPr>
            <w:tcW w:w="0" w:type="auto"/>
            <w:vAlign w:val="center"/>
            <w:hideMark/>
          </w:tcPr>
          <w:p w14:paraId="1158FC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D9, originación de productos</w:t>
            </w:r>
          </w:p>
        </w:tc>
        <w:tc>
          <w:tcPr>
            <w:tcW w:w="0" w:type="auto"/>
            <w:vAlign w:val="center"/>
            <w:hideMark/>
          </w:tcPr>
          <w:p w14:paraId="1DE299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vía D6; actualización por eventos</w:t>
            </w:r>
          </w:p>
        </w:tc>
      </w:tr>
      <w:tr w:rsidR="000444D1" w:rsidRPr="000444D1" w14:paraId="3930FACB" w14:textId="77777777">
        <w:trPr>
          <w:tblCellSpacing w:w="15" w:type="dxa"/>
        </w:trPr>
        <w:tc>
          <w:tcPr>
            <w:tcW w:w="0" w:type="auto"/>
            <w:vAlign w:val="center"/>
            <w:hideMark/>
          </w:tcPr>
          <w:p w14:paraId="3E305D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Identidad y credenciales</w:t>
            </w:r>
          </w:p>
        </w:tc>
        <w:tc>
          <w:tcPr>
            <w:tcW w:w="0" w:type="auto"/>
            <w:vAlign w:val="center"/>
            <w:hideMark/>
          </w:tcPr>
          <w:p w14:paraId="6073F9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Proveedor de identidad (IdP)</w:t>
            </w:r>
          </w:p>
        </w:tc>
        <w:tc>
          <w:tcPr>
            <w:tcW w:w="0" w:type="auto"/>
            <w:vAlign w:val="center"/>
            <w:hideMark/>
          </w:tcPr>
          <w:p w14:paraId="5C3DD8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IdP</w:t>
            </w:r>
          </w:p>
        </w:tc>
        <w:tc>
          <w:tcPr>
            <w:tcW w:w="0" w:type="auto"/>
            <w:vAlign w:val="center"/>
            <w:hideMark/>
          </w:tcPr>
          <w:p w14:paraId="4BB80B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Todos los componentes</w:t>
            </w:r>
          </w:p>
        </w:tc>
        <w:tc>
          <w:tcPr>
            <w:tcW w:w="0" w:type="auto"/>
            <w:vAlign w:val="center"/>
            <w:hideMark/>
          </w:tcPr>
          <w:p w14:paraId="6E8D2E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Tokens firmados; ningún servicio almacena credenciales</w:t>
            </w:r>
          </w:p>
        </w:tc>
      </w:tr>
      <w:tr w:rsidR="000444D1" w:rsidRPr="000444D1" w14:paraId="0129A8EB" w14:textId="77777777">
        <w:trPr>
          <w:tblCellSpacing w:w="15" w:type="dxa"/>
        </w:trPr>
        <w:tc>
          <w:tcPr>
            <w:tcW w:w="0" w:type="auto"/>
            <w:vAlign w:val="center"/>
            <w:hideMark/>
          </w:tcPr>
          <w:p w14:paraId="271209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Entitlements sobre cuentas</w:t>
            </w:r>
          </w:p>
        </w:tc>
        <w:tc>
          <w:tcPr>
            <w:tcW w:w="0" w:type="auto"/>
            <w:vAlign w:val="center"/>
            <w:hideMark/>
          </w:tcPr>
          <w:p w14:paraId="79F200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D9 — Entitlements</w:t>
            </w:r>
          </w:p>
        </w:tc>
        <w:tc>
          <w:tcPr>
            <w:tcW w:w="0" w:type="auto"/>
            <w:vAlign w:val="center"/>
            <w:hideMark/>
          </w:tcPr>
          <w:p w14:paraId="540090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D9</w:t>
            </w:r>
          </w:p>
        </w:tc>
        <w:tc>
          <w:tcPr>
            <w:tcW w:w="0" w:type="auto"/>
            <w:vAlign w:val="center"/>
            <w:hideMark/>
          </w:tcPr>
          <w:p w14:paraId="34C21A4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Gateway, canales, D4</w:t>
            </w:r>
          </w:p>
        </w:tc>
        <w:tc>
          <w:tcPr>
            <w:tcW w:w="0" w:type="auto"/>
            <w:vAlign w:val="center"/>
            <w:hideMark/>
          </w:tcPr>
          <w:p w14:paraId="157694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síncrona; decisión de autorización previa a la operación</w:t>
            </w:r>
          </w:p>
        </w:tc>
      </w:tr>
      <w:tr w:rsidR="000444D1" w:rsidRPr="000444D1" w14:paraId="36BBB34D" w14:textId="77777777">
        <w:trPr>
          <w:tblCellSpacing w:w="15" w:type="dxa"/>
        </w:trPr>
        <w:tc>
          <w:tcPr>
            <w:tcW w:w="0" w:type="auto"/>
            <w:vAlign w:val="center"/>
            <w:hideMark/>
          </w:tcPr>
          <w:p w14:paraId="3641E8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Traza inmutable de operaciones</w:t>
            </w:r>
          </w:p>
        </w:tc>
        <w:tc>
          <w:tcPr>
            <w:tcW w:w="0" w:type="auto"/>
            <w:vAlign w:val="center"/>
            <w:hideMark/>
          </w:tcPr>
          <w:p w14:paraId="197333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D8 — Historial de eventos</w:t>
            </w:r>
          </w:p>
        </w:tc>
        <w:tc>
          <w:tcPr>
            <w:tcW w:w="0" w:type="auto"/>
            <w:vAlign w:val="center"/>
            <w:hideMark/>
          </w:tcPr>
          <w:p w14:paraId="737853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por consumo de eventos</w:t>
            </w:r>
          </w:p>
        </w:tc>
        <w:tc>
          <w:tcPr>
            <w:tcW w:w="0" w:type="auto"/>
            <w:vAlign w:val="center"/>
            <w:hideMark/>
          </w:tcPr>
          <w:p w14:paraId="6A22810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Auditoría, regulador, soporte</w:t>
            </w:r>
          </w:p>
        </w:tc>
        <w:tc>
          <w:tcPr>
            <w:tcW w:w="0" w:type="auto"/>
            <w:vAlign w:val="center"/>
            <w:hideMark/>
          </w:tcPr>
          <w:p w14:paraId="48BDDC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Solo lectura; almacenamiento de escritura única</w:t>
            </w:r>
          </w:p>
        </w:tc>
      </w:tr>
    </w:tbl>
    <w:p w14:paraId="59DA70C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Tres observaciones que esta matriz hace explícitas:</w:t>
      </w:r>
    </w:p>
    <w:p w14:paraId="2C2674E4" w14:textId="77777777" w:rsidR="000444D1" w:rsidRPr="000444D1" w:rsidRDefault="000444D1" w:rsidP="00C646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La posición consolidada no tiene system of record.</w:t>
      </w:r>
      <w:r w:rsidRPr="000444D1">
        <w:rPr>
          <w:rFonts w:ascii="Times New Roman" w:eastAsia="Times New Roman" w:hAnsi="Times New Roman" w:cs="Times New Roman"/>
          <w:kern w:val="0"/>
          <w14:ligatures w14:val="none"/>
        </w:rPr>
        <w:t xml:space="preserve"> Es una proyección, y se declara como tal para impedir que se la trate como fuente de verdad. Esta distinción es la que sostiene la decisión del ADR-002.</w:t>
      </w:r>
    </w:p>
    <w:p w14:paraId="5A5F1170" w14:textId="77777777" w:rsidR="000444D1" w:rsidRPr="000444D1" w:rsidRDefault="000444D1" w:rsidP="00C646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Los datos maestros de cliente permanecen en el core tradicional.</w:t>
      </w:r>
      <w:r w:rsidRPr="000444D1">
        <w:rPr>
          <w:rFonts w:ascii="Times New Roman" w:eastAsia="Times New Roman" w:hAnsi="Times New Roman" w:cs="Times New Roman"/>
          <w:kern w:val="0"/>
          <w14:ligatures w14:val="none"/>
        </w:rPr>
        <w:t xml:space="preserve"> No se duplican en el core digital. Es la decisión que evita la sincronización bidireccional de clientes, principal fuente de inconsistencia en programas multicore (ADR-001).</w:t>
      </w:r>
    </w:p>
    <w:p w14:paraId="0C2CE1E3" w14:textId="77777777" w:rsidR="000444D1" w:rsidRPr="000444D1" w:rsidRDefault="000444D1" w:rsidP="00C646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Ningún componente comparte base de datos con otro.</w:t>
      </w:r>
      <w:r w:rsidRPr="000444D1">
        <w:rPr>
          <w:rFonts w:ascii="Times New Roman" w:eastAsia="Times New Roman" w:hAnsi="Times New Roman" w:cs="Times New Roman"/>
          <w:kern w:val="0"/>
          <w14:ligatures w14:val="none"/>
        </w:rPr>
        <w:t xml:space="preserve"> Los almacenes de D2, D4, D7, D8 y D9 son privados de su propietario; el de D3 es una proyección reconstruible por reproducción de eventos.</w:t>
      </w:r>
    </w:p>
    <w:p w14:paraId="30E2800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5.4 Criterio de descomposición en servicios</w:t>
      </w:r>
    </w:p>
    <w:p w14:paraId="7C56801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descomposición se rige por tres reglas, aplicadas en orden. Su propósito es acotar el número de servicios: un catálogo excesivo de componentes es tan defectuoso como un monolito, y su justificación individual se vuelve inviable.</w:t>
      </w:r>
    </w:p>
    <w:p w14:paraId="1D7C82E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Regla 1 — Un servicio por dominio con dato propio.</w:t>
      </w:r>
      <w:r w:rsidRPr="000444D1">
        <w:rPr>
          <w:rFonts w:ascii="Times New Roman" w:eastAsia="Times New Roman" w:hAnsi="Times New Roman" w:cs="Times New Roman"/>
          <w:kern w:val="0"/>
          <w14:ligatures w14:val="none"/>
        </w:rPr>
        <w:t xml:space="preserve"> Solo se crea un servicio si posee al menos una entidad de la que es system of record, o si materializa una proyección explícitamente declarada. Un servicio sin dato propio es, casi siempre, un adaptador disfrazado.</w:t>
      </w:r>
    </w:p>
    <w:p w14:paraId="4CB72A6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Regla 2 — Frontera en el límite de consistencia.</w:t>
      </w:r>
      <w:r w:rsidRPr="000444D1">
        <w:rPr>
          <w:rFonts w:ascii="Times New Roman" w:eastAsia="Times New Roman" w:hAnsi="Times New Roman" w:cs="Times New Roman"/>
          <w:kern w:val="0"/>
          <w14:ligatures w14:val="none"/>
        </w:rPr>
        <w:t xml:space="preserve"> Los datos que deben cambiar de forma atómica permanecen dentro del mismo servicio. Si dos entidades requieren una transacción común de forma recurrente, pertenecen al mismo dominio, con independencia de que BIAN las separe.</w:t>
      </w:r>
    </w:p>
    <w:p w14:paraId="29E220E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Regla 3 — Un dominio, un equipo.</w:t>
      </w:r>
      <w:r w:rsidRPr="000444D1">
        <w:rPr>
          <w:rFonts w:ascii="Times New Roman" w:eastAsia="Times New Roman" w:hAnsi="Times New Roman" w:cs="Times New Roman"/>
          <w:kern w:val="0"/>
          <w14:ligatures w14:val="none"/>
        </w:rPr>
        <w:t xml:space="preserve"> Ningún dominio se divide por debajo del tamaño que un equipo puede sostener de extremo a extremo. Con la capacidad organizacional asumida (2 a 4 equipos, supuesto 2.4), nueve dominios es el techo razonable.</w:t>
      </w:r>
    </w:p>
    <w:p w14:paraId="63164C2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Resultado.</w:t>
      </w:r>
      <w:r w:rsidRPr="000444D1">
        <w:rPr>
          <w:rFonts w:ascii="Times New Roman" w:eastAsia="Times New Roman" w:hAnsi="Times New Roman" w:cs="Times New Roman"/>
          <w:kern w:val="0"/>
          <w14:ligatures w14:val="none"/>
        </w:rPr>
        <w:t xml:space="preserve"> Nueve servicios de dominio, más los adaptadores de infraestructura enumerados en 5.2. El diagrama de contenedores de la sección 7 no contiene ningún elemento que no proceda de esta sección.</w:t>
      </w:r>
    </w:p>
    <w:p w14:paraId="6974AAD7"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Aplicación de los principios SOLID a la descomposición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8338"/>
      </w:tblGrid>
      <w:tr w:rsidR="000444D1" w:rsidRPr="000444D1" w14:paraId="1C627CDF" w14:textId="77777777">
        <w:trPr>
          <w:tblHeader/>
          <w:tblCellSpacing w:w="15" w:type="dxa"/>
        </w:trPr>
        <w:tc>
          <w:tcPr>
            <w:tcW w:w="0" w:type="auto"/>
            <w:vAlign w:val="center"/>
            <w:hideMark/>
          </w:tcPr>
          <w:p w14:paraId="3BCAF42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Principio</w:t>
            </w:r>
          </w:p>
        </w:tc>
        <w:tc>
          <w:tcPr>
            <w:tcW w:w="0" w:type="auto"/>
            <w:vAlign w:val="center"/>
            <w:hideMark/>
          </w:tcPr>
          <w:p w14:paraId="7405C4F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Evidencia en el modelo de dominios</w:t>
            </w:r>
          </w:p>
        </w:tc>
      </w:tr>
      <w:tr w:rsidR="000444D1" w:rsidRPr="000444D1" w14:paraId="364EAFB4" w14:textId="77777777">
        <w:trPr>
          <w:tblCellSpacing w:w="15" w:type="dxa"/>
        </w:trPr>
        <w:tc>
          <w:tcPr>
            <w:tcW w:w="0" w:type="auto"/>
            <w:vAlign w:val="center"/>
            <w:hideMark/>
          </w:tcPr>
          <w:p w14:paraId="095D26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SRP</w:t>
            </w:r>
          </w:p>
        </w:tc>
        <w:tc>
          <w:tcPr>
            <w:tcW w:w="0" w:type="auto"/>
            <w:vAlign w:val="center"/>
            <w:hideMark/>
          </w:tcPr>
          <w:p w14:paraId="559E55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columna </w:t>
            </w:r>
            <w:r w:rsidRPr="000444D1">
              <w:rPr>
                <w:rFonts w:ascii="Times New Roman" w:eastAsia="Times New Roman" w:hAnsi="Times New Roman" w:cs="Times New Roman"/>
                <w:i/>
                <w:iCs/>
                <w:kern w:val="0"/>
                <w14:ligatures w14:val="none"/>
              </w:rPr>
              <w:t>responsabilidad única</w:t>
            </w:r>
            <w:r w:rsidRPr="000444D1">
              <w:rPr>
                <w:rFonts w:ascii="Times New Roman" w:eastAsia="Times New Roman" w:hAnsi="Times New Roman" w:cs="Times New Roman"/>
                <w:kern w:val="0"/>
                <w14:ligatures w14:val="none"/>
              </w:rPr>
              <w:t xml:space="preserve"> de la matriz 5.2 es una sola frase por dominio. Un dominio que requiriera dos frases indicaría un corte incorrecto</w:t>
            </w:r>
          </w:p>
        </w:tc>
      </w:tr>
      <w:tr w:rsidR="000444D1" w:rsidRPr="000444D1" w14:paraId="5D007F97" w14:textId="77777777">
        <w:trPr>
          <w:tblCellSpacing w:w="15" w:type="dxa"/>
        </w:trPr>
        <w:tc>
          <w:tcPr>
            <w:tcW w:w="0" w:type="auto"/>
            <w:vAlign w:val="center"/>
            <w:hideMark/>
          </w:tcPr>
          <w:p w14:paraId="03B76D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OCP</w:t>
            </w:r>
          </w:p>
        </w:tc>
        <w:tc>
          <w:tcPr>
            <w:tcW w:w="0" w:type="auto"/>
            <w:vAlign w:val="center"/>
            <w:hideMark/>
          </w:tcPr>
          <w:p w14:paraId="2EF08A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nuevo consumidor de la actividad transaccional (analítica, un nuevo motor de riesgos) se integra suscribiéndose a los eventos existentes, sin modificar a D4 ni a los adaptadores de core</w:t>
            </w:r>
          </w:p>
        </w:tc>
      </w:tr>
      <w:tr w:rsidR="000444D1" w:rsidRPr="000444D1" w14:paraId="6312478C" w14:textId="77777777">
        <w:trPr>
          <w:tblCellSpacing w:w="15" w:type="dxa"/>
        </w:trPr>
        <w:tc>
          <w:tcPr>
            <w:tcW w:w="0" w:type="auto"/>
            <w:vAlign w:val="center"/>
            <w:hideMark/>
          </w:tcPr>
          <w:p w14:paraId="772BB6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LSP</w:t>
            </w:r>
          </w:p>
        </w:tc>
        <w:tc>
          <w:tcPr>
            <w:tcW w:w="0" w:type="auto"/>
            <w:vAlign w:val="center"/>
            <w:hideMark/>
          </w:tcPr>
          <w:p w14:paraId="63021C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adaptadores de ambos cores implementan el mismo puerto canónico; D4 orquesta la ejecución de un pago sin conocer cuál de los dos lo atiende</w:t>
            </w:r>
          </w:p>
        </w:tc>
      </w:tr>
      <w:tr w:rsidR="000444D1" w:rsidRPr="000444D1" w14:paraId="6D59E9EB" w14:textId="77777777">
        <w:trPr>
          <w:tblCellSpacing w:w="15" w:type="dxa"/>
        </w:trPr>
        <w:tc>
          <w:tcPr>
            <w:tcW w:w="0" w:type="auto"/>
            <w:vAlign w:val="center"/>
            <w:hideMark/>
          </w:tcPr>
          <w:p w14:paraId="4F4FC2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ISP</w:t>
            </w:r>
          </w:p>
        </w:tc>
        <w:tc>
          <w:tcPr>
            <w:tcW w:w="0" w:type="auto"/>
            <w:vAlign w:val="center"/>
            <w:hideMark/>
          </w:tcPr>
          <w:p w14:paraId="41F84A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 y D6 exponen interfaces distintas para consumidores distintos, en lugar de una interfaz única de cliente que obligue a todos a conocer el modelo completo</w:t>
            </w:r>
          </w:p>
        </w:tc>
      </w:tr>
      <w:tr w:rsidR="000444D1" w:rsidRPr="000444D1" w14:paraId="762C3A85" w14:textId="77777777">
        <w:trPr>
          <w:tblCellSpacing w:w="15" w:type="dxa"/>
        </w:trPr>
        <w:tc>
          <w:tcPr>
            <w:tcW w:w="0" w:type="auto"/>
            <w:vAlign w:val="center"/>
            <w:hideMark/>
          </w:tcPr>
          <w:p w14:paraId="2D6FC1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DIP</w:t>
            </w:r>
          </w:p>
        </w:tc>
        <w:tc>
          <w:tcPr>
            <w:tcW w:w="0" w:type="auto"/>
            <w:vAlign w:val="center"/>
            <w:hideMark/>
          </w:tcPr>
          <w:p w14:paraId="3362F3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D4 depende del puerto </w:t>
            </w:r>
            <w:r w:rsidRPr="000444D1">
              <w:rPr>
                <w:rFonts w:ascii="Courier New" w:eastAsia="Times New Roman" w:hAnsi="Courier New" w:cs="Courier New"/>
                <w:kern w:val="0"/>
                <w:sz w:val="20"/>
                <w:szCs w:val="20"/>
                <w14:ligatures w14:val="none"/>
              </w:rPr>
              <w:t>IPaymentExecutionPort</w:t>
            </w:r>
            <w:r w:rsidRPr="000444D1">
              <w:rPr>
                <w:rFonts w:ascii="Times New Roman" w:eastAsia="Times New Roman" w:hAnsi="Times New Roman" w:cs="Times New Roman"/>
                <w:kern w:val="0"/>
                <w14:ligatures w14:val="none"/>
              </w:rPr>
              <w:t>, no de la implementación MQ del core tradicional ni de la API REST del core digital</w:t>
            </w:r>
          </w:p>
        </w:tc>
      </w:tr>
    </w:tbl>
    <w:p w14:paraId="19CE035E"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67FB3148">
          <v:rect id="Horizontal Line 567" o:spid="_x0000_s10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F63FB27"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6. Vista C4 — Nivel 1: Contexto</w:t>
      </w:r>
    </w:p>
    <w:p w14:paraId="09A6BE05" w14:textId="1DBE66F0"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fldChar w:fldCharType="begin"/>
      </w:r>
      <w:r w:rsidRPr="000444D1">
        <w:rPr>
          <w:rFonts w:ascii="Times New Roman" w:eastAsia="Times New Roman" w:hAnsi="Times New Roman" w:cs="Times New Roman"/>
          <w:kern w:val="0"/>
          <w14:ligatures w14:val="none"/>
        </w:rPr>
        <w:instrText xml:space="preserve"> INCLUDEPICTURE "https://claude.ai/chat/diagramas/c4-nivel1-contexto.png" \* MERGEFORMATINET </w:instrText>
      </w:r>
      <w:r w:rsidRPr="000444D1">
        <w:rPr>
          <w:rFonts w:ascii="Times New Roman" w:eastAsia="Times New Roman" w:hAnsi="Times New Roman" w:cs="Times New Roman"/>
          <w:kern w:val="0"/>
          <w14:ligatures w14:val="none"/>
        </w:rPr>
        <w:fldChar w:fldCharType="separate"/>
      </w:r>
      <w:r w:rsidRPr="000444D1">
        <w:rPr>
          <w:rFonts w:ascii="Times New Roman" w:eastAsia="Times New Roman" w:hAnsi="Times New Roman" w:cs="Times New Roman"/>
          <w:noProof/>
          <w:kern w:val="0"/>
          <w14:ligatures w14:val="none"/>
        </w:rPr>
        <mc:AlternateContent>
          <mc:Choice Requires="wps">
            <w:drawing>
              <wp:inline distT="0" distB="0" distL="0" distR="0" wp14:anchorId="6C69218E" wp14:editId="548C1996">
                <wp:extent cx="302260" cy="302260"/>
                <wp:effectExtent l="0" t="0" r="0" b="0"/>
                <wp:docPr id="219902523" name="Rectangle 68" descr="Diagrama C4 nivel 1 — contex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F5737" id="Rectangle 68" o:spid="_x0000_s1026" alt="Diagrama C4 nivel 1 — context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0444D1">
        <w:rPr>
          <w:rFonts w:ascii="Times New Roman" w:eastAsia="Times New Roman" w:hAnsi="Times New Roman" w:cs="Times New Roman"/>
          <w:kern w:val="0"/>
          <w14:ligatures w14:val="none"/>
        </w:rPr>
        <w:fldChar w:fldCharType="end"/>
      </w:r>
    </w:p>
    <w:p w14:paraId="5CD477C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6.1 Sistema en alcance</w:t>
      </w:r>
    </w:p>
    <w:p w14:paraId="5E04868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Plataforma de Integración y Servicios Digitales.</w:t>
      </w:r>
      <w:r w:rsidRPr="000444D1">
        <w:rPr>
          <w:rFonts w:ascii="Times New Roman" w:eastAsia="Times New Roman" w:hAnsi="Times New Roman" w:cs="Times New Roman"/>
          <w:kern w:val="0"/>
          <w14:ligatures w14:val="none"/>
        </w:rPr>
        <w:t xml:space="preserve"> Comprende la capa de mediación, los servicios de dominio de la sección 5 y las interfaces expuestas a canales y terceros.</w:t>
      </w:r>
    </w:p>
    <w:p w14:paraId="6EA8E1F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Los dos cores bancarios se representan como </w:t>
      </w:r>
      <w:r w:rsidRPr="000444D1">
        <w:rPr>
          <w:rFonts w:ascii="Times New Roman" w:eastAsia="Times New Roman" w:hAnsi="Times New Roman" w:cs="Times New Roman"/>
          <w:b/>
          <w:bCs/>
          <w:kern w:val="0"/>
          <w14:ligatures w14:val="none"/>
        </w:rPr>
        <w:t>sistemas vecinos y no como parte del sistema en alcance</w:t>
      </w:r>
      <w:r w:rsidRPr="000444D1">
        <w:rPr>
          <w:rFonts w:ascii="Times New Roman" w:eastAsia="Times New Roman" w:hAnsi="Times New Roman" w:cs="Times New Roman"/>
          <w:kern w:val="0"/>
          <w14:ligatures w14:val="none"/>
        </w:rPr>
        <w:t>. La decisión es deliberada: incluir ambos cores dentro de una única caja haría desaparecer del nivel 1 la coexistencia multicore, que es la característica definitoria de este escenario. Representarlos por separado permite que la dualidad de sistemas de registro sea visible desde el diagrama de mayor nivel.</w:t>
      </w:r>
    </w:p>
    <w:p w14:paraId="5FF0EE02"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6.2 Actores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2425"/>
        <w:gridCol w:w="5152"/>
      </w:tblGrid>
      <w:tr w:rsidR="000444D1" w:rsidRPr="000444D1" w14:paraId="5412C318" w14:textId="77777777">
        <w:trPr>
          <w:tblHeader/>
          <w:tblCellSpacing w:w="15" w:type="dxa"/>
        </w:trPr>
        <w:tc>
          <w:tcPr>
            <w:tcW w:w="0" w:type="auto"/>
            <w:vAlign w:val="center"/>
            <w:hideMark/>
          </w:tcPr>
          <w:p w14:paraId="38E7AE8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Actor</w:t>
            </w:r>
          </w:p>
        </w:tc>
        <w:tc>
          <w:tcPr>
            <w:tcW w:w="0" w:type="auto"/>
            <w:vAlign w:val="center"/>
            <w:hideMark/>
          </w:tcPr>
          <w:p w14:paraId="2B20195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Descripción</w:t>
            </w:r>
          </w:p>
        </w:tc>
        <w:tc>
          <w:tcPr>
            <w:tcW w:w="0" w:type="auto"/>
            <w:vAlign w:val="center"/>
            <w:hideMark/>
          </w:tcPr>
          <w:p w14:paraId="0977CD7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Interacción con el sistema</w:t>
            </w:r>
          </w:p>
        </w:tc>
      </w:tr>
      <w:tr w:rsidR="000444D1" w:rsidRPr="000444D1" w14:paraId="5E72E1D8" w14:textId="77777777">
        <w:trPr>
          <w:tblCellSpacing w:w="15" w:type="dxa"/>
        </w:trPr>
        <w:tc>
          <w:tcPr>
            <w:tcW w:w="0" w:type="auto"/>
            <w:vAlign w:val="center"/>
            <w:hideMark/>
          </w:tcPr>
          <w:p w14:paraId="6ED360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Cliente digital</w:t>
            </w:r>
          </w:p>
        </w:tc>
        <w:tc>
          <w:tcPr>
            <w:tcW w:w="0" w:type="auto"/>
            <w:vAlign w:val="center"/>
            <w:hideMark/>
          </w:tcPr>
          <w:p w14:paraId="3E2F1C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Persona titular de productos, opera por banca web o móvil</w:t>
            </w:r>
          </w:p>
        </w:tc>
        <w:tc>
          <w:tcPr>
            <w:tcW w:w="0" w:type="auto"/>
            <w:vAlign w:val="center"/>
            <w:hideMark/>
          </w:tcPr>
          <w:p w14:paraId="307047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su posición, origina pagos, otorga y revoca consentimientos de Open Finance</w:t>
            </w:r>
          </w:p>
        </w:tc>
      </w:tr>
      <w:tr w:rsidR="000444D1" w:rsidRPr="000444D1" w14:paraId="22546374" w14:textId="77777777">
        <w:trPr>
          <w:tblCellSpacing w:w="15" w:type="dxa"/>
        </w:trPr>
        <w:tc>
          <w:tcPr>
            <w:tcW w:w="0" w:type="auto"/>
            <w:vAlign w:val="center"/>
            <w:hideMark/>
          </w:tcPr>
          <w:p w14:paraId="784F03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Personal interno</w:t>
            </w:r>
          </w:p>
        </w:tc>
        <w:tc>
          <w:tcPr>
            <w:tcW w:w="0" w:type="auto"/>
            <w:vAlign w:val="center"/>
            <w:hideMark/>
          </w:tcPr>
          <w:p w14:paraId="0A3691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Ejecutivo de agencia y personal de back office</w:t>
            </w:r>
          </w:p>
        </w:tc>
        <w:tc>
          <w:tcPr>
            <w:tcW w:w="0" w:type="auto"/>
            <w:vAlign w:val="center"/>
            <w:hideMark/>
          </w:tcPr>
          <w:p w14:paraId="6A7B96C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opera contra la plataforma: opera contra el core tradicional por sus canales propios. Sus operaciones deben, no obstante, hacerse visibles a la plataforma (ADR-004)</w:t>
            </w:r>
          </w:p>
        </w:tc>
      </w:tr>
      <w:tr w:rsidR="000444D1" w:rsidRPr="000444D1" w14:paraId="57E1F7BC" w14:textId="77777777">
        <w:trPr>
          <w:tblCellSpacing w:w="15" w:type="dxa"/>
        </w:trPr>
        <w:tc>
          <w:tcPr>
            <w:tcW w:w="0" w:type="auto"/>
            <w:vAlign w:val="center"/>
            <w:hideMark/>
          </w:tcPr>
          <w:p w14:paraId="1A7829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Analista de cumplimiento</w:t>
            </w:r>
          </w:p>
        </w:tc>
        <w:tc>
          <w:tcPr>
            <w:tcW w:w="0" w:type="auto"/>
            <w:vAlign w:val="center"/>
            <w:hideMark/>
          </w:tcPr>
          <w:p w14:paraId="0ECD29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Riesgos, cumplimiento normativo y auditoría</w:t>
            </w:r>
          </w:p>
        </w:tc>
        <w:tc>
          <w:tcPr>
            <w:tcW w:w="0" w:type="auto"/>
            <w:vAlign w:val="center"/>
            <w:hideMark/>
          </w:tcPr>
          <w:p w14:paraId="6FCE49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trazas de operaciones y reportería regulatoria</w:t>
            </w:r>
          </w:p>
        </w:tc>
      </w:tr>
    </w:tbl>
    <w:p w14:paraId="12E9DDE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Observación sobre el personal interno.</w:t>
      </w:r>
      <w:r w:rsidRPr="000444D1">
        <w:rPr>
          <w:rFonts w:ascii="Times New Roman" w:eastAsia="Times New Roman" w:hAnsi="Times New Roman" w:cs="Times New Roman"/>
          <w:kern w:val="0"/>
          <w14:ligatures w14:val="none"/>
        </w:rPr>
        <w:t xml:space="preserve"> Es el actor que con más frecuencia se omite en este tipo de diseño. Su inclusión en el diagrama de contexto es lo que hace visible el problema que resuelve el ADR-004: existe un flujo de operaciones que nunca atraviesa la plataforma digital y que, sin embargo, debe ser observado por los sistemas de fraude, riesgos y por el modelo de lectura.</w:t>
      </w:r>
    </w:p>
    <w:p w14:paraId="30F2FBB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6.3 Sistemas circundantes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1694"/>
        <w:gridCol w:w="5802"/>
      </w:tblGrid>
      <w:tr w:rsidR="000444D1" w:rsidRPr="000444D1" w14:paraId="4BC7D27B" w14:textId="77777777">
        <w:trPr>
          <w:tblHeader/>
          <w:tblCellSpacing w:w="15" w:type="dxa"/>
        </w:trPr>
        <w:tc>
          <w:tcPr>
            <w:tcW w:w="0" w:type="auto"/>
            <w:vAlign w:val="center"/>
            <w:hideMark/>
          </w:tcPr>
          <w:p w14:paraId="74AFDE5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Sistema</w:t>
            </w:r>
          </w:p>
        </w:tc>
        <w:tc>
          <w:tcPr>
            <w:tcW w:w="0" w:type="auto"/>
            <w:vAlign w:val="center"/>
            <w:hideMark/>
          </w:tcPr>
          <w:p w14:paraId="19F2A72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Naturaleza</w:t>
            </w:r>
          </w:p>
        </w:tc>
        <w:tc>
          <w:tcPr>
            <w:tcW w:w="0" w:type="auto"/>
            <w:vAlign w:val="center"/>
            <w:hideMark/>
          </w:tcPr>
          <w:p w14:paraId="0D031EF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Relación con la plataforma</w:t>
            </w:r>
          </w:p>
        </w:tc>
      </w:tr>
      <w:tr w:rsidR="000444D1" w:rsidRPr="000444D1" w14:paraId="70622152" w14:textId="77777777">
        <w:trPr>
          <w:tblCellSpacing w:w="15" w:type="dxa"/>
        </w:trPr>
        <w:tc>
          <w:tcPr>
            <w:tcW w:w="0" w:type="auto"/>
            <w:vAlign w:val="center"/>
            <w:hideMark/>
          </w:tcPr>
          <w:p w14:paraId="4BE28F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bancario tradicional</w:t>
            </w:r>
          </w:p>
        </w:tc>
        <w:tc>
          <w:tcPr>
            <w:tcW w:w="0" w:type="auto"/>
            <w:vAlign w:val="center"/>
            <w:hideMark/>
          </w:tcPr>
          <w:p w14:paraId="4DBA34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Interno — System of Record</w:t>
            </w:r>
          </w:p>
        </w:tc>
        <w:tc>
          <w:tcPr>
            <w:tcW w:w="0" w:type="auto"/>
            <w:vAlign w:val="center"/>
            <w:hideMark/>
          </w:tcPr>
          <w:p w14:paraId="7B8675C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Débito y crédito autoritativo sobre productos tradicionales; SoR de datos maestros de cliente. Acceso vía MQ y archivos batch; captura de cambios sobre réplica</w:t>
            </w:r>
          </w:p>
        </w:tc>
      </w:tr>
      <w:tr w:rsidR="000444D1" w:rsidRPr="000444D1" w14:paraId="2DF1DEC7" w14:textId="77777777">
        <w:trPr>
          <w:tblCellSpacing w:w="15" w:type="dxa"/>
        </w:trPr>
        <w:tc>
          <w:tcPr>
            <w:tcW w:w="0" w:type="auto"/>
            <w:vAlign w:val="center"/>
            <w:hideMark/>
          </w:tcPr>
          <w:p w14:paraId="7FA53D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bancario digital</w:t>
            </w:r>
          </w:p>
        </w:tc>
        <w:tc>
          <w:tcPr>
            <w:tcW w:w="0" w:type="auto"/>
            <w:vAlign w:val="center"/>
            <w:hideMark/>
          </w:tcPr>
          <w:p w14:paraId="0137205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Interno — System of Record</w:t>
            </w:r>
          </w:p>
        </w:tc>
        <w:tc>
          <w:tcPr>
            <w:tcW w:w="0" w:type="auto"/>
            <w:vAlign w:val="center"/>
            <w:hideMark/>
          </w:tcPr>
          <w:p w14:paraId="3ADF920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Débito y crédito autoritativo sobre productos nativos digitales. Acceso vía API REST</w:t>
            </w:r>
          </w:p>
        </w:tc>
      </w:tr>
      <w:tr w:rsidR="000444D1" w:rsidRPr="000444D1" w14:paraId="4AC73804" w14:textId="77777777">
        <w:trPr>
          <w:tblCellSpacing w:w="15" w:type="dxa"/>
        </w:trPr>
        <w:tc>
          <w:tcPr>
            <w:tcW w:w="0" w:type="auto"/>
            <w:vAlign w:val="center"/>
            <w:hideMark/>
          </w:tcPr>
          <w:p w14:paraId="32FC3B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Motor de prevención de fraudes</w:t>
            </w:r>
          </w:p>
        </w:tc>
        <w:tc>
          <w:tcPr>
            <w:tcW w:w="0" w:type="auto"/>
            <w:vAlign w:val="center"/>
            <w:hideMark/>
          </w:tcPr>
          <w:p w14:paraId="11753B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Interno — transversal</w:t>
            </w:r>
          </w:p>
        </w:tc>
        <w:tc>
          <w:tcPr>
            <w:tcW w:w="0" w:type="auto"/>
            <w:vAlign w:val="center"/>
            <w:hideMark/>
          </w:tcPr>
          <w:p w14:paraId="598127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en línea de operaciones, con presupuesto de 300 ms (ADR-005); recibe eventos de realimentación</w:t>
            </w:r>
          </w:p>
        </w:tc>
      </w:tr>
      <w:tr w:rsidR="000444D1" w:rsidRPr="000444D1" w14:paraId="652F08CD" w14:textId="77777777">
        <w:trPr>
          <w:tblCellSpacing w:w="15" w:type="dxa"/>
        </w:trPr>
        <w:tc>
          <w:tcPr>
            <w:tcW w:w="0" w:type="auto"/>
            <w:vAlign w:val="center"/>
            <w:hideMark/>
          </w:tcPr>
          <w:p w14:paraId="57BCC4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Sistema de gestión de riesgos</w:t>
            </w:r>
          </w:p>
        </w:tc>
        <w:tc>
          <w:tcPr>
            <w:tcW w:w="0" w:type="auto"/>
            <w:vAlign w:val="center"/>
            <w:hideMark/>
          </w:tcPr>
          <w:p w14:paraId="7FBEBA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Interno — transversal</w:t>
            </w:r>
          </w:p>
        </w:tc>
        <w:tc>
          <w:tcPr>
            <w:tcW w:w="0" w:type="auto"/>
            <w:vAlign w:val="center"/>
            <w:hideMark/>
          </w:tcPr>
          <w:p w14:paraId="52FA3E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perfil y calificación de riesgo; se actualiza por eventos de actividad</w:t>
            </w:r>
          </w:p>
        </w:tc>
      </w:tr>
      <w:tr w:rsidR="000444D1" w:rsidRPr="000444D1" w14:paraId="1CD7D3DE" w14:textId="77777777">
        <w:trPr>
          <w:tblCellSpacing w:w="15" w:type="dxa"/>
        </w:trPr>
        <w:tc>
          <w:tcPr>
            <w:tcW w:w="0" w:type="auto"/>
            <w:vAlign w:val="center"/>
            <w:hideMark/>
          </w:tcPr>
          <w:p w14:paraId="587187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Terceros Open Finance (TPP)</w:t>
            </w:r>
          </w:p>
        </w:tc>
        <w:tc>
          <w:tcPr>
            <w:tcW w:w="0" w:type="auto"/>
            <w:vAlign w:val="center"/>
            <w:hideMark/>
          </w:tcPr>
          <w:p w14:paraId="167669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Externo</w:t>
            </w:r>
          </w:p>
        </w:tc>
        <w:tc>
          <w:tcPr>
            <w:tcW w:w="0" w:type="auto"/>
            <w:vAlign w:val="center"/>
            <w:hideMark/>
          </w:tcPr>
          <w:p w14:paraId="57B383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Consumen APIs externas bajo consentimiento explícito, granular y revocable</w:t>
            </w:r>
          </w:p>
        </w:tc>
      </w:tr>
      <w:tr w:rsidR="000444D1" w:rsidRPr="000444D1" w14:paraId="2A13290D" w14:textId="77777777">
        <w:trPr>
          <w:tblCellSpacing w:w="15" w:type="dxa"/>
        </w:trPr>
        <w:tc>
          <w:tcPr>
            <w:tcW w:w="0" w:type="auto"/>
            <w:vAlign w:val="center"/>
            <w:hideMark/>
          </w:tcPr>
          <w:p w14:paraId="1EE79FC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Redes de pago externas</w:t>
            </w:r>
          </w:p>
        </w:tc>
        <w:tc>
          <w:tcPr>
            <w:tcW w:w="0" w:type="auto"/>
            <w:vAlign w:val="center"/>
            <w:hideMark/>
          </w:tcPr>
          <w:p w14:paraId="36EA3F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Externo</w:t>
            </w:r>
          </w:p>
        </w:tc>
        <w:tc>
          <w:tcPr>
            <w:tcW w:w="0" w:type="auto"/>
            <w:vAlign w:val="center"/>
            <w:hideMark/>
          </w:tcPr>
          <w:p w14:paraId="5384D6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Liquidación interbancaria y procesamiento de tarjetas</w:t>
            </w:r>
          </w:p>
        </w:tc>
      </w:tr>
    </w:tbl>
    <w:p w14:paraId="3C1AAA25"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3BE7D366">
          <v:rect id="Horizontal Line 437"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FE1FC9"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7. Vista C4 — Nivel 2: Contenedores</w:t>
      </w:r>
    </w:p>
    <w:p w14:paraId="611653C2" w14:textId="42562636"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fldChar w:fldCharType="begin"/>
      </w:r>
      <w:r w:rsidRPr="000444D1">
        <w:rPr>
          <w:rFonts w:ascii="Times New Roman" w:eastAsia="Times New Roman" w:hAnsi="Times New Roman" w:cs="Times New Roman"/>
          <w:kern w:val="0"/>
          <w14:ligatures w14:val="none"/>
        </w:rPr>
        <w:instrText xml:space="preserve"> INCLUDEPICTURE "https://claude.ai/chat/diagramas/c4-nivel2-contenedores.png" \* MERGEFORMATINET </w:instrText>
      </w:r>
      <w:r w:rsidRPr="000444D1">
        <w:rPr>
          <w:rFonts w:ascii="Times New Roman" w:eastAsia="Times New Roman" w:hAnsi="Times New Roman" w:cs="Times New Roman"/>
          <w:kern w:val="0"/>
          <w14:ligatures w14:val="none"/>
        </w:rPr>
        <w:fldChar w:fldCharType="separate"/>
      </w:r>
      <w:r w:rsidRPr="000444D1">
        <w:rPr>
          <w:rFonts w:ascii="Times New Roman" w:eastAsia="Times New Roman" w:hAnsi="Times New Roman" w:cs="Times New Roman"/>
          <w:noProof/>
          <w:kern w:val="0"/>
          <w14:ligatures w14:val="none"/>
        </w:rPr>
        <mc:AlternateContent>
          <mc:Choice Requires="wps">
            <w:drawing>
              <wp:inline distT="0" distB="0" distL="0" distR="0" wp14:anchorId="637EDFB0" wp14:editId="5388CE10">
                <wp:extent cx="302260" cy="302260"/>
                <wp:effectExtent l="0" t="0" r="0" b="0"/>
                <wp:docPr id="1963591892" name="Rectangle 67" descr="Diagrama C4 nivel 2 — contenedo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F4129" id="Rectangle 67" o:spid="_x0000_s1026" alt="Diagrama C4 nivel 2 — contenedor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0444D1">
        <w:rPr>
          <w:rFonts w:ascii="Times New Roman" w:eastAsia="Times New Roman" w:hAnsi="Times New Roman" w:cs="Times New Roman"/>
          <w:kern w:val="0"/>
          <w14:ligatures w14:val="none"/>
        </w:rPr>
        <w:fldChar w:fldCharType="end"/>
      </w:r>
    </w:p>
    <w:p w14:paraId="30982F5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contenedor de este diagrama procede de la sección 5: los servicios de dominio corresponden uno a uno con la matriz 5.2, y los adaptadores con los elementos que 5.2 declara explícitamente como infraestructura y no como dominio. No se introduce aquí ningún componente que no haya sido justificado previamente.</w:t>
      </w:r>
    </w:p>
    <w:p w14:paraId="595CEBB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7.1 Canales y consumidores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2679"/>
        <w:gridCol w:w="4787"/>
      </w:tblGrid>
      <w:tr w:rsidR="000444D1" w:rsidRPr="000444D1" w14:paraId="7FC91200" w14:textId="77777777">
        <w:trPr>
          <w:tblHeader/>
          <w:tblCellSpacing w:w="15" w:type="dxa"/>
        </w:trPr>
        <w:tc>
          <w:tcPr>
            <w:tcW w:w="0" w:type="auto"/>
            <w:vAlign w:val="center"/>
            <w:hideMark/>
          </w:tcPr>
          <w:p w14:paraId="5CCC379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Contenedor</w:t>
            </w:r>
          </w:p>
        </w:tc>
        <w:tc>
          <w:tcPr>
            <w:tcW w:w="0" w:type="auto"/>
            <w:vAlign w:val="center"/>
            <w:hideMark/>
          </w:tcPr>
          <w:p w14:paraId="217D100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Tecnología</w:t>
            </w:r>
          </w:p>
        </w:tc>
        <w:tc>
          <w:tcPr>
            <w:tcW w:w="0" w:type="auto"/>
            <w:vAlign w:val="center"/>
            <w:hideMark/>
          </w:tcPr>
          <w:p w14:paraId="55DC4ED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w:t>
            </w:r>
          </w:p>
        </w:tc>
      </w:tr>
      <w:tr w:rsidR="000444D1" w:rsidRPr="000444D1" w14:paraId="5F75FEEB" w14:textId="77777777">
        <w:trPr>
          <w:tblCellSpacing w:w="15" w:type="dxa"/>
        </w:trPr>
        <w:tc>
          <w:tcPr>
            <w:tcW w:w="0" w:type="auto"/>
            <w:vAlign w:val="center"/>
            <w:hideMark/>
          </w:tcPr>
          <w:p w14:paraId="5FC474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App móvil</w:t>
            </w:r>
          </w:p>
        </w:tc>
        <w:tc>
          <w:tcPr>
            <w:tcW w:w="0" w:type="auto"/>
            <w:vAlign w:val="center"/>
            <w:hideMark/>
          </w:tcPr>
          <w:p w14:paraId="0EC663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Nativa iOS / Android</w:t>
            </w:r>
          </w:p>
        </w:tc>
        <w:tc>
          <w:tcPr>
            <w:tcW w:w="0" w:type="auto"/>
            <w:vAlign w:val="center"/>
            <w:hideMark/>
          </w:tcPr>
          <w:p w14:paraId="6BDEDA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Presentación e interacción. Sin lógica de negocio</w:t>
            </w:r>
          </w:p>
        </w:tc>
      </w:tr>
      <w:tr w:rsidR="000444D1" w:rsidRPr="000444D1" w14:paraId="02B2C9DF" w14:textId="77777777">
        <w:trPr>
          <w:tblCellSpacing w:w="15" w:type="dxa"/>
        </w:trPr>
        <w:tc>
          <w:tcPr>
            <w:tcW w:w="0" w:type="auto"/>
            <w:vAlign w:val="center"/>
            <w:hideMark/>
          </w:tcPr>
          <w:p w14:paraId="4CC172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Banca web</w:t>
            </w:r>
          </w:p>
        </w:tc>
        <w:tc>
          <w:tcPr>
            <w:tcW w:w="0" w:type="auto"/>
            <w:vAlign w:val="center"/>
            <w:hideMark/>
          </w:tcPr>
          <w:p w14:paraId="345794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Aplicación de página única</w:t>
            </w:r>
          </w:p>
        </w:tc>
        <w:tc>
          <w:tcPr>
            <w:tcW w:w="0" w:type="auto"/>
            <w:vAlign w:val="center"/>
            <w:hideMark/>
          </w:tcPr>
          <w:p w14:paraId="1EFA484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Presentación e interacción. Sin lógica de negocio</w:t>
            </w:r>
          </w:p>
        </w:tc>
      </w:tr>
      <w:tr w:rsidR="000444D1" w:rsidRPr="000444D1" w14:paraId="6491B0FD" w14:textId="77777777">
        <w:trPr>
          <w:tblCellSpacing w:w="15" w:type="dxa"/>
        </w:trPr>
        <w:tc>
          <w:tcPr>
            <w:tcW w:w="0" w:type="auto"/>
            <w:vAlign w:val="center"/>
            <w:hideMark/>
          </w:tcPr>
          <w:p w14:paraId="1FF724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Tercero (TPP)</w:t>
            </w:r>
          </w:p>
        </w:tc>
        <w:tc>
          <w:tcPr>
            <w:tcW w:w="0" w:type="auto"/>
            <w:vAlign w:val="center"/>
            <w:hideMark/>
          </w:tcPr>
          <w:p w14:paraId="674D01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Externo</w:t>
            </w:r>
          </w:p>
        </w:tc>
        <w:tc>
          <w:tcPr>
            <w:tcW w:w="0" w:type="auto"/>
            <w:vAlign w:val="center"/>
            <w:hideMark/>
          </w:tcPr>
          <w:p w14:paraId="10493C0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 de las APIs de Open Finance</w:t>
            </w:r>
          </w:p>
        </w:tc>
      </w:tr>
    </w:tbl>
    <w:p w14:paraId="443FB3D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7.2 Borde e identidad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434"/>
        <w:gridCol w:w="6184"/>
      </w:tblGrid>
      <w:tr w:rsidR="000444D1" w:rsidRPr="000444D1" w14:paraId="584925D1" w14:textId="77777777">
        <w:trPr>
          <w:tblHeader/>
          <w:tblCellSpacing w:w="15" w:type="dxa"/>
        </w:trPr>
        <w:tc>
          <w:tcPr>
            <w:tcW w:w="0" w:type="auto"/>
            <w:vAlign w:val="center"/>
            <w:hideMark/>
          </w:tcPr>
          <w:p w14:paraId="5AE27E4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Contenedor</w:t>
            </w:r>
          </w:p>
        </w:tc>
        <w:tc>
          <w:tcPr>
            <w:tcW w:w="0" w:type="auto"/>
            <w:vAlign w:val="center"/>
            <w:hideMark/>
          </w:tcPr>
          <w:p w14:paraId="3E13D88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Tecnología</w:t>
            </w:r>
          </w:p>
        </w:tc>
        <w:tc>
          <w:tcPr>
            <w:tcW w:w="0" w:type="auto"/>
            <w:vAlign w:val="center"/>
            <w:hideMark/>
          </w:tcPr>
          <w:p w14:paraId="1A660E8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w:t>
            </w:r>
          </w:p>
        </w:tc>
      </w:tr>
      <w:tr w:rsidR="000444D1" w:rsidRPr="000444D1" w14:paraId="6FE1B60B" w14:textId="77777777">
        <w:trPr>
          <w:tblCellSpacing w:w="15" w:type="dxa"/>
        </w:trPr>
        <w:tc>
          <w:tcPr>
            <w:tcW w:w="0" w:type="auto"/>
            <w:vAlign w:val="center"/>
            <w:hideMark/>
          </w:tcPr>
          <w:p w14:paraId="093CA0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Gateway externo</w:t>
            </w:r>
          </w:p>
        </w:tc>
        <w:tc>
          <w:tcPr>
            <w:tcW w:w="0" w:type="auto"/>
            <w:vAlign w:val="center"/>
            <w:hideMark/>
          </w:tcPr>
          <w:p w14:paraId="75EC56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Manager</w:t>
            </w:r>
          </w:p>
        </w:tc>
        <w:tc>
          <w:tcPr>
            <w:tcW w:w="0" w:type="auto"/>
            <w:vAlign w:val="center"/>
            <w:hideMark/>
          </w:tcPr>
          <w:p w14:paraId="06B1D9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Exposición de APIs de Open Finance: mTLS, perfil de seguridad FAPI, validación de consentimiento vigente, cuotas y límites por tercero</w:t>
            </w:r>
          </w:p>
        </w:tc>
      </w:tr>
      <w:tr w:rsidR="000444D1" w:rsidRPr="000444D1" w14:paraId="5C197CDA" w14:textId="77777777">
        <w:trPr>
          <w:tblCellSpacing w:w="15" w:type="dxa"/>
        </w:trPr>
        <w:tc>
          <w:tcPr>
            <w:tcW w:w="0" w:type="auto"/>
            <w:vAlign w:val="center"/>
            <w:hideMark/>
          </w:tcPr>
          <w:p w14:paraId="4111C5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Gateway interno</w:t>
            </w:r>
          </w:p>
        </w:tc>
        <w:tc>
          <w:tcPr>
            <w:tcW w:w="0" w:type="auto"/>
            <w:vAlign w:val="center"/>
            <w:hideMark/>
          </w:tcPr>
          <w:p w14:paraId="61DD07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Gateway</w:t>
            </w:r>
          </w:p>
        </w:tc>
        <w:tc>
          <w:tcPr>
            <w:tcW w:w="0" w:type="auto"/>
            <w:vAlign w:val="center"/>
            <w:hideMark/>
          </w:tcPr>
          <w:p w14:paraId="7774EF9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Enrutamiento, validación de token, límite de tasa y transformación de protocolo para los canales propios</w:t>
            </w:r>
          </w:p>
        </w:tc>
      </w:tr>
      <w:tr w:rsidR="000444D1" w:rsidRPr="000444D1" w14:paraId="1C06822E" w14:textId="77777777">
        <w:trPr>
          <w:tblCellSpacing w:w="15" w:type="dxa"/>
        </w:trPr>
        <w:tc>
          <w:tcPr>
            <w:tcW w:w="0" w:type="auto"/>
            <w:vAlign w:val="center"/>
            <w:hideMark/>
          </w:tcPr>
          <w:p w14:paraId="58D7AC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Proveedor de identidad</w:t>
            </w:r>
          </w:p>
        </w:tc>
        <w:tc>
          <w:tcPr>
            <w:tcW w:w="0" w:type="auto"/>
            <w:vAlign w:val="center"/>
            <w:hideMark/>
          </w:tcPr>
          <w:p w14:paraId="64F469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OAuth 2.0 / OIDC</w:t>
            </w:r>
          </w:p>
        </w:tc>
        <w:tc>
          <w:tcPr>
            <w:tcW w:w="0" w:type="auto"/>
            <w:vAlign w:val="center"/>
            <w:hideMark/>
          </w:tcPr>
          <w:p w14:paraId="0F71CE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Autenticación de clientes, de terceros y de cargas de trabajo; emisión de tokens</w:t>
            </w:r>
          </w:p>
        </w:tc>
      </w:tr>
    </w:tbl>
    <w:p w14:paraId="40BCE19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Aplicación del principio P5.</w:t>
      </w:r>
      <w:r w:rsidRPr="000444D1">
        <w:rPr>
          <w:rFonts w:ascii="Times New Roman" w:eastAsia="Times New Roman" w:hAnsi="Times New Roman" w:cs="Times New Roman"/>
          <w:kern w:val="0"/>
          <w14:ligatures w14:val="none"/>
        </w:rPr>
        <w:t xml:space="preserve"> Ambos gateways ejecutan exclusivamente responsabilidades transversales de borde. La validación de consentimiento que realiza el gateway externo es una </w:t>
      </w:r>
      <w:r w:rsidRPr="000444D1">
        <w:rPr>
          <w:rFonts w:ascii="Times New Roman" w:eastAsia="Times New Roman" w:hAnsi="Times New Roman" w:cs="Times New Roman"/>
          <w:b/>
          <w:bCs/>
          <w:kern w:val="0"/>
          <w14:ligatures w14:val="none"/>
        </w:rPr>
        <w:t>verificación delegada</w:t>
      </w:r>
      <w:r w:rsidRPr="000444D1">
        <w:rPr>
          <w:rFonts w:ascii="Times New Roman" w:eastAsia="Times New Roman" w:hAnsi="Times New Roman" w:cs="Times New Roman"/>
          <w:kern w:val="0"/>
          <w14:ligatures w14:val="none"/>
        </w:rPr>
        <w:t>: consulta al servicio de consentimientos (D7) y actúa según su respuesta, sin implementar la regla de negocio. La distinción es relevante — la lógica de consentimiento reside en D7, que es su propietario; el gateway únicamente la hace cumplir en el perímetro.</w:t>
      </w:r>
    </w:p>
    <w:p w14:paraId="2928727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separación en dos gateways responde a que sus perfiles de seguridad, ciclo de vida y audiencia son distintos: el externo está sujeto a normativa de banca abierta y a terceros no confiables; el interno atiende canales propios. Unificarlos obligaría a aplicar el perfil más estricto a todo el tráfico o a introducir excepciones dentro de un mismo componente.</w:t>
      </w:r>
    </w:p>
    <w:p w14:paraId="0FBC3A0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7.3 Experiencia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6340"/>
      </w:tblGrid>
      <w:tr w:rsidR="000444D1" w:rsidRPr="000444D1" w14:paraId="456FA22B" w14:textId="77777777">
        <w:trPr>
          <w:tblHeader/>
          <w:tblCellSpacing w:w="15" w:type="dxa"/>
        </w:trPr>
        <w:tc>
          <w:tcPr>
            <w:tcW w:w="0" w:type="auto"/>
            <w:vAlign w:val="center"/>
            <w:hideMark/>
          </w:tcPr>
          <w:p w14:paraId="430B604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Contenedor</w:t>
            </w:r>
          </w:p>
        </w:tc>
        <w:tc>
          <w:tcPr>
            <w:tcW w:w="0" w:type="auto"/>
            <w:vAlign w:val="center"/>
            <w:hideMark/>
          </w:tcPr>
          <w:p w14:paraId="267A85E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w:t>
            </w:r>
          </w:p>
        </w:tc>
      </w:tr>
      <w:tr w:rsidR="000444D1" w:rsidRPr="000444D1" w14:paraId="73945EF6" w14:textId="77777777">
        <w:trPr>
          <w:tblCellSpacing w:w="15" w:type="dxa"/>
        </w:trPr>
        <w:tc>
          <w:tcPr>
            <w:tcW w:w="0" w:type="auto"/>
            <w:vAlign w:val="center"/>
            <w:hideMark/>
          </w:tcPr>
          <w:p w14:paraId="66AD2E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BFF móvil</w:t>
            </w:r>
          </w:p>
        </w:tc>
        <w:tc>
          <w:tcPr>
            <w:tcW w:w="0" w:type="auto"/>
            <w:vAlign w:val="center"/>
            <w:hideMark/>
          </w:tcPr>
          <w:p w14:paraId="1CE761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Composición y adaptación de respuestas para la aplicación móvil</w:t>
            </w:r>
          </w:p>
        </w:tc>
      </w:tr>
      <w:tr w:rsidR="000444D1" w:rsidRPr="000444D1" w14:paraId="10E6B3A6" w14:textId="77777777">
        <w:trPr>
          <w:tblCellSpacing w:w="15" w:type="dxa"/>
        </w:trPr>
        <w:tc>
          <w:tcPr>
            <w:tcW w:w="0" w:type="auto"/>
            <w:vAlign w:val="center"/>
            <w:hideMark/>
          </w:tcPr>
          <w:p w14:paraId="1E0C00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BFF web</w:t>
            </w:r>
          </w:p>
        </w:tc>
        <w:tc>
          <w:tcPr>
            <w:tcW w:w="0" w:type="auto"/>
            <w:vAlign w:val="center"/>
            <w:hideMark/>
          </w:tcPr>
          <w:p w14:paraId="4D6AAF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Composición y adaptación de respuestas para banca web</w:t>
            </w:r>
          </w:p>
        </w:tc>
      </w:tr>
    </w:tbl>
    <w:p w14:paraId="7D86A3E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Los BFF materializan el principio de </w:t>
      </w:r>
      <w:r w:rsidRPr="000444D1">
        <w:rPr>
          <w:rFonts w:ascii="Times New Roman" w:eastAsia="Times New Roman" w:hAnsi="Times New Roman" w:cs="Times New Roman"/>
          <w:b/>
          <w:bCs/>
          <w:kern w:val="0"/>
          <w14:ligatures w14:val="none"/>
        </w:rPr>
        <w:t>segregación de interfaces</w:t>
      </w:r>
      <w:r w:rsidRPr="000444D1">
        <w:rPr>
          <w:rFonts w:ascii="Times New Roman" w:eastAsia="Times New Roman" w:hAnsi="Times New Roman" w:cs="Times New Roman"/>
          <w:kern w:val="0"/>
          <w14:ligatures w14:val="none"/>
        </w:rPr>
        <w:t>: cada canal consume la interfaz que necesita, en lugar de una API universal que obligue a todos los consumidores a conocer el modelo completo. Los BFF componen, no deciden: no contienen reglas de negocio ni acceden a almacenes de dominio.</w:t>
      </w:r>
    </w:p>
    <w:p w14:paraId="314B6C8D"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7.4 Servicios de dominio</w:t>
      </w:r>
    </w:p>
    <w:p w14:paraId="3590329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Nueve contenedores, correspondientes a los dominios D1 a D9 de la sección 5.2. Cada uno con almacén privado; ninguno comparte base de datos con otro.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2864"/>
        <w:gridCol w:w="4251"/>
      </w:tblGrid>
      <w:tr w:rsidR="000444D1" w:rsidRPr="000444D1" w14:paraId="3D89187E" w14:textId="77777777">
        <w:trPr>
          <w:tblHeader/>
          <w:tblCellSpacing w:w="15" w:type="dxa"/>
        </w:trPr>
        <w:tc>
          <w:tcPr>
            <w:tcW w:w="0" w:type="auto"/>
            <w:vAlign w:val="center"/>
            <w:hideMark/>
          </w:tcPr>
          <w:p w14:paraId="77F0BA3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Etiqueta en el diagrama</w:t>
            </w:r>
          </w:p>
        </w:tc>
        <w:tc>
          <w:tcPr>
            <w:tcW w:w="0" w:type="auto"/>
            <w:vAlign w:val="center"/>
            <w:hideMark/>
          </w:tcPr>
          <w:p w14:paraId="6925C6F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Dominio</w:t>
            </w:r>
          </w:p>
        </w:tc>
        <w:tc>
          <w:tcPr>
            <w:tcW w:w="0" w:type="auto"/>
            <w:vAlign w:val="center"/>
            <w:hideMark/>
          </w:tcPr>
          <w:p w14:paraId="695002D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Almacén propio</w:t>
            </w:r>
          </w:p>
        </w:tc>
      </w:tr>
      <w:tr w:rsidR="000444D1" w:rsidRPr="000444D1" w14:paraId="73634C85" w14:textId="77777777">
        <w:trPr>
          <w:tblCellSpacing w:w="15" w:type="dxa"/>
        </w:trPr>
        <w:tc>
          <w:tcPr>
            <w:tcW w:w="0" w:type="auto"/>
            <w:vAlign w:val="center"/>
            <w:hideMark/>
          </w:tcPr>
          <w:p w14:paraId="4F7D6A5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Datos de cliente</w:t>
            </w:r>
          </w:p>
        </w:tc>
        <w:tc>
          <w:tcPr>
            <w:tcW w:w="0" w:type="auto"/>
            <w:vAlign w:val="center"/>
            <w:hideMark/>
          </w:tcPr>
          <w:p w14:paraId="1964AF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 — Party Reference Data Directory</w:t>
            </w:r>
          </w:p>
        </w:tc>
        <w:tc>
          <w:tcPr>
            <w:tcW w:w="0" w:type="auto"/>
            <w:vAlign w:val="center"/>
            <w:hideMark/>
          </w:tcPr>
          <w:p w14:paraId="46B6F1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(mediación)</w:t>
            </w:r>
          </w:p>
        </w:tc>
      </w:tr>
      <w:tr w:rsidR="000444D1" w:rsidRPr="000444D1" w14:paraId="1C16C3B7" w14:textId="77777777">
        <w:trPr>
          <w:tblCellSpacing w:w="15" w:type="dxa"/>
        </w:trPr>
        <w:tc>
          <w:tcPr>
            <w:tcW w:w="0" w:type="auto"/>
            <w:vAlign w:val="center"/>
            <w:hideMark/>
          </w:tcPr>
          <w:p w14:paraId="437B8B1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Catálogo productos</w:t>
            </w:r>
          </w:p>
        </w:tc>
        <w:tc>
          <w:tcPr>
            <w:tcW w:w="0" w:type="auto"/>
            <w:vAlign w:val="center"/>
            <w:hideMark/>
          </w:tcPr>
          <w:p w14:paraId="7594E10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D2 — Product Directory</w:t>
            </w:r>
          </w:p>
        </w:tc>
        <w:tc>
          <w:tcPr>
            <w:tcW w:w="0" w:type="auto"/>
            <w:vAlign w:val="center"/>
            <w:hideMark/>
          </w:tcPr>
          <w:p w14:paraId="6B89AF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69300D0E" w14:textId="77777777">
        <w:trPr>
          <w:tblCellSpacing w:w="15" w:type="dxa"/>
        </w:trPr>
        <w:tc>
          <w:tcPr>
            <w:tcW w:w="0" w:type="auto"/>
            <w:vAlign w:val="center"/>
            <w:hideMark/>
          </w:tcPr>
          <w:p w14:paraId="305EF3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Posición cliente</w:t>
            </w:r>
          </w:p>
        </w:tc>
        <w:tc>
          <w:tcPr>
            <w:tcW w:w="0" w:type="auto"/>
            <w:vAlign w:val="center"/>
            <w:hideMark/>
          </w:tcPr>
          <w:p w14:paraId="45B0AC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 Customer Position</w:t>
            </w:r>
          </w:p>
        </w:tc>
        <w:tc>
          <w:tcPr>
            <w:tcW w:w="0" w:type="auto"/>
            <w:vAlign w:val="center"/>
            <w:hideMark/>
          </w:tcPr>
          <w:p w14:paraId="25DB4D4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 (</w:t>
            </w:r>
            <w:r w:rsidRPr="000444D1">
              <w:rPr>
                <w:rFonts w:ascii="Times New Roman" w:eastAsia="Times New Roman" w:hAnsi="Times New Roman" w:cs="Times New Roman"/>
                <w:b/>
                <w:bCs/>
                <w:kern w:val="0"/>
                <w14:ligatures w14:val="none"/>
              </w:rPr>
              <w:t>proyección</w:t>
            </w:r>
            <w:r w:rsidRPr="000444D1">
              <w:rPr>
                <w:rFonts w:ascii="Times New Roman" w:eastAsia="Times New Roman" w:hAnsi="Times New Roman" w:cs="Times New Roman"/>
                <w:kern w:val="0"/>
                <w14:ligatures w14:val="none"/>
              </w:rPr>
              <w:t>, reconstruible por reproducción de eventos)</w:t>
            </w:r>
          </w:p>
        </w:tc>
      </w:tr>
      <w:tr w:rsidR="000444D1" w:rsidRPr="000444D1" w14:paraId="5A9EF81D" w14:textId="77777777">
        <w:trPr>
          <w:tblCellSpacing w:w="15" w:type="dxa"/>
        </w:trPr>
        <w:tc>
          <w:tcPr>
            <w:tcW w:w="0" w:type="auto"/>
            <w:vAlign w:val="center"/>
            <w:hideMark/>
          </w:tcPr>
          <w:p w14:paraId="7371CC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Órdenes de pago</w:t>
            </w:r>
          </w:p>
        </w:tc>
        <w:tc>
          <w:tcPr>
            <w:tcW w:w="0" w:type="auto"/>
            <w:vAlign w:val="center"/>
            <w:hideMark/>
          </w:tcPr>
          <w:p w14:paraId="6FC87C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 Payment Order</w:t>
            </w:r>
          </w:p>
        </w:tc>
        <w:tc>
          <w:tcPr>
            <w:tcW w:w="0" w:type="auto"/>
            <w:vAlign w:val="center"/>
            <w:hideMark/>
          </w:tcPr>
          <w:p w14:paraId="794EAF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48906EBD" w14:textId="77777777">
        <w:trPr>
          <w:tblCellSpacing w:w="15" w:type="dxa"/>
        </w:trPr>
        <w:tc>
          <w:tcPr>
            <w:tcW w:w="0" w:type="auto"/>
            <w:vAlign w:val="center"/>
            <w:hideMark/>
          </w:tcPr>
          <w:p w14:paraId="1FA161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fraude</w:t>
            </w:r>
          </w:p>
        </w:tc>
        <w:tc>
          <w:tcPr>
            <w:tcW w:w="0" w:type="auto"/>
            <w:vAlign w:val="center"/>
            <w:hideMark/>
          </w:tcPr>
          <w:p w14:paraId="0D2FEE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 — Fraud Evaluation</w:t>
            </w:r>
          </w:p>
        </w:tc>
        <w:tc>
          <w:tcPr>
            <w:tcW w:w="0" w:type="auto"/>
            <w:vAlign w:val="center"/>
            <w:hideMark/>
          </w:tcPr>
          <w:p w14:paraId="02D1E0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(mediación)</w:t>
            </w:r>
          </w:p>
        </w:tc>
      </w:tr>
      <w:tr w:rsidR="000444D1" w:rsidRPr="000444D1" w14:paraId="01AAA3BA" w14:textId="77777777">
        <w:trPr>
          <w:tblCellSpacing w:w="15" w:type="dxa"/>
        </w:trPr>
        <w:tc>
          <w:tcPr>
            <w:tcW w:w="0" w:type="auto"/>
            <w:vAlign w:val="center"/>
            <w:hideMark/>
          </w:tcPr>
          <w:p w14:paraId="67F522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riesgo</w:t>
            </w:r>
          </w:p>
        </w:tc>
        <w:tc>
          <w:tcPr>
            <w:tcW w:w="0" w:type="auto"/>
            <w:vAlign w:val="center"/>
            <w:hideMark/>
          </w:tcPr>
          <w:p w14:paraId="422DF1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D6 — Customer Credit Rating</w:t>
            </w:r>
          </w:p>
        </w:tc>
        <w:tc>
          <w:tcPr>
            <w:tcW w:w="0" w:type="auto"/>
            <w:vAlign w:val="center"/>
            <w:hideMark/>
          </w:tcPr>
          <w:p w14:paraId="779DF4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(mediación)</w:t>
            </w:r>
          </w:p>
        </w:tc>
      </w:tr>
      <w:tr w:rsidR="000444D1" w:rsidRPr="000444D1" w14:paraId="3B13AA1F" w14:textId="77777777">
        <w:trPr>
          <w:tblCellSpacing w:w="15" w:type="dxa"/>
        </w:trPr>
        <w:tc>
          <w:tcPr>
            <w:tcW w:w="0" w:type="auto"/>
            <w:vAlign w:val="center"/>
            <w:hideMark/>
          </w:tcPr>
          <w:p w14:paraId="0A57CA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Consentimientos</w:t>
            </w:r>
          </w:p>
        </w:tc>
        <w:tc>
          <w:tcPr>
            <w:tcW w:w="0" w:type="auto"/>
            <w:vAlign w:val="center"/>
            <w:hideMark/>
          </w:tcPr>
          <w:p w14:paraId="64EF000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 extensión al marco BIAN</w:t>
            </w:r>
          </w:p>
        </w:tc>
        <w:tc>
          <w:tcPr>
            <w:tcW w:w="0" w:type="auto"/>
            <w:vAlign w:val="center"/>
            <w:hideMark/>
          </w:tcPr>
          <w:p w14:paraId="3FE123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43997769" w14:textId="77777777">
        <w:trPr>
          <w:tblCellSpacing w:w="15" w:type="dxa"/>
        </w:trPr>
        <w:tc>
          <w:tcPr>
            <w:tcW w:w="0" w:type="auto"/>
            <w:vAlign w:val="center"/>
            <w:hideMark/>
          </w:tcPr>
          <w:p w14:paraId="7C7231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Historial eventos</w:t>
            </w:r>
          </w:p>
        </w:tc>
        <w:tc>
          <w:tcPr>
            <w:tcW w:w="0" w:type="auto"/>
            <w:vAlign w:val="center"/>
            <w:hideMark/>
          </w:tcPr>
          <w:p w14:paraId="43EB0E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 Customer Event History</w:t>
            </w:r>
          </w:p>
        </w:tc>
        <w:tc>
          <w:tcPr>
            <w:tcW w:w="0" w:type="auto"/>
            <w:vAlign w:val="center"/>
            <w:hideMark/>
          </w:tcPr>
          <w:p w14:paraId="2B9D10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 (</w:t>
            </w:r>
            <w:r w:rsidRPr="000444D1">
              <w:rPr>
                <w:rFonts w:ascii="Times New Roman" w:eastAsia="Times New Roman" w:hAnsi="Times New Roman" w:cs="Times New Roman"/>
                <w:b/>
                <w:bCs/>
                <w:kern w:val="0"/>
                <w14:ligatures w14:val="none"/>
              </w:rPr>
              <w:t>escritura única</w:t>
            </w:r>
            <w:r w:rsidRPr="000444D1">
              <w:rPr>
                <w:rFonts w:ascii="Times New Roman" w:eastAsia="Times New Roman" w:hAnsi="Times New Roman" w:cs="Times New Roman"/>
                <w:kern w:val="0"/>
                <w14:ligatures w14:val="none"/>
              </w:rPr>
              <w:t>)</w:t>
            </w:r>
          </w:p>
        </w:tc>
      </w:tr>
      <w:tr w:rsidR="000444D1" w:rsidRPr="000444D1" w14:paraId="353F5436" w14:textId="77777777">
        <w:trPr>
          <w:tblCellSpacing w:w="15" w:type="dxa"/>
        </w:trPr>
        <w:tc>
          <w:tcPr>
            <w:tcW w:w="0" w:type="auto"/>
            <w:vAlign w:val="center"/>
            <w:hideMark/>
          </w:tcPr>
          <w:p w14:paraId="7186DE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Entitlements</w:t>
            </w:r>
          </w:p>
        </w:tc>
        <w:tc>
          <w:tcPr>
            <w:tcW w:w="0" w:type="auto"/>
            <w:vAlign w:val="center"/>
            <w:hideMark/>
          </w:tcPr>
          <w:p w14:paraId="5E060E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D9 — Customer Access Entitlement</w:t>
            </w:r>
          </w:p>
        </w:tc>
        <w:tc>
          <w:tcPr>
            <w:tcW w:w="0" w:type="auto"/>
            <w:vAlign w:val="center"/>
            <w:hideMark/>
          </w:tcPr>
          <w:p w14:paraId="29657B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bl>
    <w:p w14:paraId="598E6160"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7.5 Mediación e integración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7570"/>
      </w:tblGrid>
      <w:tr w:rsidR="000444D1" w:rsidRPr="000444D1" w14:paraId="3943F88B" w14:textId="77777777">
        <w:trPr>
          <w:tblHeader/>
          <w:tblCellSpacing w:w="15" w:type="dxa"/>
        </w:trPr>
        <w:tc>
          <w:tcPr>
            <w:tcW w:w="0" w:type="auto"/>
            <w:vAlign w:val="center"/>
            <w:hideMark/>
          </w:tcPr>
          <w:p w14:paraId="463A7DD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Contenedor</w:t>
            </w:r>
          </w:p>
        </w:tc>
        <w:tc>
          <w:tcPr>
            <w:tcW w:w="0" w:type="auto"/>
            <w:vAlign w:val="center"/>
            <w:hideMark/>
          </w:tcPr>
          <w:p w14:paraId="4CFA4C0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w:t>
            </w:r>
          </w:p>
        </w:tc>
      </w:tr>
      <w:tr w:rsidR="000444D1" w:rsidRPr="000444D1" w14:paraId="123B6748" w14:textId="77777777">
        <w:trPr>
          <w:tblCellSpacing w:w="15" w:type="dxa"/>
        </w:trPr>
        <w:tc>
          <w:tcPr>
            <w:tcW w:w="0" w:type="auto"/>
            <w:vAlign w:val="center"/>
            <w:hideMark/>
          </w:tcPr>
          <w:p w14:paraId="7FA2CF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Bus de eventos</w:t>
            </w:r>
          </w:p>
        </w:tc>
        <w:tc>
          <w:tcPr>
            <w:tcW w:w="0" w:type="auto"/>
            <w:vAlign w:val="center"/>
            <w:hideMark/>
          </w:tcPr>
          <w:p w14:paraId="23F893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Transporte asíncrono de eventos de dominio. Particionado por identificador de cliente para garantizar ordenamiento por cliente; reintentos con retroceso y cola de mensajes fallidos</w:t>
            </w:r>
          </w:p>
        </w:tc>
      </w:tr>
      <w:tr w:rsidR="000444D1" w:rsidRPr="000444D1" w14:paraId="25181766" w14:textId="77777777">
        <w:trPr>
          <w:tblCellSpacing w:w="15" w:type="dxa"/>
        </w:trPr>
        <w:tc>
          <w:tcPr>
            <w:tcW w:w="0" w:type="auto"/>
            <w:vAlign w:val="center"/>
            <w:hideMark/>
          </w:tcPr>
          <w:p w14:paraId="0BF5E39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ACL del core tradicional</w:t>
            </w:r>
          </w:p>
        </w:tc>
        <w:tc>
          <w:tcPr>
            <w:tcW w:w="0" w:type="auto"/>
            <w:vAlign w:val="center"/>
            <w:hideMark/>
          </w:tcPr>
          <w:p w14:paraId="7329C9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Capa anticorrupción. Traduce el modelo, los códigos y los formatos del core tradicional a los puertos canónicos; emite un evento de dominio tras cada operación que él mismo origina</w:t>
            </w:r>
          </w:p>
        </w:tc>
      </w:tr>
      <w:tr w:rsidR="000444D1" w:rsidRPr="000444D1" w14:paraId="5433C840" w14:textId="77777777">
        <w:trPr>
          <w:tblCellSpacing w:w="15" w:type="dxa"/>
        </w:trPr>
        <w:tc>
          <w:tcPr>
            <w:tcW w:w="0" w:type="auto"/>
            <w:vAlign w:val="center"/>
            <w:hideMark/>
          </w:tcPr>
          <w:p w14:paraId="2846592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Adaptador core digital</w:t>
            </w:r>
          </w:p>
        </w:tc>
        <w:tc>
          <w:tcPr>
            <w:tcW w:w="0" w:type="auto"/>
            <w:vAlign w:val="center"/>
            <w:hideMark/>
          </w:tcPr>
          <w:p w14:paraId="2DD80B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Traduce la API REST del core digital a los mismos puertos canónicos</w:t>
            </w:r>
          </w:p>
        </w:tc>
      </w:tr>
      <w:tr w:rsidR="000444D1" w:rsidRPr="000444D1" w14:paraId="0DFC9DDB" w14:textId="77777777">
        <w:trPr>
          <w:tblCellSpacing w:w="15" w:type="dxa"/>
        </w:trPr>
        <w:tc>
          <w:tcPr>
            <w:tcW w:w="0" w:type="auto"/>
            <w:vAlign w:val="center"/>
            <w:hideMark/>
          </w:tcPr>
          <w:p w14:paraId="619615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Adaptador redes de pago</w:t>
            </w:r>
          </w:p>
        </w:tc>
        <w:tc>
          <w:tcPr>
            <w:tcW w:w="0" w:type="auto"/>
            <w:vAlign w:val="center"/>
            <w:hideMark/>
          </w:tcPr>
          <w:p w14:paraId="55CBFE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Traduce a ISO 20022 y a los protocolos de las redes externas</w:t>
            </w:r>
          </w:p>
        </w:tc>
      </w:tr>
      <w:tr w:rsidR="000444D1" w:rsidRPr="000444D1" w14:paraId="1A665083" w14:textId="77777777">
        <w:trPr>
          <w:tblCellSpacing w:w="15" w:type="dxa"/>
        </w:trPr>
        <w:tc>
          <w:tcPr>
            <w:tcW w:w="0" w:type="auto"/>
            <w:vAlign w:val="center"/>
            <w:hideMark/>
          </w:tcPr>
          <w:p w14:paraId="2F4097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CDC del core tradicional</w:t>
            </w:r>
          </w:p>
        </w:tc>
        <w:tc>
          <w:tcPr>
            <w:tcW w:w="0" w:type="auto"/>
            <w:vAlign w:val="center"/>
            <w:hideMark/>
          </w:tcPr>
          <w:p w14:paraId="5C112F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Captura de cambios sobre la réplica del core tradicional. Cubre las operaciones </w:t>
            </w:r>
            <w:r w:rsidRPr="000444D1">
              <w:rPr>
                <w:rFonts w:ascii="Times New Roman" w:eastAsia="Times New Roman" w:hAnsi="Times New Roman" w:cs="Times New Roman"/>
                <w:b/>
                <w:bCs/>
                <w:kern w:val="0"/>
                <w14:ligatures w14:val="none"/>
              </w:rPr>
              <w:t>no originadas en canales digitales</w:t>
            </w:r>
            <w:r w:rsidRPr="000444D1">
              <w:rPr>
                <w:rFonts w:ascii="Times New Roman" w:eastAsia="Times New Roman" w:hAnsi="Times New Roman" w:cs="Times New Roman"/>
                <w:kern w:val="0"/>
                <w14:ligatures w14:val="none"/>
              </w:rPr>
              <w:t xml:space="preserve"> (agencia, cajeros, procesos batch, back office)</w:t>
            </w:r>
          </w:p>
        </w:tc>
      </w:tr>
    </w:tbl>
    <w:p w14:paraId="622B648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Aplicación de LSP y DIP.</w:t>
      </w:r>
      <w:r w:rsidRPr="000444D1">
        <w:rPr>
          <w:rFonts w:ascii="Times New Roman" w:eastAsia="Times New Roman" w:hAnsi="Times New Roman" w:cs="Times New Roman"/>
          <w:kern w:val="0"/>
          <w14:ligatures w14:val="none"/>
        </w:rPr>
        <w:t xml:space="preserve"> El ACL del core tradicional y el adaptador del core digital implementan el mismo conjunto de puertos canónicos. El servicio de órdenes de pago (D4) depende del puerto, no de la implementación: orquesta la ejecución de un pago sin conocer cuál de los dos cores lo atiende. La resolución la aporta el catálogo de productos (D2) en tiempo de ejecución.</w:t>
      </w:r>
    </w:p>
    <w:p w14:paraId="35BCEFC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7.6 Relaciones entre contenedores</w:t>
      </w:r>
    </w:p>
    <w:p w14:paraId="2C468EF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inventario completo de relaciones. La columna </w:t>
      </w:r>
      <w:r w:rsidRPr="000444D1">
        <w:rPr>
          <w:rFonts w:ascii="Times New Roman" w:eastAsia="Times New Roman" w:hAnsi="Times New Roman" w:cs="Times New Roman"/>
          <w:i/>
          <w:iCs/>
          <w:kern w:val="0"/>
          <w14:ligatures w14:val="none"/>
        </w:rPr>
        <w:t>naturaleza</w:t>
      </w:r>
      <w:r w:rsidRPr="000444D1">
        <w:rPr>
          <w:rFonts w:ascii="Times New Roman" w:eastAsia="Times New Roman" w:hAnsi="Times New Roman" w:cs="Times New Roman"/>
          <w:kern w:val="0"/>
          <w14:ligatures w14:val="none"/>
        </w:rPr>
        <w:t xml:space="preserve"> distingue las cuatro únicas invocaciones síncronas admitidas por el ADR-003; el resto del sistema se comunica por eventos.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771"/>
        <w:gridCol w:w="2050"/>
        <w:gridCol w:w="2771"/>
      </w:tblGrid>
      <w:tr w:rsidR="000444D1" w:rsidRPr="000444D1" w14:paraId="7FC1FC56" w14:textId="77777777">
        <w:trPr>
          <w:tblHeader/>
          <w:tblCellSpacing w:w="15" w:type="dxa"/>
        </w:trPr>
        <w:tc>
          <w:tcPr>
            <w:tcW w:w="0" w:type="auto"/>
            <w:vAlign w:val="center"/>
            <w:hideMark/>
          </w:tcPr>
          <w:p w14:paraId="29E84B8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Origen</w:t>
            </w:r>
          </w:p>
        </w:tc>
        <w:tc>
          <w:tcPr>
            <w:tcW w:w="0" w:type="auto"/>
            <w:vAlign w:val="center"/>
            <w:hideMark/>
          </w:tcPr>
          <w:p w14:paraId="4FA5C4F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Destino</w:t>
            </w:r>
          </w:p>
        </w:tc>
        <w:tc>
          <w:tcPr>
            <w:tcW w:w="0" w:type="auto"/>
            <w:vAlign w:val="center"/>
            <w:hideMark/>
          </w:tcPr>
          <w:p w14:paraId="25832D6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Naturaleza</w:t>
            </w:r>
          </w:p>
        </w:tc>
        <w:tc>
          <w:tcPr>
            <w:tcW w:w="0" w:type="auto"/>
            <w:vAlign w:val="center"/>
            <w:hideMark/>
          </w:tcPr>
          <w:p w14:paraId="347175D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Propósito</w:t>
            </w:r>
          </w:p>
        </w:tc>
      </w:tr>
      <w:tr w:rsidR="000444D1" w:rsidRPr="000444D1" w14:paraId="67FA6519" w14:textId="77777777">
        <w:trPr>
          <w:tblCellSpacing w:w="15" w:type="dxa"/>
        </w:trPr>
        <w:tc>
          <w:tcPr>
            <w:tcW w:w="0" w:type="auto"/>
            <w:vAlign w:val="center"/>
            <w:hideMark/>
          </w:tcPr>
          <w:p w14:paraId="4FFA63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App móvil / Banca web</w:t>
            </w:r>
          </w:p>
        </w:tc>
        <w:tc>
          <w:tcPr>
            <w:tcW w:w="0" w:type="auto"/>
            <w:vAlign w:val="center"/>
            <w:hideMark/>
          </w:tcPr>
          <w:p w14:paraId="53C92EA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interno</w:t>
            </w:r>
          </w:p>
        </w:tc>
        <w:tc>
          <w:tcPr>
            <w:tcW w:w="0" w:type="auto"/>
            <w:vAlign w:val="center"/>
            <w:hideMark/>
          </w:tcPr>
          <w:p w14:paraId="680F72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33B2A8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de canal propio</w:t>
            </w:r>
          </w:p>
        </w:tc>
      </w:tr>
      <w:tr w:rsidR="000444D1" w:rsidRPr="000444D1" w14:paraId="69746FBF" w14:textId="77777777">
        <w:trPr>
          <w:tblCellSpacing w:w="15" w:type="dxa"/>
        </w:trPr>
        <w:tc>
          <w:tcPr>
            <w:tcW w:w="0" w:type="auto"/>
            <w:vAlign w:val="center"/>
            <w:hideMark/>
          </w:tcPr>
          <w:p w14:paraId="0C054B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Tercero (TPP)</w:t>
            </w:r>
          </w:p>
        </w:tc>
        <w:tc>
          <w:tcPr>
            <w:tcW w:w="0" w:type="auto"/>
            <w:vAlign w:val="center"/>
            <w:hideMark/>
          </w:tcPr>
          <w:p w14:paraId="422B31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w:t>
            </w:r>
          </w:p>
        </w:tc>
        <w:tc>
          <w:tcPr>
            <w:tcW w:w="0" w:type="auto"/>
            <w:vAlign w:val="center"/>
            <w:hideMark/>
          </w:tcPr>
          <w:p w14:paraId="0E2318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738251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Open Finance bajo consentimiento</w:t>
            </w:r>
          </w:p>
        </w:tc>
      </w:tr>
      <w:tr w:rsidR="000444D1" w:rsidRPr="000444D1" w14:paraId="2E885DCA" w14:textId="77777777">
        <w:trPr>
          <w:tblCellSpacing w:w="15" w:type="dxa"/>
        </w:trPr>
        <w:tc>
          <w:tcPr>
            <w:tcW w:w="0" w:type="auto"/>
            <w:vAlign w:val="center"/>
            <w:hideMark/>
          </w:tcPr>
          <w:p w14:paraId="32EFEE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Gateway interno / externo</w:t>
            </w:r>
          </w:p>
        </w:tc>
        <w:tc>
          <w:tcPr>
            <w:tcW w:w="0" w:type="auto"/>
            <w:vAlign w:val="center"/>
            <w:hideMark/>
          </w:tcPr>
          <w:p w14:paraId="39A4E3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Proveedor de identidad</w:t>
            </w:r>
          </w:p>
        </w:tc>
        <w:tc>
          <w:tcPr>
            <w:tcW w:w="0" w:type="auto"/>
            <w:vAlign w:val="center"/>
            <w:hideMark/>
          </w:tcPr>
          <w:p w14:paraId="05AEFE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2557A6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Validación de token</w:t>
            </w:r>
          </w:p>
        </w:tc>
      </w:tr>
      <w:tr w:rsidR="000444D1" w:rsidRPr="000444D1" w14:paraId="3968E7B0" w14:textId="77777777">
        <w:trPr>
          <w:tblCellSpacing w:w="15" w:type="dxa"/>
        </w:trPr>
        <w:tc>
          <w:tcPr>
            <w:tcW w:w="0" w:type="auto"/>
            <w:vAlign w:val="center"/>
            <w:hideMark/>
          </w:tcPr>
          <w:p w14:paraId="4082D7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w:t>
            </w:r>
          </w:p>
        </w:tc>
        <w:tc>
          <w:tcPr>
            <w:tcW w:w="0" w:type="auto"/>
            <w:vAlign w:val="center"/>
            <w:hideMark/>
          </w:tcPr>
          <w:p w14:paraId="769860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Consentimientos</w:t>
            </w:r>
          </w:p>
        </w:tc>
        <w:tc>
          <w:tcPr>
            <w:tcW w:w="0" w:type="auto"/>
            <w:vAlign w:val="center"/>
            <w:hideMark/>
          </w:tcPr>
          <w:p w14:paraId="4ECC8C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18420F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Verificación de consentimiento vigente</w:t>
            </w:r>
          </w:p>
        </w:tc>
      </w:tr>
      <w:tr w:rsidR="000444D1" w:rsidRPr="000444D1" w14:paraId="495F0B71" w14:textId="77777777">
        <w:trPr>
          <w:tblCellSpacing w:w="15" w:type="dxa"/>
        </w:trPr>
        <w:tc>
          <w:tcPr>
            <w:tcW w:w="0" w:type="auto"/>
            <w:vAlign w:val="center"/>
            <w:hideMark/>
          </w:tcPr>
          <w:p w14:paraId="088D0B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 / interno</w:t>
            </w:r>
          </w:p>
        </w:tc>
        <w:tc>
          <w:tcPr>
            <w:tcW w:w="0" w:type="auto"/>
            <w:vAlign w:val="center"/>
            <w:hideMark/>
          </w:tcPr>
          <w:p w14:paraId="25FD23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D9 Entitlements</w:t>
            </w:r>
          </w:p>
        </w:tc>
        <w:tc>
          <w:tcPr>
            <w:tcW w:w="0" w:type="auto"/>
            <w:vAlign w:val="center"/>
            <w:hideMark/>
          </w:tcPr>
          <w:p w14:paraId="7B4E89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0EED86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Decisión de autorización sobre la cuenta</w:t>
            </w:r>
          </w:p>
        </w:tc>
      </w:tr>
      <w:tr w:rsidR="000444D1" w:rsidRPr="000444D1" w14:paraId="49787928" w14:textId="77777777">
        <w:trPr>
          <w:tblCellSpacing w:w="15" w:type="dxa"/>
        </w:trPr>
        <w:tc>
          <w:tcPr>
            <w:tcW w:w="0" w:type="auto"/>
            <w:vAlign w:val="center"/>
            <w:hideMark/>
          </w:tcPr>
          <w:p w14:paraId="5E46CE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interno</w:t>
            </w:r>
          </w:p>
        </w:tc>
        <w:tc>
          <w:tcPr>
            <w:tcW w:w="0" w:type="auto"/>
            <w:vAlign w:val="center"/>
            <w:hideMark/>
          </w:tcPr>
          <w:p w14:paraId="5D7A9B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 móvil / BFF web</w:t>
            </w:r>
          </w:p>
        </w:tc>
        <w:tc>
          <w:tcPr>
            <w:tcW w:w="0" w:type="auto"/>
            <w:vAlign w:val="center"/>
            <w:hideMark/>
          </w:tcPr>
          <w:p w14:paraId="43AB4A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1D5E65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Enrutamiento al canal correspondiente</w:t>
            </w:r>
          </w:p>
        </w:tc>
      </w:tr>
      <w:tr w:rsidR="000444D1" w:rsidRPr="000444D1" w14:paraId="0A029739" w14:textId="77777777">
        <w:trPr>
          <w:tblCellSpacing w:w="15" w:type="dxa"/>
        </w:trPr>
        <w:tc>
          <w:tcPr>
            <w:tcW w:w="0" w:type="auto"/>
            <w:vAlign w:val="center"/>
            <w:hideMark/>
          </w:tcPr>
          <w:p w14:paraId="2DCCC1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 móvil / web</w:t>
            </w:r>
          </w:p>
        </w:tc>
        <w:tc>
          <w:tcPr>
            <w:tcW w:w="0" w:type="auto"/>
            <w:vAlign w:val="center"/>
            <w:hideMark/>
          </w:tcPr>
          <w:p w14:paraId="23239B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Posición cliente</w:t>
            </w:r>
          </w:p>
        </w:tc>
        <w:tc>
          <w:tcPr>
            <w:tcW w:w="0" w:type="auto"/>
            <w:vAlign w:val="center"/>
            <w:hideMark/>
          </w:tcPr>
          <w:p w14:paraId="281FC0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653A56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posición (nunca autoriza operaciones)</w:t>
            </w:r>
          </w:p>
        </w:tc>
      </w:tr>
      <w:tr w:rsidR="000444D1" w:rsidRPr="000444D1" w14:paraId="3D0437FF" w14:textId="77777777">
        <w:trPr>
          <w:tblCellSpacing w:w="15" w:type="dxa"/>
        </w:trPr>
        <w:tc>
          <w:tcPr>
            <w:tcW w:w="0" w:type="auto"/>
            <w:vAlign w:val="center"/>
            <w:hideMark/>
          </w:tcPr>
          <w:p w14:paraId="207008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 móvil / web</w:t>
            </w:r>
          </w:p>
        </w:tc>
        <w:tc>
          <w:tcPr>
            <w:tcW w:w="0" w:type="auto"/>
            <w:vAlign w:val="center"/>
            <w:hideMark/>
          </w:tcPr>
          <w:p w14:paraId="05132D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4BD143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361775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Originación de pagos</w:t>
            </w:r>
          </w:p>
        </w:tc>
      </w:tr>
      <w:tr w:rsidR="000444D1" w:rsidRPr="000444D1" w14:paraId="1DC33577" w14:textId="77777777">
        <w:trPr>
          <w:tblCellSpacing w:w="15" w:type="dxa"/>
        </w:trPr>
        <w:tc>
          <w:tcPr>
            <w:tcW w:w="0" w:type="auto"/>
            <w:vAlign w:val="center"/>
            <w:hideMark/>
          </w:tcPr>
          <w:p w14:paraId="65E512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200FCC5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 Evaluación fraude</w:t>
            </w:r>
          </w:p>
        </w:tc>
        <w:tc>
          <w:tcPr>
            <w:tcW w:w="0" w:type="auto"/>
            <w:vAlign w:val="center"/>
            <w:hideMark/>
          </w:tcPr>
          <w:p w14:paraId="191E2A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 — camino crítico, 300 ms</w:t>
            </w:r>
          </w:p>
        </w:tc>
        <w:tc>
          <w:tcPr>
            <w:tcW w:w="0" w:type="auto"/>
            <w:vAlign w:val="center"/>
            <w:hideMark/>
          </w:tcPr>
          <w:p w14:paraId="356278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Autorización previa a la ejecución</w:t>
            </w:r>
          </w:p>
        </w:tc>
      </w:tr>
      <w:tr w:rsidR="000444D1" w:rsidRPr="000444D1" w14:paraId="6BA7A5D6" w14:textId="77777777">
        <w:trPr>
          <w:tblCellSpacing w:w="15" w:type="dxa"/>
        </w:trPr>
        <w:tc>
          <w:tcPr>
            <w:tcW w:w="0" w:type="auto"/>
            <w:vAlign w:val="center"/>
            <w:hideMark/>
          </w:tcPr>
          <w:p w14:paraId="64E6C9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04D7D6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D2 Catálogo productos</w:t>
            </w:r>
          </w:p>
        </w:tc>
        <w:tc>
          <w:tcPr>
            <w:tcW w:w="0" w:type="auto"/>
            <w:vAlign w:val="center"/>
            <w:hideMark/>
          </w:tcPr>
          <w:p w14:paraId="6744F6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5BBFE4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Resolución del core propietario</w:t>
            </w:r>
          </w:p>
        </w:tc>
      </w:tr>
      <w:tr w:rsidR="000444D1" w:rsidRPr="000444D1" w14:paraId="614166CE" w14:textId="77777777">
        <w:trPr>
          <w:tblCellSpacing w:w="15" w:type="dxa"/>
        </w:trPr>
        <w:tc>
          <w:tcPr>
            <w:tcW w:w="0" w:type="auto"/>
            <w:vAlign w:val="center"/>
            <w:hideMark/>
          </w:tcPr>
          <w:p w14:paraId="1991E0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0C5D8B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 / Adaptador core digital</w:t>
            </w:r>
          </w:p>
        </w:tc>
        <w:tc>
          <w:tcPr>
            <w:tcW w:w="0" w:type="auto"/>
            <w:vAlign w:val="center"/>
            <w:hideMark/>
          </w:tcPr>
          <w:p w14:paraId="7BB021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2EF0A6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Débito autoritativo</w:t>
            </w:r>
          </w:p>
        </w:tc>
      </w:tr>
      <w:tr w:rsidR="000444D1" w:rsidRPr="000444D1" w14:paraId="05DF32DC" w14:textId="77777777">
        <w:trPr>
          <w:tblCellSpacing w:w="15" w:type="dxa"/>
        </w:trPr>
        <w:tc>
          <w:tcPr>
            <w:tcW w:w="0" w:type="auto"/>
            <w:vAlign w:val="center"/>
            <w:hideMark/>
          </w:tcPr>
          <w:p w14:paraId="2511E5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Adaptador core digital / ACL</w:t>
            </w:r>
          </w:p>
        </w:tc>
        <w:tc>
          <w:tcPr>
            <w:tcW w:w="0" w:type="auto"/>
            <w:vAlign w:val="center"/>
            <w:hideMark/>
          </w:tcPr>
          <w:p w14:paraId="3A9757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correspondiente</w:t>
            </w:r>
          </w:p>
        </w:tc>
        <w:tc>
          <w:tcPr>
            <w:tcW w:w="0" w:type="auto"/>
            <w:vAlign w:val="center"/>
            <w:hideMark/>
          </w:tcPr>
          <w:p w14:paraId="5B0970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144067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Ejecución sobre el system of record</w:t>
            </w:r>
          </w:p>
        </w:tc>
      </w:tr>
      <w:tr w:rsidR="000444D1" w:rsidRPr="000444D1" w14:paraId="301E9D77" w14:textId="77777777">
        <w:trPr>
          <w:tblCellSpacing w:w="15" w:type="dxa"/>
        </w:trPr>
        <w:tc>
          <w:tcPr>
            <w:tcW w:w="0" w:type="auto"/>
            <w:vAlign w:val="center"/>
            <w:hideMark/>
          </w:tcPr>
          <w:p w14:paraId="5EAED3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 Evaluación fraude</w:t>
            </w:r>
          </w:p>
        </w:tc>
        <w:tc>
          <w:tcPr>
            <w:tcW w:w="0" w:type="auto"/>
            <w:vAlign w:val="center"/>
            <w:hideMark/>
          </w:tcPr>
          <w:p w14:paraId="7403FE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Motor de fraude</w:t>
            </w:r>
          </w:p>
        </w:tc>
        <w:tc>
          <w:tcPr>
            <w:tcW w:w="0" w:type="auto"/>
            <w:vAlign w:val="center"/>
            <w:hideMark/>
          </w:tcPr>
          <w:p w14:paraId="584022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2F6AD2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en línea</w:t>
            </w:r>
          </w:p>
        </w:tc>
      </w:tr>
      <w:tr w:rsidR="000444D1" w:rsidRPr="000444D1" w14:paraId="53FBDE20" w14:textId="77777777">
        <w:trPr>
          <w:tblCellSpacing w:w="15" w:type="dxa"/>
        </w:trPr>
        <w:tc>
          <w:tcPr>
            <w:tcW w:w="0" w:type="auto"/>
            <w:vAlign w:val="center"/>
            <w:hideMark/>
          </w:tcPr>
          <w:p w14:paraId="218B9C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 Datos de cliente</w:t>
            </w:r>
          </w:p>
        </w:tc>
        <w:tc>
          <w:tcPr>
            <w:tcW w:w="0" w:type="auto"/>
            <w:vAlign w:val="center"/>
            <w:hideMark/>
          </w:tcPr>
          <w:p w14:paraId="03F40C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w:t>
            </w:r>
          </w:p>
        </w:tc>
        <w:tc>
          <w:tcPr>
            <w:tcW w:w="0" w:type="auto"/>
            <w:vAlign w:val="center"/>
            <w:hideMark/>
          </w:tcPr>
          <w:p w14:paraId="44897D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69A758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Lectura de datos maestros</w:t>
            </w:r>
          </w:p>
        </w:tc>
      </w:tr>
      <w:tr w:rsidR="000444D1" w:rsidRPr="000444D1" w14:paraId="633C00C2" w14:textId="77777777">
        <w:trPr>
          <w:tblCellSpacing w:w="15" w:type="dxa"/>
        </w:trPr>
        <w:tc>
          <w:tcPr>
            <w:tcW w:w="0" w:type="auto"/>
            <w:vAlign w:val="center"/>
            <w:hideMark/>
          </w:tcPr>
          <w:p w14:paraId="00855C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173968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106C8D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2F7CD6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Publicación del estado de la saga</w:t>
            </w:r>
          </w:p>
        </w:tc>
      </w:tr>
      <w:tr w:rsidR="000444D1" w:rsidRPr="000444D1" w14:paraId="44E06561" w14:textId="77777777">
        <w:trPr>
          <w:tblCellSpacing w:w="15" w:type="dxa"/>
        </w:trPr>
        <w:tc>
          <w:tcPr>
            <w:tcW w:w="0" w:type="auto"/>
            <w:vAlign w:val="center"/>
            <w:hideMark/>
          </w:tcPr>
          <w:p w14:paraId="0FF608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w:t>
            </w:r>
          </w:p>
        </w:tc>
        <w:tc>
          <w:tcPr>
            <w:tcW w:w="0" w:type="auto"/>
            <w:vAlign w:val="center"/>
            <w:hideMark/>
          </w:tcPr>
          <w:p w14:paraId="6CA391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5A01FF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19BEB9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 por cada operación originada por el ACL</w:t>
            </w:r>
          </w:p>
        </w:tc>
      </w:tr>
      <w:tr w:rsidR="000444D1" w:rsidRPr="000444D1" w14:paraId="3B783DE5" w14:textId="77777777">
        <w:trPr>
          <w:tblCellSpacing w:w="15" w:type="dxa"/>
        </w:trPr>
        <w:tc>
          <w:tcPr>
            <w:tcW w:w="0" w:type="auto"/>
            <w:vAlign w:val="center"/>
            <w:hideMark/>
          </w:tcPr>
          <w:p w14:paraId="6F9E25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CDC del core tradicional</w:t>
            </w:r>
          </w:p>
        </w:tc>
        <w:tc>
          <w:tcPr>
            <w:tcW w:w="0" w:type="auto"/>
            <w:vAlign w:val="center"/>
            <w:hideMark/>
          </w:tcPr>
          <w:p w14:paraId="210A37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1FF437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76FF4E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Cambios no originados en canales digitales</w:t>
            </w:r>
          </w:p>
        </w:tc>
      </w:tr>
      <w:tr w:rsidR="000444D1" w:rsidRPr="000444D1" w14:paraId="28336F07" w14:textId="77777777">
        <w:trPr>
          <w:tblCellSpacing w:w="15" w:type="dxa"/>
        </w:trPr>
        <w:tc>
          <w:tcPr>
            <w:tcW w:w="0" w:type="auto"/>
            <w:vAlign w:val="center"/>
            <w:hideMark/>
          </w:tcPr>
          <w:p w14:paraId="0EEB58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Adaptador redes de pago</w:t>
            </w:r>
          </w:p>
        </w:tc>
        <w:tc>
          <w:tcPr>
            <w:tcW w:w="0" w:type="auto"/>
            <w:vAlign w:val="center"/>
            <w:hideMark/>
          </w:tcPr>
          <w:p w14:paraId="759EC1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6675C5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4F1D0AC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Confirmación de liquidación externa</w:t>
            </w:r>
          </w:p>
        </w:tc>
      </w:tr>
      <w:tr w:rsidR="000444D1" w:rsidRPr="000444D1" w14:paraId="26B4FE69" w14:textId="77777777">
        <w:trPr>
          <w:tblCellSpacing w:w="15" w:type="dxa"/>
        </w:trPr>
        <w:tc>
          <w:tcPr>
            <w:tcW w:w="0" w:type="auto"/>
            <w:vAlign w:val="center"/>
            <w:hideMark/>
          </w:tcPr>
          <w:p w14:paraId="583727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56E995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Posición cliente</w:t>
            </w:r>
          </w:p>
        </w:tc>
        <w:tc>
          <w:tcPr>
            <w:tcW w:w="0" w:type="auto"/>
            <w:vAlign w:val="center"/>
            <w:hideMark/>
          </w:tcPr>
          <w:p w14:paraId="5A1BDB4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79B819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Actualización de la proyección</w:t>
            </w:r>
          </w:p>
        </w:tc>
      </w:tr>
      <w:tr w:rsidR="000444D1" w:rsidRPr="000444D1" w14:paraId="7EB715D8" w14:textId="77777777">
        <w:trPr>
          <w:tblCellSpacing w:w="15" w:type="dxa"/>
        </w:trPr>
        <w:tc>
          <w:tcPr>
            <w:tcW w:w="0" w:type="auto"/>
            <w:vAlign w:val="center"/>
            <w:hideMark/>
          </w:tcPr>
          <w:p w14:paraId="0890CD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36267D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Historial eventos</w:t>
            </w:r>
          </w:p>
        </w:tc>
        <w:tc>
          <w:tcPr>
            <w:tcW w:w="0" w:type="auto"/>
            <w:vAlign w:val="center"/>
            <w:hideMark/>
          </w:tcPr>
          <w:p w14:paraId="7DA212F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4DBDA0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inmutable para auditoría</w:t>
            </w:r>
          </w:p>
        </w:tc>
      </w:tr>
      <w:tr w:rsidR="000444D1" w:rsidRPr="000444D1" w14:paraId="3FBA6A7E" w14:textId="77777777">
        <w:trPr>
          <w:tblCellSpacing w:w="15" w:type="dxa"/>
        </w:trPr>
        <w:tc>
          <w:tcPr>
            <w:tcW w:w="0" w:type="auto"/>
            <w:vAlign w:val="center"/>
            <w:hideMark/>
          </w:tcPr>
          <w:p w14:paraId="50CDF9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08E7A5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D6 Evaluación riesgo</w:t>
            </w:r>
          </w:p>
        </w:tc>
        <w:tc>
          <w:tcPr>
            <w:tcW w:w="0" w:type="auto"/>
            <w:vAlign w:val="center"/>
            <w:hideMark/>
          </w:tcPr>
          <w:p w14:paraId="39D3F1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12F799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Actualización de perfil</w:t>
            </w:r>
          </w:p>
        </w:tc>
      </w:tr>
      <w:tr w:rsidR="000444D1" w:rsidRPr="000444D1" w14:paraId="5BA5E012" w14:textId="77777777">
        <w:trPr>
          <w:tblCellSpacing w:w="15" w:type="dxa"/>
        </w:trPr>
        <w:tc>
          <w:tcPr>
            <w:tcW w:w="0" w:type="auto"/>
            <w:vAlign w:val="center"/>
            <w:hideMark/>
          </w:tcPr>
          <w:p w14:paraId="6D94460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6C4E73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 Evaluación fraude</w:t>
            </w:r>
          </w:p>
        </w:tc>
        <w:tc>
          <w:tcPr>
            <w:tcW w:w="0" w:type="auto"/>
            <w:vAlign w:val="center"/>
            <w:hideMark/>
          </w:tcPr>
          <w:p w14:paraId="18A729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5FFF2E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Realimentación del modelo</w:t>
            </w:r>
          </w:p>
        </w:tc>
      </w:tr>
      <w:tr w:rsidR="000444D1" w:rsidRPr="000444D1" w14:paraId="2FD2D7BD" w14:textId="77777777">
        <w:trPr>
          <w:tblCellSpacing w:w="15" w:type="dxa"/>
        </w:trPr>
        <w:tc>
          <w:tcPr>
            <w:tcW w:w="0" w:type="auto"/>
            <w:vAlign w:val="center"/>
            <w:hideMark/>
          </w:tcPr>
          <w:p w14:paraId="0591FA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4C4DFE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 Datos de cliente</w:t>
            </w:r>
          </w:p>
        </w:tc>
        <w:tc>
          <w:tcPr>
            <w:tcW w:w="0" w:type="auto"/>
            <w:vAlign w:val="center"/>
            <w:hideMark/>
          </w:tcPr>
          <w:p w14:paraId="67192D0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4BE1C8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Propagación de cambios de datos maestros</w:t>
            </w:r>
          </w:p>
        </w:tc>
      </w:tr>
    </w:tbl>
    <w:p w14:paraId="46AB34D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Lectura del inventario.</w:t>
      </w:r>
      <w:r w:rsidRPr="000444D1">
        <w:rPr>
          <w:rFonts w:ascii="Times New Roman" w:eastAsia="Times New Roman" w:hAnsi="Times New Roman" w:cs="Times New Roman"/>
          <w:kern w:val="0"/>
          <w14:ligatures w14:val="none"/>
        </w:rPr>
        <w:t xml:space="preserve"> Existen catorce relaciones síncronas y nueve asíncronas, pero las síncronas se concentran en dos tramos cortos —borde hacia experiencia, y ejecución de pago— sin encadenarse. La cadena síncrona más profunda del sistema tiene cuatro saltos: canal → gateway → BFF → D4, y desde D4 se abren dos invocaciones paralelas (fraude y core), no una cadena adicional. Ningún flujo de lectura atraviesa un sistema legado. Esta es la evidencia concreta frente al riesgo de cadenas síncronas excesivas.</w:t>
      </w:r>
    </w:p>
    <w:p w14:paraId="31170B60"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7.7 Convenciones de representación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6190"/>
      </w:tblGrid>
      <w:tr w:rsidR="000444D1" w:rsidRPr="000444D1" w14:paraId="797CB351" w14:textId="77777777">
        <w:trPr>
          <w:tblHeader/>
          <w:tblCellSpacing w:w="15" w:type="dxa"/>
        </w:trPr>
        <w:tc>
          <w:tcPr>
            <w:tcW w:w="0" w:type="auto"/>
            <w:vAlign w:val="center"/>
            <w:hideMark/>
          </w:tcPr>
          <w:p w14:paraId="5C1C319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Elemento</w:t>
            </w:r>
          </w:p>
        </w:tc>
        <w:tc>
          <w:tcPr>
            <w:tcW w:w="0" w:type="auto"/>
            <w:vAlign w:val="center"/>
            <w:hideMark/>
          </w:tcPr>
          <w:p w14:paraId="40A79E9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Convención</w:t>
            </w:r>
          </w:p>
        </w:tc>
      </w:tr>
      <w:tr w:rsidR="000444D1" w:rsidRPr="000444D1" w14:paraId="3ED138ED" w14:textId="77777777">
        <w:trPr>
          <w:tblCellSpacing w:w="15" w:type="dxa"/>
        </w:trPr>
        <w:tc>
          <w:tcPr>
            <w:tcW w:w="0" w:type="auto"/>
            <w:vAlign w:val="center"/>
            <w:hideMark/>
          </w:tcPr>
          <w:p w14:paraId="3FF812C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Relación síncrona</w:t>
            </w:r>
          </w:p>
        </w:tc>
        <w:tc>
          <w:tcPr>
            <w:tcW w:w="0" w:type="auto"/>
            <w:vAlign w:val="center"/>
            <w:hideMark/>
          </w:tcPr>
          <w:p w14:paraId="2AF61D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Línea continua</w:t>
            </w:r>
          </w:p>
        </w:tc>
      </w:tr>
      <w:tr w:rsidR="000444D1" w:rsidRPr="000444D1" w14:paraId="4771632D" w14:textId="77777777">
        <w:trPr>
          <w:tblCellSpacing w:w="15" w:type="dxa"/>
        </w:trPr>
        <w:tc>
          <w:tcPr>
            <w:tcW w:w="0" w:type="auto"/>
            <w:vAlign w:val="center"/>
            <w:hideMark/>
          </w:tcPr>
          <w:p w14:paraId="7B81A2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Relación asíncrona por evento</w:t>
            </w:r>
          </w:p>
        </w:tc>
        <w:tc>
          <w:tcPr>
            <w:tcW w:w="0" w:type="auto"/>
            <w:vAlign w:val="center"/>
            <w:hideMark/>
          </w:tcPr>
          <w:p w14:paraId="3736AC0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Línea discontinua</w:t>
            </w:r>
          </w:p>
        </w:tc>
      </w:tr>
      <w:tr w:rsidR="000444D1" w:rsidRPr="000444D1" w14:paraId="65B8A4E4" w14:textId="77777777">
        <w:trPr>
          <w:tblCellSpacing w:w="15" w:type="dxa"/>
        </w:trPr>
        <w:tc>
          <w:tcPr>
            <w:tcW w:w="0" w:type="auto"/>
            <w:vAlign w:val="center"/>
            <w:hideMark/>
          </w:tcPr>
          <w:p w14:paraId="63F693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Almacén propio</w:t>
            </w:r>
          </w:p>
        </w:tc>
        <w:tc>
          <w:tcPr>
            <w:tcW w:w="0" w:type="auto"/>
            <w:vAlign w:val="center"/>
            <w:hideMark/>
          </w:tcPr>
          <w:p w14:paraId="058F4E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Cilindro adosado al servicio propietario</w:t>
            </w:r>
          </w:p>
        </w:tc>
      </w:tr>
      <w:tr w:rsidR="000444D1" w:rsidRPr="000444D1" w14:paraId="3CC3B5BC" w14:textId="77777777">
        <w:trPr>
          <w:tblCellSpacing w:w="15" w:type="dxa"/>
        </w:trPr>
        <w:tc>
          <w:tcPr>
            <w:tcW w:w="0" w:type="auto"/>
            <w:vAlign w:val="center"/>
            <w:hideMark/>
          </w:tcPr>
          <w:p w14:paraId="779AA3E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Proyección</w:t>
            </w:r>
          </w:p>
        </w:tc>
        <w:tc>
          <w:tcPr>
            <w:tcW w:w="0" w:type="auto"/>
            <w:vAlign w:val="center"/>
            <w:hideMark/>
          </w:tcPr>
          <w:p w14:paraId="028ED6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Etiqueta explícita en D3, para impedir su lectura como system of record</w:t>
            </w:r>
          </w:p>
        </w:tc>
      </w:tr>
      <w:tr w:rsidR="000444D1" w:rsidRPr="000444D1" w14:paraId="3E308B94" w14:textId="77777777">
        <w:trPr>
          <w:tblCellSpacing w:w="15" w:type="dxa"/>
        </w:trPr>
        <w:tc>
          <w:tcPr>
            <w:tcW w:w="0" w:type="auto"/>
            <w:vAlign w:val="center"/>
            <w:hideMark/>
          </w:tcPr>
          <w:p w14:paraId="3B1FCD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Almacén de escritura única</w:t>
            </w:r>
          </w:p>
        </w:tc>
        <w:tc>
          <w:tcPr>
            <w:tcW w:w="0" w:type="auto"/>
            <w:vAlign w:val="center"/>
            <w:hideMark/>
          </w:tcPr>
          <w:p w14:paraId="4E1607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Etiqueta explícita en D8</w:t>
            </w:r>
          </w:p>
        </w:tc>
      </w:tr>
      <w:tr w:rsidR="000444D1" w:rsidRPr="000444D1" w14:paraId="18D8FBED" w14:textId="77777777">
        <w:trPr>
          <w:tblCellSpacing w:w="15" w:type="dxa"/>
        </w:trPr>
        <w:tc>
          <w:tcPr>
            <w:tcW w:w="0" w:type="auto"/>
            <w:vAlign w:val="center"/>
            <w:hideMark/>
          </w:tcPr>
          <w:p w14:paraId="676774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fuera del alcance de diseño</w:t>
            </w:r>
          </w:p>
        </w:tc>
        <w:tc>
          <w:tcPr>
            <w:tcW w:w="0" w:type="auto"/>
            <w:vAlign w:val="center"/>
            <w:hideMark/>
          </w:tcPr>
          <w:p w14:paraId="06EEF9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Trazo atenuado</w:t>
            </w:r>
          </w:p>
        </w:tc>
      </w:tr>
    </w:tbl>
    <w:p w14:paraId="574573C2"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0D674B7A">
          <v:rect id="Horizontal Line 439"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76D051"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8. Vista C4 — Nivel 3: Componentes</w:t>
      </w:r>
    </w:p>
    <w:p w14:paraId="4F226A0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detallan dos contenedores. El criterio de selección es la densidad de decisión: son los únicos dos donde el diseño interno resuelve un problema que no es evidente. El resto de los servicios de dominio siguen un patrón repetido —adaptador de entrada, caso de uso, agregado, repositorio, publicador de eventos— cuyo detalle no aportaría información nueva.</w:t>
      </w:r>
    </w:p>
    <w:p w14:paraId="764B3828" w14:textId="77777777" w:rsidR="000444D1" w:rsidRPr="000444D1" w:rsidRDefault="000444D1" w:rsidP="00C646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Órdenes de pago (D4)</w:t>
      </w:r>
      <w:r w:rsidRPr="000444D1">
        <w:rPr>
          <w:rFonts w:ascii="Times New Roman" w:eastAsia="Times New Roman" w:hAnsi="Times New Roman" w:cs="Times New Roman"/>
          <w:kern w:val="0"/>
          <w14:ligatures w14:val="none"/>
        </w:rPr>
        <w:t>: concentra la orquestación de la saga, la idempotencia y la aplicación de la política de fraude.</w:t>
      </w:r>
    </w:p>
    <w:p w14:paraId="3EB642A7" w14:textId="77777777" w:rsidR="000444D1" w:rsidRPr="000444D1" w:rsidRDefault="000444D1" w:rsidP="00C646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ACL del core tradicional</w:t>
      </w:r>
      <w:r w:rsidRPr="000444D1">
        <w:rPr>
          <w:rFonts w:ascii="Times New Roman" w:eastAsia="Times New Roman" w:hAnsi="Times New Roman" w:cs="Times New Roman"/>
          <w:kern w:val="0"/>
          <w14:ligatures w14:val="none"/>
        </w:rPr>
        <w:t>: concentra los puertos canónicos, la traducción del modelo legado y la emisión de eventos.</w:t>
      </w:r>
    </w:p>
    <w:p w14:paraId="7127DEB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8.1 Componentes de Órdenes de pago (D4)</w:t>
      </w:r>
    </w:p>
    <w:p w14:paraId="219777A9" w14:textId="583D6F2E"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fldChar w:fldCharType="begin"/>
      </w:r>
      <w:r w:rsidRPr="000444D1">
        <w:rPr>
          <w:rFonts w:ascii="Times New Roman" w:eastAsia="Times New Roman" w:hAnsi="Times New Roman" w:cs="Times New Roman"/>
          <w:kern w:val="0"/>
          <w14:ligatures w14:val="none"/>
        </w:rPr>
        <w:instrText xml:space="preserve"> INCLUDEPICTURE "https://claude.ai/chat/diagramas/c4-nivel3-ordenes-pago.png" \* MERGEFORMATINET </w:instrText>
      </w:r>
      <w:r w:rsidRPr="000444D1">
        <w:rPr>
          <w:rFonts w:ascii="Times New Roman" w:eastAsia="Times New Roman" w:hAnsi="Times New Roman" w:cs="Times New Roman"/>
          <w:kern w:val="0"/>
          <w14:ligatures w14:val="none"/>
        </w:rPr>
        <w:fldChar w:fldCharType="separate"/>
      </w:r>
      <w:r w:rsidRPr="000444D1">
        <w:rPr>
          <w:rFonts w:ascii="Times New Roman" w:eastAsia="Times New Roman" w:hAnsi="Times New Roman" w:cs="Times New Roman"/>
          <w:noProof/>
          <w:kern w:val="0"/>
          <w14:ligatures w14:val="none"/>
        </w:rPr>
        <mc:AlternateContent>
          <mc:Choice Requires="wps">
            <w:drawing>
              <wp:inline distT="0" distB="0" distL="0" distR="0" wp14:anchorId="7933E104" wp14:editId="20A44024">
                <wp:extent cx="302260" cy="302260"/>
                <wp:effectExtent l="0" t="0" r="0" b="0"/>
                <wp:docPr id="815972162" name="Rectangle 66" descr="Componentes del servicio de órdenes de pa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6C86B" id="Rectangle 66" o:spid="_x0000_s1026" alt="Componentes del servicio de órdenes de pag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0444D1">
        <w:rPr>
          <w:rFonts w:ascii="Times New Roman" w:eastAsia="Times New Roman" w:hAnsi="Times New Roman" w:cs="Times New Roman"/>
          <w:kern w:val="0"/>
          <w14:ligatures w14:val="none"/>
        </w:rPr>
        <w:fldChar w:fldCharType="end"/>
      </w:r>
    </w:p>
    <w:p w14:paraId="4AD640D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organización interna sigue </w:t>
      </w:r>
      <w:r w:rsidRPr="000444D1">
        <w:rPr>
          <w:rFonts w:ascii="Times New Roman" w:eastAsia="Times New Roman" w:hAnsi="Times New Roman" w:cs="Times New Roman"/>
          <w:b/>
          <w:bCs/>
          <w:kern w:val="0"/>
          <w14:ligatures w14:val="none"/>
        </w:rPr>
        <w:t>Clean Architecture</w:t>
      </w:r>
      <w:r w:rsidRPr="000444D1">
        <w:rPr>
          <w:rFonts w:ascii="Times New Roman" w:eastAsia="Times New Roman" w:hAnsi="Times New Roman" w:cs="Times New Roman"/>
          <w:kern w:val="0"/>
          <w14:ligatures w14:val="none"/>
        </w:rPr>
        <w:t>: las dependencias apuntan siempre hacia el dominio, y la infraestructura depende de puertos definidos en la capa de aplicación, nunca al revés.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2142"/>
        <w:gridCol w:w="5424"/>
      </w:tblGrid>
      <w:tr w:rsidR="000444D1" w:rsidRPr="000444D1" w14:paraId="24550798" w14:textId="77777777">
        <w:trPr>
          <w:tblHeader/>
          <w:tblCellSpacing w:w="15" w:type="dxa"/>
        </w:trPr>
        <w:tc>
          <w:tcPr>
            <w:tcW w:w="0" w:type="auto"/>
            <w:vAlign w:val="center"/>
            <w:hideMark/>
          </w:tcPr>
          <w:p w14:paraId="18819B7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w:t>
            </w:r>
          </w:p>
        </w:tc>
        <w:tc>
          <w:tcPr>
            <w:tcW w:w="0" w:type="auto"/>
            <w:vAlign w:val="center"/>
            <w:hideMark/>
          </w:tcPr>
          <w:p w14:paraId="3F371D7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c>
          <w:tcPr>
            <w:tcW w:w="0" w:type="auto"/>
            <w:vAlign w:val="center"/>
            <w:hideMark/>
          </w:tcPr>
          <w:p w14:paraId="40735A1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w:t>
            </w:r>
          </w:p>
        </w:tc>
      </w:tr>
      <w:tr w:rsidR="000444D1" w:rsidRPr="000444D1" w14:paraId="58D3A85F" w14:textId="77777777">
        <w:trPr>
          <w:tblCellSpacing w:w="15" w:type="dxa"/>
        </w:trPr>
        <w:tc>
          <w:tcPr>
            <w:tcW w:w="0" w:type="auto"/>
            <w:vAlign w:val="center"/>
            <w:hideMark/>
          </w:tcPr>
          <w:p w14:paraId="6D110B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Adaptadores de entrada</w:t>
            </w:r>
          </w:p>
        </w:tc>
        <w:tc>
          <w:tcPr>
            <w:tcW w:w="0" w:type="auto"/>
            <w:vAlign w:val="center"/>
            <w:hideMark/>
          </w:tcPr>
          <w:p w14:paraId="41FD24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Controlador REST de órdenes</w:t>
            </w:r>
          </w:p>
        </w:tc>
        <w:tc>
          <w:tcPr>
            <w:tcW w:w="0" w:type="auto"/>
            <w:vAlign w:val="center"/>
            <w:hideMark/>
          </w:tcPr>
          <w:p w14:paraId="277BF0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Traduce la petición HTTP a comando de aplicación. Sin lógica de negocio</w:t>
            </w:r>
          </w:p>
        </w:tc>
      </w:tr>
      <w:tr w:rsidR="000444D1" w:rsidRPr="000444D1" w14:paraId="70738CAF" w14:textId="77777777">
        <w:trPr>
          <w:tblCellSpacing w:w="15" w:type="dxa"/>
        </w:trPr>
        <w:tc>
          <w:tcPr>
            <w:tcW w:w="0" w:type="auto"/>
            <w:vAlign w:val="center"/>
            <w:hideMark/>
          </w:tcPr>
          <w:p w14:paraId="4AEF21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Adaptadores de entrada</w:t>
            </w:r>
          </w:p>
        </w:tc>
        <w:tc>
          <w:tcPr>
            <w:tcW w:w="0" w:type="auto"/>
            <w:vAlign w:val="center"/>
            <w:hideMark/>
          </w:tcPr>
          <w:p w14:paraId="52F06E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Middleware de idempotencia</w:t>
            </w:r>
          </w:p>
        </w:tc>
        <w:tc>
          <w:tcPr>
            <w:tcW w:w="0" w:type="auto"/>
            <w:vAlign w:val="center"/>
            <w:hideMark/>
          </w:tcPr>
          <w:p w14:paraId="6CC8DA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Resuelve la clave de idempotencia antes de invocar el caso de uso; devuelve la respuesta previa si la clave ya fue procesada</w:t>
            </w:r>
          </w:p>
        </w:tc>
      </w:tr>
      <w:tr w:rsidR="000444D1" w:rsidRPr="000444D1" w14:paraId="4C02ED24" w14:textId="77777777">
        <w:trPr>
          <w:tblCellSpacing w:w="15" w:type="dxa"/>
        </w:trPr>
        <w:tc>
          <w:tcPr>
            <w:tcW w:w="0" w:type="auto"/>
            <w:vAlign w:val="center"/>
            <w:hideMark/>
          </w:tcPr>
          <w:p w14:paraId="1BE8FF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Aplicación</w:t>
            </w:r>
          </w:p>
        </w:tc>
        <w:tc>
          <w:tcPr>
            <w:tcW w:w="0" w:type="auto"/>
            <w:vAlign w:val="center"/>
            <w:hideMark/>
          </w:tcPr>
          <w:p w14:paraId="54912C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Caso de uso: registrar orden</w:t>
            </w:r>
          </w:p>
        </w:tc>
        <w:tc>
          <w:tcPr>
            <w:tcW w:w="0" w:type="auto"/>
            <w:vAlign w:val="center"/>
            <w:hideMark/>
          </w:tcPr>
          <w:p w14:paraId="605586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Valida la solicitud, crea el agregado en estado inicial y arranca la saga</w:t>
            </w:r>
          </w:p>
        </w:tc>
      </w:tr>
      <w:tr w:rsidR="000444D1" w:rsidRPr="000444D1" w14:paraId="42DE211C" w14:textId="77777777">
        <w:trPr>
          <w:tblCellSpacing w:w="15" w:type="dxa"/>
        </w:trPr>
        <w:tc>
          <w:tcPr>
            <w:tcW w:w="0" w:type="auto"/>
            <w:vAlign w:val="center"/>
            <w:hideMark/>
          </w:tcPr>
          <w:p w14:paraId="275065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Aplicación</w:t>
            </w:r>
          </w:p>
        </w:tc>
        <w:tc>
          <w:tcPr>
            <w:tcW w:w="0" w:type="auto"/>
            <w:vAlign w:val="center"/>
            <w:hideMark/>
          </w:tcPr>
          <w:p w14:paraId="52632B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Caso de uso: confirmar pago</w:t>
            </w:r>
          </w:p>
        </w:tc>
        <w:tc>
          <w:tcPr>
            <w:tcW w:w="0" w:type="auto"/>
            <w:vAlign w:val="center"/>
            <w:hideMark/>
          </w:tcPr>
          <w:p w14:paraId="41966CF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Procesa la confirmación de ejecución y cierra la saga</w:t>
            </w:r>
          </w:p>
        </w:tc>
      </w:tr>
      <w:tr w:rsidR="000444D1" w:rsidRPr="000444D1" w14:paraId="4B9C394E" w14:textId="77777777">
        <w:trPr>
          <w:tblCellSpacing w:w="15" w:type="dxa"/>
        </w:trPr>
        <w:tc>
          <w:tcPr>
            <w:tcW w:w="0" w:type="auto"/>
            <w:vAlign w:val="center"/>
            <w:hideMark/>
          </w:tcPr>
          <w:p w14:paraId="5EA8F48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Aplicación</w:t>
            </w:r>
          </w:p>
        </w:tc>
        <w:tc>
          <w:tcPr>
            <w:tcW w:w="0" w:type="auto"/>
            <w:vAlign w:val="center"/>
            <w:hideMark/>
          </w:tcPr>
          <w:p w14:paraId="12BACD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Orquestador de saga de pago</w:t>
            </w:r>
          </w:p>
        </w:tc>
        <w:tc>
          <w:tcPr>
            <w:tcW w:w="0" w:type="auto"/>
            <w:vAlign w:val="center"/>
            <w:hideMark/>
          </w:tcPr>
          <w:p w14:paraId="2359EB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Coordina la secuencia evaluación → débito → publicación, y dispara la compensación ante fallo</w:t>
            </w:r>
          </w:p>
        </w:tc>
      </w:tr>
      <w:tr w:rsidR="000444D1" w:rsidRPr="000444D1" w14:paraId="385E6FA5" w14:textId="77777777">
        <w:trPr>
          <w:tblCellSpacing w:w="15" w:type="dxa"/>
        </w:trPr>
        <w:tc>
          <w:tcPr>
            <w:tcW w:w="0" w:type="auto"/>
            <w:vAlign w:val="center"/>
            <w:hideMark/>
          </w:tcPr>
          <w:p w14:paraId="434F33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Aplicación</w:t>
            </w:r>
          </w:p>
        </w:tc>
        <w:tc>
          <w:tcPr>
            <w:tcW w:w="0" w:type="auto"/>
            <w:vAlign w:val="center"/>
            <w:hideMark/>
          </w:tcPr>
          <w:p w14:paraId="507427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Puertos de salida</w:t>
            </w:r>
          </w:p>
        </w:tc>
        <w:tc>
          <w:tcPr>
            <w:tcW w:w="0" w:type="auto"/>
            <w:vAlign w:val="center"/>
            <w:hideMark/>
          </w:tcPr>
          <w:p w14:paraId="13156F6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Contratos abstractos: evaluación de fraude, ejecución de pago, catálogo de productos, publicación de eventos</w:t>
            </w:r>
          </w:p>
        </w:tc>
      </w:tr>
      <w:tr w:rsidR="000444D1" w:rsidRPr="000444D1" w14:paraId="16D2322C" w14:textId="77777777">
        <w:trPr>
          <w:tblCellSpacing w:w="15" w:type="dxa"/>
        </w:trPr>
        <w:tc>
          <w:tcPr>
            <w:tcW w:w="0" w:type="auto"/>
            <w:vAlign w:val="center"/>
            <w:hideMark/>
          </w:tcPr>
          <w:p w14:paraId="19EDE8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Dominio</w:t>
            </w:r>
          </w:p>
        </w:tc>
        <w:tc>
          <w:tcPr>
            <w:tcW w:w="0" w:type="auto"/>
            <w:vAlign w:val="center"/>
            <w:hideMark/>
          </w:tcPr>
          <w:p w14:paraId="56FD75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Agregado Orden de pago</w:t>
            </w:r>
          </w:p>
        </w:tc>
        <w:tc>
          <w:tcPr>
            <w:tcW w:w="0" w:type="auto"/>
            <w:vAlign w:val="center"/>
            <w:hideMark/>
          </w:tcPr>
          <w:p w14:paraId="548BEB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Estados y transiciones válidas de la orden. Concentra la invariante de negocio</w:t>
            </w:r>
          </w:p>
        </w:tc>
      </w:tr>
      <w:tr w:rsidR="000444D1" w:rsidRPr="000444D1" w14:paraId="0F145D0C" w14:textId="77777777">
        <w:trPr>
          <w:tblCellSpacing w:w="15" w:type="dxa"/>
        </w:trPr>
        <w:tc>
          <w:tcPr>
            <w:tcW w:w="0" w:type="auto"/>
            <w:vAlign w:val="center"/>
            <w:hideMark/>
          </w:tcPr>
          <w:p w14:paraId="18DB897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Dominio</w:t>
            </w:r>
          </w:p>
        </w:tc>
        <w:tc>
          <w:tcPr>
            <w:tcW w:w="0" w:type="auto"/>
            <w:vAlign w:val="center"/>
            <w:hideMark/>
          </w:tcPr>
          <w:p w14:paraId="39357F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Política de compensación</w:t>
            </w:r>
          </w:p>
        </w:tc>
        <w:tc>
          <w:tcPr>
            <w:tcW w:w="0" w:type="auto"/>
            <w:vAlign w:val="center"/>
            <w:hideMark/>
          </w:tcPr>
          <w:p w14:paraId="545655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 qué acción compensatoria corresponde a cada punto de fallo de la saga</w:t>
            </w:r>
          </w:p>
        </w:tc>
      </w:tr>
      <w:tr w:rsidR="000444D1" w:rsidRPr="000444D1" w14:paraId="0789948F" w14:textId="77777777">
        <w:trPr>
          <w:tblCellSpacing w:w="15" w:type="dxa"/>
        </w:trPr>
        <w:tc>
          <w:tcPr>
            <w:tcW w:w="0" w:type="auto"/>
            <w:vAlign w:val="center"/>
            <w:hideMark/>
          </w:tcPr>
          <w:p w14:paraId="1B424D8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Infraestructura</w:t>
            </w:r>
          </w:p>
        </w:tc>
        <w:tc>
          <w:tcPr>
            <w:tcW w:w="0" w:type="auto"/>
            <w:vAlign w:val="center"/>
            <w:hideMark/>
          </w:tcPr>
          <w:p w14:paraId="59A6234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Cliente de evaluación de fraude</w:t>
            </w:r>
          </w:p>
        </w:tc>
        <w:tc>
          <w:tcPr>
            <w:tcW w:w="0" w:type="auto"/>
            <w:vAlign w:val="center"/>
            <w:hideMark/>
          </w:tcPr>
          <w:p w14:paraId="55A3CA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Implementa el puerto de fraude: invocación con timeout de 300 ms y aplicación de la degradación por umbral (ADR-005)</w:t>
            </w:r>
          </w:p>
        </w:tc>
      </w:tr>
      <w:tr w:rsidR="000444D1" w:rsidRPr="000444D1" w14:paraId="34B5BF1E" w14:textId="77777777">
        <w:trPr>
          <w:tblCellSpacing w:w="15" w:type="dxa"/>
        </w:trPr>
        <w:tc>
          <w:tcPr>
            <w:tcW w:w="0" w:type="auto"/>
            <w:vAlign w:val="center"/>
            <w:hideMark/>
          </w:tcPr>
          <w:p w14:paraId="4414DF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Infraestructura</w:t>
            </w:r>
          </w:p>
        </w:tc>
        <w:tc>
          <w:tcPr>
            <w:tcW w:w="0" w:type="auto"/>
            <w:vAlign w:val="center"/>
            <w:hideMark/>
          </w:tcPr>
          <w:p w14:paraId="6FD502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Enrutador de core</w:t>
            </w:r>
          </w:p>
        </w:tc>
        <w:tc>
          <w:tcPr>
            <w:tcW w:w="0" w:type="auto"/>
            <w:vAlign w:val="center"/>
            <w:hideMark/>
          </w:tcPr>
          <w:p w14:paraId="59C34E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Implementa el puerto de ejecución: consulta el catálogo de productos y delega en el adaptador del core propietario</w:t>
            </w:r>
          </w:p>
        </w:tc>
      </w:tr>
      <w:tr w:rsidR="000444D1" w:rsidRPr="000444D1" w14:paraId="7A3C9F44" w14:textId="77777777">
        <w:trPr>
          <w:tblCellSpacing w:w="15" w:type="dxa"/>
        </w:trPr>
        <w:tc>
          <w:tcPr>
            <w:tcW w:w="0" w:type="auto"/>
            <w:vAlign w:val="center"/>
            <w:hideMark/>
          </w:tcPr>
          <w:p w14:paraId="3B71B0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Infraestructura</w:t>
            </w:r>
          </w:p>
        </w:tc>
        <w:tc>
          <w:tcPr>
            <w:tcW w:w="0" w:type="auto"/>
            <w:vAlign w:val="center"/>
            <w:hideMark/>
          </w:tcPr>
          <w:p w14:paraId="138447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Repositorio de órdenes</w:t>
            </w:r>
          </w:p>
        </w:tc>
        <w:tc>
          <w:tcPr>
            <w:tcW w:w="0" w:type="auto"/>
            <w:vAlign w:val="center"/>
            <w:hideMark/>
          </w:tcPr>
          <w:p w14:paraId="54A933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Persistencia del agregado en almacén privado</w:t>
            </w:r>
          </w:p>
        </w:tc>
      </w:tr>
      <w:tr w:rsidR="000444D1" w:rsidRPr="000444D1" w14:paraId="1A55A4AE" w14:textId="77777777">
        <w:trPr>
          <w:tblCellSpacing w:w="15" w:type="dxa"/>
        </w:trPr>
        <w:tc>
          <w:tcPr>
            <w:tcW w:w="0" w:type="auto"/>
            <w:vAlign w:val="center"/>
            <w:hideMark/>
          </w:tcPr>
          <w:p w14:paraId="02B6E7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Infraestructura</w:t>
            </w:r>
          </w:p>
        </w:tc>
        <w:tc>
          <w:tcPr>
            <w:tcW w:w="0" w:type="auto"/>
            <w:vAlign w:val="center"/>
            <w:hideMark/>
          </w:tcPr>
          <w:p w14:paraId="3DDD92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Publicador outbox</w:t>
            </w:r>
          </w:p>
        </w:tc>
        <w:tc>
          <w:tcPr>
            <w:tcW w:w="0" w:type="auto"/>
            <w:vAlign w:val="center"/>
            <w:hideMark/>
          </w:tcPr>
          <w:p w14:paraId="784216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Escribe el evento en la misma transacción que el cambio de estado del agregado</w:t>
            </w:r>
          </w:p>
        </w:tc>
      </w:tr>
      <w:tr w:rsidR="000444D1" w:rsidRPr="000444D1" w14:paraId="35FE9969" w14:textId="77777777">
        <w:trPr>
          <w:tblCellSpacing w:w="15" w:type="dxa"/>
        </w:trPr>
        <w:tc>
          <w:tcPr>
            <w:tcW w:w="0" w:type="auto"/>
            <w:vAlign w:val="center"/>
            <w:hideMark/>
          </w:tcPr>
          <w:p w14:paraId="629B6F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Infraestructura</w:t>
            </w:r>
          </w:p>
        </w:tc>
        <w:tc>
          <w:tcPr>
            <w:tcW w:w="0" w:type="auto"/>
            <w:vAlign w:val="center"/>
            <w:hideMark/>
          </w:tcPr>
          <w:p w14:paraId="0011FF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Despachador outbox</w:t>
            </w:r>
          </w:p>
        </w:tc>
        <w:tc>
          <w:tcPr>
            <w:tcW w:w="0" w:type="auto"/>
            <w:vAlign w:val="center"/>
            <w:hideMark/>
          </w:tcPr>
          <w:p w14:paraId="4D89AE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Proceso en segundo plano que publica al bus lo pendiente en la tabla outbox y marca su envío</w:t>
            </w:r>
          </w:p>
        </w:tc>
      </w:tr>
    </w:tbl>
    <w:p w14:paraId="0350169B"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Evidencia de los principios de diseño</w:t>
      </w:r>
    </w:p>
    <w:p w14:paraId="327FFA6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Inversión de dependencias.</w:t>
      </w:r>
      <w:r w:rsidRPr="000444D1">
        <w:rPr>
          <w:rFonts w:ascii="Times New Roman" w:eastAsia="Times New Roman" w:hAnsi="Times New Roman" w:cs="Times New Roman"/>
          <w:kern w:val="0"/>
          <w14:ligatures w14:val="none"/>
        </w:rPr>
        <w:t xml:space="preserve"> El orquestador de saga depende de </w:t>
      </w:r>
      <w:r w:rsidRPr="000444D1">
        <w:rPr>
          <w:rFonts w:ascii="Courier New" w:eastAsia="Times New Roman" w:hAnsi="Courier New" w:cs="Courier New"/>
          <w:kern w:val="0"/>
          <w:sz w:val="20"/>
          <w:szCs w:val="20"/>
          <w14:ligatures w14:val="none"/>
        </w:rPr>
        <w:t>IPaymentExecutionPort</w:t>
      </w:r>
      <w:r w:rsidRPr="000444D1">
        <w:rPr>
          <w:rFonts w:ascii="Times New Roman" w:eastAsia="Times New Roman" w:hAnsi="Times New Roman" w:cs="Times New Roman"/>
          <w:kern w:val="0"/>
          <w14:ligatures w14:val="none"/>
        </w:rPr>
        <w:t xml:space="preserve">, no del enrutador de core; y de </w:t>
      </w:r>
      <w:r w:rsidRPr="000444D1">
        <w:rPr>
          <w:rFonts w:ascii="Courier New" w:eastAsia="Times New Roman" w:hAnsi="Courier New" w:cs="Courier New"/>
          <w:kern w:val="0"/>
          <w:sz w:val="20"/>
          <w:szCs w:val="20"/>
          <w14:ligatures w14:val="none"/>
        </w:rPr>
        <w:t>IFraudEvaluationPort</w:t>
      </w:r>
      <w:r w:rsidRPr="000444D1">
        <w:rPr>
          <w:rFonts w:ascii="Times New Roman" w:eastAsia="Times New Roman" w:hAnsi="Times New Roman" w:cs="Times New Roman"/>
          <w:kern w:val="0"/>
          <w14:ligatures w14:val="none"/>
        </w:rPr>
        <w:t>, no del cliente HTTP del motor de fraude. Las implementaciones se inyectan. La consecuencia práctica es que la lógica de saga es verificable sin levantar ninguno de los dos cores ni el motor de fraude.</w:t>
      </w:r>
    </w:p>
    <w:p w14:paraId="72B5D67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Sustitución de Liskov.</w:t>
      </w:r>
      <w:r w:rsidRPr="000444D1">
        <w:rPr>
          <w:rFonts w:ascii="Times New Roman" w:eastAsia="Times New Roman" w:hAnsi="Times New Roman" w:cs="Times New Roman"/>
          <w:kern w:val="0"/>
          <w14:ligatures w14:val="none"/>
        </w:rPr>
        <w:t xml:space="preserve"> El enrutador de core selecciona en tiempo de ejecución entre el ACL del core tradicional y el adaptador del core digital. Ambos satisfacen el mismo puerto, de modo que el orquestador no distingue cuál está operando. Es el punto exacto donde la estrategia multicore del ADR-001 se materializa en código.</w:t>
      </w:r>
    </w:p>
    <w:p w14:paraId="44F1D25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Responsabilidad única.</w:t>
      </w:r>
      <w:r w:rsidRPr="000444D1">
        <w:rPr>
          <w:rFonts w:ascii="Times New Roman" w:eastAsia="Times New Roman" w:hAnsi="Times New Roman" w:cs="Times New Roman"/>
          <w:kern w:val="0"/>
          <w14:ligatures w14:val="none"/>
        </w:rPr>
        <w:t xml:space="preserve"> La idempotencia vive en un middleware, no dispersa en cada caso de uso. La política de degradación ante fallo de fraude vive en el cliente de fraude, no en el orquestador. El orquestador solo conoce la secuencia y sus compensaciones.</w:t>
      </w:r>
    </w:p>
    <w:p w14:paraId="0C206E7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Separación de responsabilidades.</w:t>
      </w:r>
      <w:r w:rsidRPr="000444D1">
        <w:rPr>
          <w:rFonts w:ascii="Times New Roman" w:eastAsia="Times New Roman" w:hAnsi="Times New Roman" w:cs="Times New Roman"/>
          <w:kern w:val="0"/>
          <w14:ligatures w14:val="none"/>
        </w:rPr>
        <w:t xml:space="preserve"> El patrón outbox aparece dividido en dos componentes con razones de cambio distintas: el </w:t>
      </w:r>
      <w:r w:rsidRPr="000444D1">
        <w:rPr>
          <w:rFonts w:ascii="Times New Roman" w:eastAsia="Times New Roman" w:hAnsi="Times New Roman" w:cs="Times New Roman"/>
          <w:b/>
          <w:bCs/>
          <w:kern w:val="0"/>
          <w14:ligatures w14:val="none"/>
        </w:rPr>
        <w:t>publicador</w:t>
      </w:r>
      <w:r w:rsidRPr="000444D1">
        <w:rPr>
          <w:rFonts w:ascii="Times New Roman" w:eastAsia="Times New Roman" w:hAnsi="Times New Roman" w:cs="Times New Roman"/>
          <w:kern w:val="0"/>
          <w14:ligatures w14:val="none"/>
        </w:rPr>
        <w:t xml:space="preserve"> participa de la transacción de negocio; el </w:t>
      </w:r>
      <w:r w:rsidRPr="000444D1">
        <w:rPr>
          <w:rFonts w:ascii="Times New Roman" w:eastAsia="Times New Roman" w:hAnsi="Times New Roman" w:cs="Times New Roman"/>
          <w:b/>
          <w:bCs/>
          <w:kern w:val="0"/>
          <w14:ligatures w14:val="none"/>
        </w:rPr>
        <w:t>despachador</w:t>
      </w:r>
      <w:r w:rsidRPr="000444D1">
        <w:rPr>
          <w:rFonts w:ascii="Times New Roman" w:eastAsia="Times New Roman" w:hAnsi="Times New Roman" w:cs="Times New Roman"/>
          <w:kern w:val="0"/>
          <w14:ligatures w14:val="none"/>
        </w:rPr>
        <w:t xml:space="preserve"> es un proceso de fondo con su propia política de reintento y su propia cadencia. Unificarlos acoplaría la latencia de publicación a la transacción del usuario.</w:t>
      </w:r>
    </w:p>
    <w:p w14:paraId="5339960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8.2 Componentes del ACL del core tradicional</w:t>
      </w:r>
    </w:p>
    <w:p w14:paraId="633E68F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Este contenedor es el que concentra el aislamiento del sistema legado (principio P2). Su diseño interno es lo que permite que los supuestos de la sección 2.1 sean intercambiables.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972"/>
        <w:gridCol w:w="6179"/>
      </w:tblGrid>
      <w:tr w:rsidR="000444D1" w:rsidRPr="000444D1" w14:paraId="53478DF1" w14:textId="77777777">
        <w:trPr>
          <w:tblHeader/>
          <w:tblCellSpacing w:w="15" w:type="dxa"/>
        </w:trPr>
        <w:tc>
          <w:tcPr>
            <w:tcW w:w="0" w:type="auto"/>
            <w:vAlign w:val="center"/>
            <w:hideMark/>
          </w:tcPr>
          <w:p w14:paraId="6C4E537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w:t>
            </w:r>
          </w:p>
        </w:tc>
        <w:tc>
          <w:tcPr>
            <w:tcW w:w="0" w:type="auto"/>
            <w:vAlign w:val="center"/>
            <w:hideMark/>
          </w:tcPr>
          <w:p w14:paraId="13E5578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c>
          <w:tcPr>
            <w:tcW w:w="0" w:type="auto"/>
            <w:vAlign w:val="center"/>
            <w:hideMark/>
          </w:tcPr>
          <w:p w14:paraId="605C62C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w:t>
            </w:r>
          </w:p>
        </w:tc>
      </w:tr>
      <w:tr w:rsidR="000444D1" w:rsidRPr="000444D1" w14:paraId="2EEBDDD0" w14:textId="77777777">
        <w:trPr>
          <w:tblCellSpacing w:w="15" w:type="dxa"/>
        </w:trPr>
        <w:tc>
          <w:tcPr>
            <w:tcW w:w="0" w:type="auto"/>
            <w:vAlign w:val="center"/>
            <w:hideMark/>
          </w:tcPr>
          <w:p w14:paraId="7B1D42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Puertos</w:t>
            </w:r>
          </w:p>
        </w:tc>
        <w:tc>
          <w:tcPr>
            <w:tcW w:w="0" w:type="auto"/>
            <w:vAlign w:val="center"/>
            <w:hideMark/>
          </w:tcPr>
          <w:p w14:paraId="2C825F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Contratos canónicos</w:t>
            </w:r>
          </w:p>
        </w:tc>
        <w:tc>
          <w:tcPr>
            <w:tcW w:w="0" w:type="auto"/>
            <w:vAlign w:val="center"/>
            <w:hideMark/>
          </w:tcPr>
          <w:p w14:paraId="208BD1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IPaymentExecutionPort</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ICustomerPositionPort</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IPartyReferenceDataPort</w:t>
            </w:r>
            <w:r w:rsidRPr="000444D1">
              <w:rPr>
                <w:rFonts w:ascii="Times New Roman" w:eastAsia="Times New Roman" w:hAnsi="Times New Roman" w:cs="Times New Roman"/>
                <w:kern w:val="0"/>
                <w14:ligatures w14:val="none"/>
              </w:rPr>
              <w:t>. Definidos en términos del modelo canónico, sin rastro del modelo legado</w:t>
            </w:r>
          </w:p>
        </w:tc>
      </w:tr>
      <w:tr w:rsidR="000444D1" w:rsidRPr="000444D1" w14:paraId="73D6C54E" w14:textId="77777777">
        <w:trPr>
          <w:tblCellSpacing w:w="15" w:type="dxa"/>
        </w:trPr>
        <w:tc>
          <w:tcPr>
            <w:tcW w:w="0" w:type="auto"/>
            <w:vAlign w:val="center"/>
            <w:hideMark/>
          </w:tcPr>
          <w:p w14:paraId="29A9462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Traducción</w:t>
            </w:r>
          </w:p>
        </w:tc>
        <w:tc>
          <w:tcPr>
            <w:tcW w:w="0" w:type="auto"/>
            <w:vAlign w:val="center"/>
            <w:hideMark/>
          </w:tcPr>
          <w:p w14:paraId="5DF565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Mapeador de modelo canónico</w:t>
            </w:r>
          </w:p>
        </w:tc>
        <w:tc>
          <w:tcPr>
            <w:tcW w:w="0" w:type="auto"/>
            <w:vAlign w:val="center"/>
            <w:hideMark/>
          </w:tcPr>
          <w:p w14:paraId="2A3CA6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Traduce entre el modelo canónico y las estructuras del core: campos de longitud fija, fechas en formato propietario, códigos de producto internos</w:t>
            </w:r>
          </w:p>
        </w:tc>
      </w:tr>
      <w:tr w:rsidR="000444D1" w:rsidRPr="000444D1" w14:paraId="640F8134" w14:textId="77777777">
        <w:trPr>
          <w:tblCellSpacing w:w="15" w:type="dxa"/>
        </w:trPr>
        <w:tc>
          <w:tcPr>
            <w:tcW w:w="0" w:type="auto"/>
            <w:vAlign w:val="center"/>
            <w:hideMark/>
          </w:tcPr>
          <w:p w14:paraId="115C37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Traducción</w:t>
            </w:r>
          </w:p>
        </w:tc>
        <w:tc>
          <w:tcPr>
            <w:tcW w:w="0" w:type="auto"/>
            <w:vAlign w:val="center"/>
            <w:hideMark/>
          </w:tcPr>
          <w:p w14:paraId="19BE6E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Traductor de códigos de error</w:t>
            </w:r>
          </w:p>
        </w:tc>
        <w:tc>
          <w:tcPr>
            <w:tcW w:w="0" w:type="auto"/>
            <w:vAlign w:val="center"/>
            <w:hideMark/>
          </w:tcPr>
          <w:p w14:paraId="39AAAF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Convierte los códigos de retorno del core en errores de dominio con semántica explícita (fondos insuficientes, cuenta bloqueada, producto inexistente)</w:t>
            </w:r>
          </w:p>
        </w:tc>
      </w:tr>
      <w:tr w:rsidR="000444D1" w:rsidRPr="000444D1" w14:paraId="225CAC7F" w14:textId="77777777">
        <w:trPr>
          <w:tblCellSpacing w:w="15" w:type="dxa"/>
        </w:trPr>
        <w:tc>
          <w:tcPr>
            <w:tcW w:w="0" w:type="auto"/>
            <w:vAlign w:val="center"/>
            <w:hideMark/>
          </w:tcPr>
          <w:p w14:paraId="41DC8D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Transporte</w:t>
            </w:r>
          </w:p>
        </w:tc>
        <w:tc>
          <w:tcPr>
            <w:tcW w:w="0" w:type="auto"/>
            <w:vAlign w:val="center"/>
            <w:hideMark/>
          </w:tcPr>
          <w:p w14:paraId="4532C0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Cliente de mensajería (MQ)</w:t>
            </w:r>
          </w:p>
        </w:tc>
        <w:tc>
          <w:tcPr>
            <w:tcW w:w="0" w:type="auto"/>
            <w:vAlign w:val="center"/>
            <w:hideMark/>
          </w:tcPr>
          <w:p w14:paraId="46FE3C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Envío y correlación de mensajes transaccionales con el core</w:t>
            </w:r>
          </w:p>
        </w:tc>
      </w:tr>
      <w:tr w:rsidR="000444D1" w:rsidRPr="000444D1" w14:paraId="3C4BED85" w14:textId="77777777">
        <w:trPr>
          <w:tblCellSpacing w:w="15" w:type="dxa"/>
        </w:trPr>
        <w:tc>
          <w:tcPr>
            <w:tcW w:w="0" w:type="auto"/>
            <w:vAlign w:val="center"/>
            <w:hideMark/>
          </w:tcPr>
          <w:p w14:paraId="585239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Transporte</w:t>
            </w:r>
          </w:p>
        </w:tc>
        <w:tc>
          <w:tcPr>
            <w:tcW w:w="0" w:type="auto"/>
            <w:vAlign w:val="center"/>
            <w:hideMark/>
          </w:tcPr>
          <w:p w14:paraId="6562F1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Procesador de archivos batch</w:t>
            </w:r>
          </w:p>
        </w:tc>
        <w:tc>
          <w:tcPr>
            <w:tcW w:w="0" w:type="auto"/>
            <w:vAlign w:val="center"/>
            <w:hideMark/>
          </w:tcPr>
          <w:p w14:paraId="1FCDFC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Ingesta y generación de archivos para operaciones masivas</w:t>
            </w:r>
          </w:p>
        </w:tc>
      </w:tr>
      <w:tr w:rsidR="000444D1" w:rsidRPr="000444D1" w14:paraId="7D8205D2" w14:textId="77777777">
        <w:trPr>
          <w:tblCellSpacing w:w="15" w:type="dxa"/>
        </w:trPr>
        <w:tc>
          <w:tcPr>
            <w:tcW w:w="0" w:type="auto"/>
            <w:vAlign w:val="center"/>
            <w:hideMark/>
          </w:tcPr>
          <w:p w14:paraId="47E3DCE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Resiliencia</w:t>
            </w:r>
          </w:p>
        </w:tc>
        <w:tc>
          <w:tcPr>
            <w:tcW w:w="0" w:type="auto"/>
            <w:vAlign w:val="center"/>
            <w:hideMark/>
          </w:tcPr>
          <w:p w14:paraId="0B9DB4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Controlador de disponibilidad</w:t>
            </w:r>
          </w:p>
        </w:tc>
        <w:tc>
          <w:tcPr>
            <w:tcW w:w="0" w:type="auto"/>
            <w:vAlign w:val="center"/>
            <w:hideMark/>
          </w:tcPr>
          <w:p w14:paraId="3C2549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Cortocircuito, reintentos con retroceso y detección de la ventana de cierre; expone el estado degradado al resto del sistema</w:t>
            </w:r>
          </w:p>
        </w:tc>
      </w:tr>
      <w:tr w:rsidR="000444D1" w:rsidRPr="000444D1" w14:paraId="579F8B75" w14:textId="77777777">
        <w:trPr>
          <w:tblCellSpacing w:w="15" w:type="dxa"/>
        </w:trPr>
        <w:tc>
          <w:tcPr>
            <w:tcW w:w="0" w:type="auto"/>
            <w:vAlign w:val="center"/>
            <w:hideMark/>
          </w:tcPr>
          <w:p w14:paraId="002644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Publicación</w:t>
            </w:r>
          </w:p>
        </w:tc>
        <w:tc>
          <w:tcPr>
            <w:tcW w:w="0" w:type="auto"/>
            <w:vAlign w:val="center"/>
            <w:hideMark/>
          </w:tcPr>
          <w:p w14:paraId="5717E1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Emisor de eventos de dominio</w:t>
            </w:r>
          </w:p>
        </w:tc>
        <w:tc>
          <w:tcPr>
            <w:tcW w:w="0" w:type="auto"/>
            <w:vAlign w:val="center"/>
            <w:hideMark/>
          </w:tcPr>
          <w:p w14:paraId="4A2DBC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Publica un evento por cada operación confirmada que el propio ACL originó (ADR-004, mecanismo 1)</w:t>
            </w:r>
          </w:p>
        </w:tc>
      </w:tr>
    </w:tbl>
    <w:p w14:paraId="1EB5DB47"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Por qué el ACL es un contenedor y no un servicio de dominio</w:t>
      </w:r>
    </w:p>
    <w:p w14:paraId="41A9E91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posee ninguna entidad de la que sea system of record, y toda su lógica es de traducción. Elevarlo a servicio de dominio produciría un componente sin responsabilidad de negocio. Su lugar correcto es el de adaptador de infraestructura compartido, y así aparece en la sección 5.2.</w:t>
      </w:r>
    </w:p>
    <w:p w14:paraId="2E60F1D3"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 componente que sustituye a los supuestos</w:t>
      </w:r>
    </w:p>
    <w:p w14:paraId="582A01E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w:t>
      </w:r>
      <w:r w:rsidRPr="000444D1">
        <w:rPr>
          <w:rFonts w:ascii="Times New Roman" w:eastAsia="Times New Roman" w:hAnsi="Times New Roman" w:cs="Times New Roman"/>
          <w:b/>
          <w:bCs/>
          <w:kern w:val="0"/>
          <w14:ligatures w14:val="none"/>
        </w:rPr>
        <w:t>mapeador de modelo canónico</w:t>
      </w:r>
      <w:r w:rsidRPr="000444D1">
        <w:rPr>
          <w:rFonts w:ascii="Times New Roman" w:eastAsia="Times New Roman" w:hAnsi="Times New Roman" w:cs="Times New Roman"/>
          <w:kern w:val="0"/>
          <w14:ligatures w14:val="none"/>
        </w:rPr>
        <w:t xml:space="preserve"> y el </w:t>
      </w:r>
      <w:r w:rsidRPr="000444D1">
        <w:rPr>
          <w:rFonts w:ascii="Times New Roman" w:eastAsia="Times New Roman" w:hAnsi="Times New Roman" w:cs="Times New Roman"/>
          <w:b/>
          <w:bCs/>
          <w:kern w:val="0"/>
          <w14:ligatures w14:val="none"/>
        </w:rPr>
        <w:t>cliente de mensajería</w:t>
      </w:r>
      <w:r w:rsidRPr="000444D1">
        <w:rPr>
          <w:rFonts w:ascii="Times New Roman" w:eastAsia="Times New Roman" w:hAnsi="Times New Roman" w:cs="Times New Roman"/>
          <w:kern w:val="0"/>
          <w14:ligatures w14:val="none"/>
        </w:rPr>
        <w:t xml:space="preserve"> son los dos únicos componentes del sistema completo que conocen el modelo y el protocolo del core tradicional. Si los supuestos </w:t>
      </w:r>
      <w:r w:rsidRPr="000444D1">
        <w:rPr>
          <w:rFonts w:ascii="Times New Roman" w:eastAsia="Times New Roman" w:hAnsi="Times New Roman" w:cs="Times New Roman"/>
          <w:kern w:val="0"/>
          <w14:ligatures w14:val="none"/>
        </w:rPr>
        <w:lastRenderedPageBreak/>
        <w:t>de la sección 2.1 resultan falsos —el core expone servicios SOAP en lugar de MQ, o el modelo de datos difiere de lo previsto—, el cambio se localiza en estos dos componentes. Ningún otro elemento de los diagramas 6, 7 y 8 se ve afectado. Esta es la razón concreta por la que la ausencia de información sobre el sistema legado no bloquea el diseño.</w:t>
      </w:r>
    </w:p>
    <w:p w14:paraId="5E978AA7"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69A1DB87">
          <v:rect id="Horizontal Line 566" o:spid="_x0000_s10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6AF080C"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9. Flujos end-to-end</w:t>
      </w:r>
    </w:p>
    <w:p w14:paraId="33D4BD5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9.1 Transferencia con evaluación de fraude en línea</w:t>
      </w:r>
    </w:p>
    <w:p w14:paraId="03701ADB" w14:textId="04A61E2A"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fldChar w:fldCharType="begin"/>
      </w:r>
      <w:r w:rsidRPr="000444D1">
        <w:rPr>
          <w:rFonts w:ascii="Times New Roman" w:eastAsia="Times New Roman" w:hAnsi="Times New Roman" w:cs="Times New Roman"/>
          <w:kern w:val="0"/>
          <w14:ligatures w14:val="none"/>
        </w:rPr>
        <w:instrText xml:space="preserve"> INCLUDEPICTURE "https://claude.ai/chat/diagramas/secuencia-transferencia.png" \* MERGEFORMATINET </w:instrText>
      </w:r>
      <w:r w:rsidRPr="000444D1">
        <w:rPr>
          <w:rFonts w:ascii="Times New Roman" w:eastAsia="Times New Roman" w:hAnsi="Times New Roman" w:cs="Times New Roman"/>
          <w:kern w:val="0"/>
          <w14:ligatures w14:val="none"/>
        </w:rPr>
        <w:fldChar w:fldCharType="separate"/>
      </w:r>
      <w:r w:rsidRPr="000444D1">
        <w:rPr>
          <w:rFonts w:ascii="Times New Roman" w:eastAsia="Times New Roman" w:hAnsi="Times New Roman" w:cs="Times New Roman"/>
          <w:noProof/>
          <w:kern w:val="0"/>
          <w14:ligatures w14:val="none"/>
        </w:rPr>
        <mc:AlternateContent>
          <mc:Choice Requires="wps">
            <w:drawing>
              <wp:inline distT="0" distB="0" distL="0" distR="0" wp14:anchorId="499C9D17" wp14:editId="373EF0BC">
                <wp:extent cx="302260" cy="302260"/>
                <wp:effectExtent l="0" t="0" r="0" b="0"/>
                <wp:docPr id="963206933" name="Rectangle 65" descr="Secuencia de transferencia con evaluación de frau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66C4E" id="Rectangle 65" o:spid="_x0000_s1026" alt="Secuencia de transferencia con evaluación de fraud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0444D1">
        <w:rPr>
          <w:rFonts w:ascii="Times New Roman" w:eastAsia="Times New Roman" w:hAnsi="Times New Roman" w:cs="Times New Roman"/>
          <w:kern w:val="0"/>
          <w14:ligatures w14:val="none"/>
        </w:rPr>
        <w:fldChar w:fldCharType="end"/>
      </w:r>
    </w:p>
    <w:p w14:paraId="7EC3072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Camino normal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275"/>
        <w:gridCol w:w="1662"/>
        <w:gridCol w:w="3108"/>
      </w:tblGrid>
      <w:tr w:rsidR="000444D1" w:rsidRPr="000444D1" w14:paraId="6791C57F" w14:textId="77777777">
        <w:trPr>
          <w:tblHeader/>
          <w:tblCellSpacing w:w="15" w:type="dxa"/>
        </w:trPr>
        <w:tc>
          <w:tcPr>
            <w:tcW w:w="0" w:type="auto"/>
            <w:vAlign w:val="center"/>
            <w:hideMark/>
          </w:tcPr>
          <w:p w14:paraId="1AF5EA2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6724168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Paso</w:t>
            </w:r>
          </w:p>
        </w:tc>
        <w:tc>
          <w:tcPr>
            <w:tcW w:w="0" w:type="auto"/>
            <w:vAlign w:val="center"/>
            <w:hideMark/>
          </w:tcPr>
          <w:p w14:paraId="6E80523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Naturaleza</w:t>
            </w:r>
          </w:p>
        </w:tc>
        <w:tc>
          <w:tcPr>
            <w:tcW w:w="0" w:type="auto"/>
            <w:vAlign w:val="center"/>
            <w:hideMark/>
          </w:tcPr>
          <w:p w14:paraId="4BDFE64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Nota</w:t>
            </w:r>
          </w:p>
        </w:tc>
      </w:tr>
      <w:tr w:rsidR="000444D1" w:rsidRPr="000444D1" w14:paraId="5453118D" w14:textId="77777777">
        <w:trPr>
          <w:tblCellSpacing w:w="15" w:type="dxa"/>
        </w:trPr>
        <w:tc>
          <w:tcPr>
            <w:tcW w:w="0" w:type="auto"/>
            <w:vAlign w:val="center"/>
            <w:hideMark/>
          </w:tcPr>
          <w:p w14:paraId="5E5290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w:t>
            </w:r>
          </w:p>
        </w:tc>
        <w:tc>
          <w:tcPr>
            <w:tcW w:w="0" w:type="auto"/>
            <w:vAlign w:val="center"/>
            <w:hideMark/>
          </w:tcPr>
          <w:p w14:paraId="20811F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canal envía la solicitud de pago al BFF, que la reenvía a D4 con la clave de idempotencia generada por el canal</w:t>
            </w:r>
          </w:p>
        </w:tc>
        <w:tc>
          <w:tcPr>
            <w:tcW w:w="0" w:type="auto"/>
            <w:vAlign w:val="center"/>
            <w:hideMark/>
          </w:tcPr>
          <w:p w14:paraId="149EC7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c>
          <w:tcPr>
            <w:tcW w:w="0" w:type="auto"/>
            <w:vAlign w:val="center"/>
            <w:hideMark/>
          </w:tcPr>
          <w:p w14:paraId="2A6A8A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clave la genera el cliente, no el servidor: permite reintento seguro desde el canal</w:t>
            </w:r>
          </w:p>
        </w:tc>
      </w:tr>
      <w:tr w:rsidR="000444D1" w:rsidRPr="000444D1" w14:paraId="5B076888" w14:textId="77777777">
        <w:trPr>
          <w:tblCellSpacing w:w="15" w:type="dxa"/>
        </w:trPr>
        <w:tc>
          <w:tcPr>
            <w:tcW w:w="0" w:type="auto"/>
            <w:vAlign w:val="center"/>
            <w:hideMark/>
          </w:tcPr>
          <w:p w14:paraId="11D53A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w:t>
            </w:r>
          </w:p>
        </w:tc>
        <w:tc>
          <w:tcPr>
            <w:tcW w:w="0" w:type="auto"/>
            <w:vAlign w:val="center"/>
            <w:hideMark/>
          </w:tcPr>
          <w:p w14:paraId="3C31DF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middleware de idempotencia comprueba si la clave ya fue procesada</w:t>
            </w:r>
          </w:p>
        </w:tc>
        <w:tc>
          <w:tcPr>
            <w:tcW w:w="0" w:type="auto"/>
            <w:vAlign w:val="center"/>
            <w:hideMark/>
          </w:tcPr>
          <w:p w14:paraId="605E92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Local</w:t>
            </w:r>
          </w:p>
        </w:tc>
        <w:tc>
          <w:tcPr>
            <w:tcW w:w="0" w:type="auto"/>
            <w:vAlign w:val="center"/>
            <w:hideMark/>
          </w:tcPr>
          <w:p w14:paraId="272895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lo fue, devuelve la respuesta original sin reejecutar</w:t>
            </w:r>
          </w:p>
        </w:tc>
      </w:tr>
      <w:tr w:rsidR="000444D1" w:rsidRPr="000444D1" w14:paraId="3CE2E171" w14:textId="77777777">
        <w:trPr>
          <w:tblCellSpacing w:w="15" w:type="dxa"/>
        </w:trPr>
        <w:tc>
          <w:tcPr>
            <w:tcW w:w="0" w:type="auto"/>
            <w:vAlign w:val="center"/>
            <w:hideMark/>
          </w:tcPr>
          <w:p w14:paraId="464216C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c>
          <w:tcPr>
            <w:tcW w:w="0" w:type="auto"/>
            <w:vAlign w:val="center"/>
            <w:hideMark/>
          </w:tcPr>
          <w:p w14:paraId="707197C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Se crea el agregado Orden de pago en estado </w:t>
            </w:r>
            <w:r w:rsidRPr="000444D1">
              <w:rPr>
                <w:rFonts w:ascii="Courier New" w:eastAsia="Times New Roman" w:hAnsi="Courier New" w:cs="Courier New"/>
                <w:kern w:val="0"/>
                <w:sz w:val="20"/>
                <w:szCs w:val="20"/>
                <w14:ligatures w14:val="none"/>
              </w:rPr>
              <w:t>registrada</w:t>
            </w:r>
            <w:r w:rsidRPr="000444D1">
              <w:rPr>
                <w:rFonts w:ascii="Times New Roman" w:eastAsia="Times New Roman" w:hAnsi="Times New Roman" w:cs="Times New Roman"/>
                <w:kern w:val="0"/>
                <w14:ligatures w14:val="none"/>
              </w:rPr>
              <w:t xml:space="preserve"> y se persiste</w:t>
            </w:r>
          </w:p>
        </w:tc>
        <w:tc>
          <w:tcPr>
            <w:tcW w:w="0" w:type="auto"/>
            <w:vAlign w:val="center"/>
            <w:hideMark/>
          </w:tcPr>
          <w:p w14:paraId="50D991C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Local</w:t>
            </w:r>
          </w:p>
        </w:tc>
        <w:tc>
          <w:tcPr>
            <w:tcW w:w="0" w:type="auto"/>
            <w:vAlign w:val="center"/>
            <w:hideMark/>
          </w:tcPr>
          <w:p w14:paraId="45BB48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orden existe antes de cualquier llamada externa: si el proceso cae, hay rastro</w:t>
            </w:r>
          </w:p>
        </w:tc>
      </w:tr>
      <w:tr w:rsidR="000444D1" w:rsidRPr="000444D1" w14:paraId="5753CA85" w14:textId="77777777">
        <w:trPr>
          <w:tblCellSpacing w:w="15" w:type="dxa"/>
        </w:trPr>
        <w:tc>
          <w:tcPr>
            <w:tcW w:w="0" w:type="auto"/>
            <w:vAlign w:val="center"/>
            <w:hideMark/>
          </w:tcPr>
          <w:p w14:paraId="66EF70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w:t>
            </w:r>
          </w:p>
        </w:tc>
        <w:tc>
          <w:tcPr>
            <w:tcW w:w="0" w:type="auto"/>
            <w:vAlign w:val="center"/>
            <w:hideMark/>
          </w:tcPr>
          <w:p w14:paraId="0ACB71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consulta el catálogo de productos (D2) para resolver el core propietario de la cuenta origen</w:t>
            </w:r>
          </w:p>
        </w:tc>
        <w:tc>
          <w:tcPr>
            <w:tcW w:w="0" w:type="auto"/>
            <w:vAlign w:val="center"/>
            <w:hideMark/>
          </w:tcPr>
          <w:p w14:paraId="39D62F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c>
          <w:tcPr>
            <w:tcW w:w="0" w:type="auto"/>
            <w:vAlign w:val="center"/>
            <w:hideMark/>
          </w:tcPr>
          <w:p w14:paraId="68E9404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Materializa el ADR-001</w:t>
            </w:r>
          </w:p>
        </w:tc>
      </w:tr>
      <w:tr w:rsidR="000444D1" w:rsidRPr="000444D1" w14:paraId="5FF66FE3" w14:textId="77777777">
        <w:trPr>
          <w:tblCellSpacing w:w="15" w:type="dxa"/>
        </w:trPr>
        <w:tc>
          <w:tcPr>
            <w:tcW w:w="0" w:type="auto"/>
            <w:vAlign w:val="center"/>
            <w:hideMark/>
          </w:tcPr>
          <w:p w14:paraId="448D2B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w:t>
            </w:r>
          </w:p>
        </w:tc>
        <w:tc>
          <w:tcPr>
            <w:tcW w:w="0" w:type="auto"/>
            <w:vAlign w:val="center"/>
            <w:hideMark/>
          </w:tcPr>
          <w:p w14:paraId="76C230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invoca la evaluación de fraude con timeout de 300 ms</w:t>
            </w:r>
          </w:p>
        </w:tc>
        <w:tc>
          <w:tcPr>
            <w:tcW w:w="0" w:type="auto"/>
            <w:vAlign w:val="center"/>
            <w:hideMark/>
          </w:tcPr>
          <w:p w14:paraId="12C262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 camino crítico</w:t>
            </w:r>
          </w:p>
        </w:tc>
        <w:tc>
          <w:tcPr>
            <w:tcW w:w="0" w:type="auto"/>
            <w:vAlign w:val="center"/>
            <w:hideMark/>
          </w:tcPr>
          <w:p w14:paraId="464F01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Ante ausencia de respuesta se aplica la degradación por umbral (ADR-005)</w:t>
            </w:r>
          </w:p>
        </w:tc>
      </w:tr>
      <w:tr w:rsidR="000444D1" w:rsidRPr="000444D1" w14:paraId="67ACA556" w14:textId="77777777">
        <w:trPr>
          <w:tblCellSpacing w:w="15" w:type="dxa"/>
        </w:trPr>
        <w:tc>
          <w:tcPr>
            <w:tcW w:w="0" w:type="auto"/>
            <w:vAlign w:val="center"/>
            <w:hideMark/>
          </w:tcPr>
          <w:p w14:paraId="0C2F47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w:t>
            </w:r>
          </w:p>
        </w:tc>
        <w:tc>
          <w:tcPr>
            <w:tcW w:w="0" w:type="auto"/>
            <w:vAlign w:val="center"/>
            <w:hideMark/>
          </w:tcPr>
          <w:p w14:paraId="0CDBE8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solicita el débito al core propietario a través del puerto de ejecución</w:t>
            </w:r>
          </w:p>
        </w:tc>
        <w:tc>
          <w:tcPr>
            <w:tcW w:w="0" w:type="auto"/>
            <w:vAlign w:val="center"/>
            <w:hideMark/>
          </w:tcPr>
          <w:p w14:paraId="6B721C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c>
          <w:tcPr>
            <w:tcW w:w="0" w:type="auto"/>
            <w:vAlign w:val="center"/>
            <w:hideMark/>
          </w:tcPr>
          <w:p w14:paraId="13BD7E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valida fondos y decide; el modelo de lectura no interviene (ADR-002)</w:t>
            </w:r>
          </w:p>
        </w:tc>
      </w:tr>
      <w:tr w:rsidR="000444D1" w:rsidRPr="000444D1" w14:paraId="5B25BD82" w14:textId="77777777">
        <w:trPr>
          <w:tblCellSpacing w:w="15" w:type="dxa"/>
        </w:trPr>
        <w:tc>
          <w:tcPr>
            <w:tcW w:w="0" w:type="auto"/>
            <w:vAlign w:val="center"/>
            <w:hideMark/>
          </w:tcPr>
          <w:p w14:paraId="654FC4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w:t>
            </w:r>
          </w:p>
        </w:tc>
        <w:tc>
          <w:tcPr>
            <w:tcW w:w="0" w:type="auto"/>
            <w:vAlign w:val="center"/>
            <w:hideMark/>
          </w:tcPr>
          <w:p w14:paraId="402BE6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agregado pasa a </w:t>
            </w:r>
            <w:r w:rsidRPr="000444D1">
              <w:rPr>
                <w:rFonts w:ascii="Courier New" w:eastAsia="Times New Roman" w:hAnsi="Courier New" w:cs="Courier New"/>
                <w:kern w:val="0"/>
                <w:sz w:val="20"/>
                <w:szCs w:val="20"/>
                <w14:ligatures w14:val="none"/>
              </w:rPr>
              <w:t>ejecutada</w:t>
            </w:r>
            <w:r w:rsidRPr="000444D1">
              <w:rPr>
                <w:rFonts w:ascii="Times New Roman" w:eastAsia="Times New Roman" w:hAnsi="Times New Roman" w:cs="Times New Roman"/>
                <w:kern w:val="0"/>
                <w14:ligatures w14:val="none"/>
              </w:rPr>
              <w:t>; el publicador outbox escribe el evento en la misma transacción</w:t>
            </w:r>
          </w:p>
        </w:tc>
        <w:tc>
          <w:tcPr>
            <w:tcW w:w="0" w:type="auto"/>
            <w:vAlign w:val="center"/>
            <w:hideMark/>
          </w:tcPr>
          <w:p w14:paraId="6F4595E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Local, transaccional</w:t>
            </w:r>
          </w:p>
        </w:tc>
        <w:tc>
          <w:tcPr>
            <w:tcW w:w="0" w:type="auto"/>
            <w:vAlign w:val="center"/>
            <w:hideMark/>
          </w:tcPr>
          <w:p w14:paraId="5B9416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Garantiza que no exista cambio de estado sin evento asociado</w:t>
            </w:r>
          </w:p>
        </w:tc>
      </w:tr>
      <w:tr w:rsidR="000444D1" w:rsidRPr="000444D1" w14:paraId="0F704909" w14:textId="77777777">
        <w:trPr>
          <w:tblCellSpacing w:w="15" w:type="dxa"/>
        </w:trPr>
        <w:tc>
          <w:tcPr>
            <w:tcW w:w="0" w:type="auto"/>
            <w:vAlign w:val="center"/>
            <w:hideMark/>
          </w:tcPr>
          <w:p w14:paraId="51E409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8</w:t>
            </w:r>
          </w:p>
        </w:tc>
        <w:tc>
          <w:tcPr>
            <w:tcW w:w="0" w:type="auto"/>
            <w:vAlign w:val="center"/>
            <w:hideMark/>
          </w:tcPr>
          <w:p w14:paraId="344E70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despachador outbox publica </w:t>
            </w:r>
            <w:r w:rsidRPr="000444D1">
              <w:rPr>
                <w:rFonts w:ascii="Courier New" w:eastAsia="Times New Roman" w:hAnsi="Courier New" w:cs="Courier New"/>
                <w:kern w:val="0"/>
                <w:sz w:val="20"/>
                <w:szCs w:val="20"/>
                <w14:ligatures w14:val="none"/>
              </w:rPr>
              <w:t>PagoEjecutado</w:t>
            </w:r>
            <w:r w:rsidRPr="000444D1">
              <w:rPr>
                <w:rFonts w:ascii="Times New Roman" w:eastAsia="Times New Roman" w:hAnsi="Times New Roman" w:cs="Times New Roman"/>
                <w:kern w:val="0"/>
                <w14:ligatures w14:val="none"/>
              </w:rPr>
              <w:t xml:space="preserve"> en el bus</w:t>
            </w:r>
          </w:p>
        </w:tc>
        <w:tc>
          <w:tcPr>
            <w:tcW w:w="0" w:type="auto"/>
            <w:vAlign w:val="center"/>
            <w:hideMark/>
          </w:tcPr>
          <w:p w14:paraId="402DDE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3ABD68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 reintento y cola de mensajes fallidos</w:t>
            </w:r>
          </w:p>
        </w:tc>
      </w:tr>
      <w:tr w:rsidR="000444D1" w:rsidRPr="000444D1" w14:paraId="3823AFB7" w14:textId="77777777">
        <w:trPr>
          <w:tblCellSpacing w:w="15" w:type="dxa"/>
        </w:trPr>
        <w:tc>
          <w:tcPr>
            <w:tcW w:w="0" w:type="auto"/>
            <w:vAlign w:val="center"/>
            <w:hideMark/>
          </w:tcPr>
          <w:p w14:paraId="61AEA3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w:t>
            </w:r>
          </w:p>
        </w:tc>
        <w:tc>
          <w:tcPr>
            <w:tcW w:w="0" w:type="auto"/>
            <w:vAlign w:val="center"/>
            <w:hideMark/>
          </w:tcPr>
          <w:p w14:paraId="03C07F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D8, D6 y D5 consumen el evento y actualizan proyección, auditoría, perfil de riesgo y realimentación del modelo</w:t>
            </w:r>
          </w:p>
        </w:tc>
        <w:tc>
          <w:tcPr>
            <w:tcW w:w="0" w:type="auto"/>
            <w:vAlign w:val="center"/>
            <w:hideMark/>
          </w:tcPr>
          <w:p w14:paraId="0AE99D0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3F3A3C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Ninguno bloquea la respuesta al cliente</w:t>
            </w:r>
          </w:p>
        </w:tc>
      </w:tr>
      <w:tr w:rsidR="000444D1" w:rsidRPr="000444D1" w14:paraId="2EFA6723" w14:textId="77777777">
        <w:trPr>
          <w:tblCellSpacing w:w="15" w:type="dxa"/>
        </w:trPr>
        <w:tc>
          <w:tcPr>
            <w:tcW w:w="0" w:type="auto"/>
            <w:vAlign w:val="center"/>
            <w:hideMark/>
          </w:tcPr>
          <w:p w14:paraId="4C18D4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10</w:t>
            </w:r>
          </w:p>
        </w:tc>
        <w:tc>
          <w:tcPr>
            <w:tcW w:w="0" w:type="auto"/>
            <w:vAlign w:val="center"/>
            <w:hideMark/>
          </w:tcPr>
          <w:p w14:paraId="6FA698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responde al canal</w:t>
            </w:r>
          </w:p>
        </w:tc>
        <w:tc>
          <w:tcPr>
            <w:tcW w:w="0" w:type="auto"/>
            <w:vAlign w:val="center"/>
            <w:hideMark/>
          </w:tcPr>
          <w:p w14:paraId="652F7C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c>
          <w:tcPr>
            <w:tcW w:w="0" w:type="auto"/>
            <w:vAlign w:val="center"/>
            <w:hideMark/>
          </w:tcPr>
          <w:p w14:paraId="69D86DD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respuesta no espera al paso 9</w:t>
            </w:r>
          </w:p>
        </w:tc>
      </w:tr>
    </w:tbl>
    <w:p w14:paraId="57536CA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Puntos de fallo y compensación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2571"/>
        <w:gridCol w:w="5225"/>
      </w:tblGrid>
      <w:tr w:rsidR="000444D1" w:rsidRPr="000444D1" w14:paraId="21EF68B8" w14:textId="77777777">
        <w:trPr>
          <w:tblHeader/>
          <w:tblCellSpacing w:w="15" w:type="dxa"/>
        </w:trPr>
        <w:tc>
          <w:tcPr>
            <w:tcW w:w="0" w:type="auto"/>
            <w:vAlign w:val="center"/>
            <w:hideMark/>
          </w:tcPr>
          <w:p w14:paraId="367B17D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Fallo en</w:t>
            </w:r>
          </w:p>
        </w:tc>
        <w:tc>
          <w:tcPr>
            <w:tcW w:w="0" w:type="auto"/>
            <w:vAlign w:val="center"/>
            <w:hideMark/>
          </w:tcPr>
          <w:p w14:paraId="2B4E1AD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Estado del agregado</w:t>
            </w:r>
          </w:p>
        </w:tc>
        <w:tc>
          <w:tcPr>
            <w:tcW w:w="0" w:type="auto"/>
            <w:vAlign w:val="center"/>
            <w:hideMark/>
          </w:tcPr>
          <w:p w14:paraId="6E67DF5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Acción</w:t>
            </w:r>
          </w:p>
        </w:tc>
      </w:tr>
      <w:tr w:rsidR="000444D1" w:rsidRPr="000444D1" w14:paraId="232FF2E0" w14:textId="77777777">
        <w:trPr>
          <w:tblCellSpacing w:w="15" w:type="dxa"/>
        </w:trPr>
        <w:tc>
          <w:tcPr>
            <w:tcW w:w="0" w:type="auto"/>
            <w:vAlign w:val="center"/>
            <w:hideMark/>
          </w:tcPr>
          <w:p w14:paraId="78910E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Paso 5 — fraude rechaza</w:t>
            </w:r>
          </w:p>
        </w:tc>
        <w:tc>
          <w:tcPr>
            <w:tcW w:w="0" w:type="auto"/>
            <w:vAlign w:val="center"/>
            <w:hideMark/>
          </w:tcPr>
          <w:p w14:paraId="6FD971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rechazada_por_fraude</w:t>
            </w:r>
          </w:p>
        </w:tc>
        <w:tc>
          <w:tcPr>
            <w:tcW w:w="0" w:type="auto"/>
            <w:vAlign w:val="center"/>
            <w:hideMark/>
          </w:tcPr>
          <w:p w14:paraId="03EC81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compensación: no hubo movimiento de fondos. Se publica el evento y se notifica al cliente</w:t>
            </w:r>
          </w:p>
        </w:tc>
      </w:tr>
      <w:tr w:rsidR="000444D1" w:rsidRPr="000444D1" w14:paraId="3CC33132" w14:textId="77777777">
        <w:trPr>
          <w:tblCellSpacing w:w="15" w:type="dxa"/>
        </w:trPr>
        <w:tc>
          <w:tcPr>
            <w:tcW w:w="0" w:type="auto"/>
            <w:vAlign w:val="center"/>
            <w:hideMark/>
          </w:tcPr>
          <w:p w14:paraId="01852EC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Paso 5 — fraude no responde</w:t>
            </w:r>
          </w:p>
        </w:tc>
        <w:tc>
          <w:tcPr>
            <w:tcW w:w="0" w:type="auto"/>
            <w:vAlign w:val="center"/>
            <w:hideMark/>
          </w:tcPr>
          <w:p w14:paraId="6D6052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registrada</w:t>
            </w:r>
          </w:p>
        </w:tc>
        <w:tc>
          <w:tcPr>
            <w:tcW w:w="0" w:type="auto"/>
            <w:vAlign w:val="center"/>
            <w:hideMark/>
          </w:tcPr>
          <w:p w14:paraId="235CDE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aplica la política del ADR-005 según el umbral de monto; la decisión y su motivo quedan en la traza</w:t>
            </w:r>
          </w:p>
        </w:tc>
      </w:tr>
      <w:tr w:rsidR="000444D1" w:rsidRPr="000444D1" w14:paraId="1C042D32" w14:textId="77777777">
        <w:trPr>
          <w:tblCellSpacing w:w="15" w:type="dxa"/>
        </w:trPr>
        <w:tc>
          <w:tcPr>
            <w:tcW w:w="0" w:type="auto"/>
            <w:vAlign w:val="center"/>
            <w:hideMark/>
          </w:tcPr>
          <w:p w14:paraId="274319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Paso 6 — el core rechaza el débito</w:t>
            </w:r>
          </w:p>
        </w:tc>
        <w:tc>
          <w:tcPr>
            <w:tcW w:w="0" w:type="auto"/>
            <w:vAlign w:val="center"/>
            <w:hideMark/>
          </w:tcPr>
          <w:p w14:paraId="5431DD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rechazada</w:t>
            </w:r>
          </w:p>
        </w:tc>
        <w:tc>
          <w:tcPr>
            <w:tcW w:w="0" w:type="auto"/>
            <w:vAlign w:val="center"/>
            <w:hideMark/>
          </w:tcPr>
          <w:p w14:paraId="17FB3A9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compensación: el core es transaccional y no ejecutó nada</w:t>
            </w:r>
          </w:p>
        </w:tc>
      </w:tr>
      <w:tr w:rsidR="000444D1" w:rsidRPr="000444D1" w14:paraId="01DFD269" w14:textId="77777777">
        <w:trPr>
          <w:tblCellSpacing w:w="15" w:type="dxa"/>
        </w:trPr>
        <w:tc>
          <w:tcPr>
            <w:tcW w:w="0" w:type="auto"/>
            <w:vAlign w:val="center"/>
            <w:hideMark/>
          </w:tcPr>
          <w:p w14:paraId="674685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Paso 6 — el core no responde</w:t>
            </w:r>
          </w:p>
        </w:tc>
        <w:tc>
          <w:tcPr>
            <w:tcW w:w="0" w:type="auto"/>
            <w:vAlign w:val="center"/>
            <w:hideMark/>
          </w:tcPr>
          <w:p w14:paraId="177570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en_verificacion</w:t>
            </w:r>
          </w:p>
        </w:tc>
        <w:tc>
          <w:tcPr>
            <w:tcW w:w="0" w:type="auto"/>
            <w:vAlign w:val="center"/>
            <w:hideMark/>
          </w:tcPr>
          <w:p w14:paraId="0F671D6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Este es el caso crítico.</w:t>
            </w:r>
            <w:r w:rsidRPr="000444D1">
              <w:rPr>
                <w:rFonts w:ascii="Times New Roman" w:eastAsia="Times New Roman" w:hAnsi="Times New Roman" w:cs="Times New Roman"/>
                <w:kern w:val="0"/>
                <w14:ligatures w14:val="none"/>
              </w:rPr>
              <w:t xml:space="preserve"> No se puede asumir ni éxito ni fallo. La orden queda en verificación y un proceso de reconciliación la resuelve contra el core; nunca se reintenta a ciegas</w:t>
            </w:r>
          </w:p>
        </w:tc>
      </w:tr>
      <w:tr w:rsidR="000444D1" w:rsidRPr="000444D1" w14:paraId="5F9B7DA0" w14:textId="77777777">
        <w:trPr>
          <w:tblCellSpacing w:w="15" w:type="dxa"/>
        </w:trPr>
        <w:tc>
          <w:tcPr>
            <w:tcW w:w="0" w:type="auto"/>
            <w:vAlign w:val="center"/>
            <w:hideMark/>
          </w:tcPr>
          <w:p w14:paraId="0297BF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Paso 7 — fallo tras el débito</w:t>
            </w:r>
          </w:p>
        </w:tc>
        <w:tc>
          <w:tcPr>
            <w:tcW w:w="0" w:type="auto"/>
            <w:vAlign w:val="center"/>
            <w:hideMark/>
          </w:tcPr>
          <w:p w14:paraId="129630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ejecutada</w:t>
            </w:r>
            <w:r w:rsidRPr="000444D1">
              <w:rPr>
                <w:rFonts w:ascii="Times New Roman" w:eastAsia="Times New Roman" w:hAnsi="Times New Roman" w:cs="Times New Roman"/>
                <w:kern w:val="0"/>
                <w14:ligatures w14:val="none"/>
              </w:rPr>
              <w:t xml:space="preserve"> no persistido</w:t>
            </w:r>
          </w:p>
        </w:tc>
        <w:tc>
          <w:tcPr>
            <w:tcW w:w="0" w:type="auto"/>
            <w:vAlign w:val="center"/>
            <w:hideMark/>
          </w:tcPr>
          <w:p w14:paraId="26CE9E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transacción local revierte; la reconciliación detecta el débito huérfano en el core y emite la compensación</w:t>
            </w:r>
          </w:p>
        </w:tc>
      </w:tr>
      <w:tr w:rsidR="000444D1" w:rsidRPr="000444D1" w14:paraId="435DAA15" w14:textId="77777777">
        <w:trPr>
          <w:tblCellSpacing w:w="15" w:type="dxa"/>
        </w:trPr>
        <w:tc>
          <w:tcPr>
            <w:tcW w:w="0" w:type="auto"/>
            <w:vAlign w:val="center"/>
            <w:hideMark/>
          </w:tcPr>
          <w:p w14:paraId="6B2F5D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Paso 8 — el bus no acepta el evento</w:t>
            </w:r>
          </w:p>
        </w:tc>
        <w:tc>
          <w:tcPr>
            <w:tcW w:w="0" w:type="auto"/>
            <w:vAlign w:val="center"/>
            <w:hideMark/>
          </w:tcPr>
          <w:p w14:paraId="132C38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ejecutada</w:t>
            </w:r>
            <w:r w:rsidRPr="000444D1">
              <w:rPr>
                <w:rFonts w:ascii="Times New Roman" w:eastAsia="Times New Roman" w:hAnsi="Times New Roman" w:cs="Times New Roman"/>
                <w:kern w:val="0"/>
                <w14:ligatures w14:val="none"/>
              </w:rPr>
              <w:t>, outbox pendiente</w:t>
            </w:r>
          </w:p>
        </w:tc>
        <w:tc>
          <w:tcPr>
            <w:tcW w:w="0" w:type="auto"/>
            <w:vAlign w:val="center"/>
            <w:hideMark/>
          </w:tcPr>
          <w:p w14:paraId="228E2C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despachador reintenta; el evento no se pierde porque está persistido. Los consumidores lo reciben con retraso, no con pérdida</w:t>
            </w:r>
          </w:p>
        </w:tc>
      </w:tr>
    </w:tbl>
    <w:p w14:paraId="7B52AD6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La celda que importa es el paso 6 sin respuesta.</w:t>
      </w:r>
      <w:r w:rsidRPr="000444D1">
        <w:rPr>
          <w:rFonts w:ascii="Times New Roman" w:eastAsia="Times New Roman" w:hAnsi="Times New Roman" w:cs="Times New Roman"/>
          <w:kern w:val="0"/>
          <w14:ligatures w14:val="none"/>
        </w:rPr>
        <w:t xml:space="preserve"> Un timeout contra un sistema transaccional no es un fallo: es un estado desconocido. Reintentar sin verificar produce doble débito, y compensar sin verificar produce un abono indebido. El estado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y la reconciliación explícita son la única respuesta correcta, y su existencia es la diferencia entre una saga dibujada y una saga diseñada.</w:t>
      </w:r>
    </w:p>
    <w:p w14:paraId="2DD28CED"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9.2 Consulta de posición con cuentas en ambos 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7277"/>
        <w:gridCol w:w="1515"/>
      </w:tblGrid>
      <w:tr w:rsidR="000444D1" w:rsidRPr="000444D1" w14:paraId="7B8F31AC" w14:textId="77777777">
        <w:trPr>
          <w:tblHeader/>
          <w:tblCellSpacing w:w="15" w:type="dxa"/>
        </w:trPr>
        <w:tc>
          <w:tcPr>
            <w:tcW w:w="0" w:type="auto"/>
            <w:vAlign w:val="center"/>
            <w:hideMark/>
          </w:tcPr>
          <w:p w14:paraId="0175316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07F4CC9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Paso</w:t>
            </w:r>
          </w:p>
        </w:tc>
        <w:tc>
          <w:tcPr>
            <w:tcW w:w="0" w:type="auto"/>
            <w:vAlign w:val="center"/>
            <w:hideMark/>
          </w:tcPr>
          <w:p w14:paraId="555A12C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Naturaleza</w:t>
            </w:r>
          </w:p>
        </w:tc>
      </w:tr>
      <w:tr w:rsidR="000444D1" w:rsidRPr="000444D1" w14:paraId="49D1B1FE" w14:textId="77777777">
        <w:trPr>
          <w:tblCellSpacing w:w="15" w:type="dxa"/>
        </w:trPr>
        <w:tc>
          <w:tcPr>
            <w:tcW w:w="0" w:type="auto"/>
            <w:vAlign w:val="center"/>
            <w:hideMark/>
          </w:tcPr>
          <w:p w14:paraId="3F717F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w:t>
            </w:r>
          </w:p>
        </w:tc>
        <w:tc>
          <w:tcPr>
            <w:tcW w:w="0" w:type="auto"/>
            <w:vAlign w:val="center"/>
            <w:hideMark/>
          </w:tcPr>
          <w:p w14:paraId="003EFB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canal solicita la posición consolidada al BFF</w:t>
            </w:r>
          </w:p>
        </w:tc>
        <w:tc>
          <w:tcPr>
            <w:tcW w:w="0" w:type="auto"/>
            <w:vAlign w:val="center"/>
            <w:hideMark/>
          </w:tcPr>
          <w:p w14:paraId="0B334B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r>
      <w:tr w:rsidR="000444D1" w:rsidRPr="000444D1" w14:paraId="1F17E2A7" w14:textId="77777777">
        <w:trPr>
          <w:tblCellSpacing w:w="15" w:type="dxa"/>
        </w:trPr>
        <w:tc>
          <w:tcPr>
            <w:tcW w:w="0" w:type="auto"/>
            <w:vAlign w:val="center"/>
            <w:hideMark/>
          </w:tcPr>
          <w:p w14:paraId="0CA647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w:t>
            </w:r>
          </w:p>
        </w:tc>
        <w:tc>
          <w:tcPr>
            <w:tcW w:w="0" w:type="auto"/>
            <w:vAlign w:val="center"/>
            <w:hideMark/>
          </w:tcPr>
          <w:p w14:paraId="621DCC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BFF consulta D3, que resuelve localmente desde su proyección</w:t>
            </w:r>
          </w:p>
        </w:tc>
        <w:tc>
          <w:tcPr>
            <w:tcW w:w="0" w:type="auto"/>
            <w:vAlign w:val="center"/>
            <w:hideMark/>
          </w:tcPr>
          <w:p w14:paraId="2C3598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 local</w:t>
            </w:r>
          </w:p>
        </w:tc>
      </w:tr>
      <w:tr w:rsidR="000444D1" w:rsidRPr="000444D1" w14:paraId="5D3569D5" w14:textId="77777777">
        <w:trPr>
          <w:tblCellSpacing w:w="15" w:type="dxa"/>
        </w:trPr>
        <w:tc>
          <w:tcPr>
            <w:tcW w:w="0" w:type="auto"/>
            <w:vAlign w:val="center"/>
            <w:hideMark/>
          </w:tcPr>
          <w:p w14:paraId="725EDA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c>
          <w:tcPr>
            <w:tcW w:w="0" w:type="auto"/>
            <w:vAlign w:val="center"/>
            <w:hideMark/>
          </w:tcPr>
          <w:p w14:paraId="3BF775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respuesta incluye la marca de tiempo de última actualización por cuenta</w:t>
            </w:r>
          </w:p>
        </w:tc>
        <w:tc>
          <w:tcPr>
            <w:tcW w:w="0" w:type="auto"/>
            <w:vAlign w:val="center"/>
            <w:hideMark/>
          </w:tcPr>
          <w:p w14:paraId="1F716B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r>
    </w:tbl>
    <w:p w14:paraId="6529FEE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Ningún core participa. Es la razón por la que este flujo cumple p95 &lt; 500 ms y sigue operando durante la ventana de cierre del core tradicional. La proyección se alimenta de los dos mecanismos del ADR-004, de modo que refleja tanto la actividad digital como la presencial.</w:t>
      </w:r>
    </w:p>
    <w:p w14:paraId="1724945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lastRenderedPageBreak/>
        <w:t>9.3 Acceso de un tercero Open Finance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7603"/>
        <w:gridCol w:w="1562"/>
      </w:tblGrid>
      <w:tr w:rsidR="000444D1" w:rsidRPr="000444D1" w14:paraId="457B0D07" w14:textId="77777777">
        <w:trPr>
          <w:tblHeader/>
          <w:tblCellSpacing w:w="15" w:type="dxa"/>
        </w:trPr>
        <w:tc>
          <w:tcPr>
            <w:tcW w:w="0" w:type="auto"/>
            <w:vAlign w:val="center"/>
            <w:hideMark/>
          </w:tcPr>
          <w:p w14:paraId="715AF4A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496906A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Paso</w:t>
            </w:r>
          </w:p>
        </w:tc>
        <w:tc>
          <w:tcPr>
            <w:tcW w:w="0" w:type="auto"/>
            <w:vAlign w:val="center"/>
            <w:hideMark/>
          </w:tcPr>
          <w:p w14:paraId="5D31404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Naturaleza</w:t>
            </w:r>
          </w:p>
        </w:tc>
      </w:tr>
      <w:tr w:rsidR="000444D1" w:rsidRPr="000444D1" w14:paraId="5207653B" w14:textId="77777777">
        <w:trPr>
          <w:tblCellSpacing w:w="15" w:type="dxa"/>
        </w:trPr>
        <w:tc>
          <w:tcPr>
            <w:tcW w:w="0" w:type="auto"/>
            <w:vAlign w:val="center"/>
            <w:hideMark/>
          </w:tcPr>
          <w:p w14:paraId="1CAF92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w:t>
            </w:r>
          </w:p>
        </w:tc>
        <w:tc>
          <w:tcPr>
            <w:tcW w:w="0" w:type="auto"/>
            <w:vAlign w:val="center"/>
            <w:hideMark/>
          </w:tcPr>
          <w:p w14:paraId="168E1A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TPP presenta certificado de cliente y token de acceso al gateway externo</w:t>
            </w:r>
          </w:p>
        </w:tc>
        <w:tc>
          <w:tcPr>
            <w:tcW w:w="0" w:type="auto"/>
            <w:vAlign w:val="center"/>
            <w:hideMark/>
          </w:tcPr>
          <w:p w14:paraId="64A611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 mTLS</w:t>
            </w:r>
          </w:p>
        </w:tc>
      </w:tr>
      <w:tr w:rsidR="000444D1" w:rsidRPr="000444D1" w14:paraId="44E0014A" w14:textId="77777777">
        <w:trPr>
          <w:tblCellSpacing w:w="15" w:type="dxa"/>
        </w:trPr>
        <w:tc>
          <w:tcPr>
            <w:tcW w:w="0" w:type="auto"/>
            <w:vAlign w:val="center"/>
            <w:hideMark/>
          </w:tcPr>
          <w:p w14:paraId="00C379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w:t>
            </w:r>
          </w:p>
        </w:tc>
        <w:tc>
          <w:tcPr>
            <w:tcW w:w="0" w:type="auto"/>
            <w:vAlign w:val="center"/>
            <w:hideMark/>
          </w:tcPr>
          <w:p w14:paraId="661901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gateway valida el token contra el IdP</w:t>
            </w:r>
          </w:p>
        </w:tc>
        <w:tc>
          <w:tcPr>
            <w:tcW w:w="0" w:type="auto"/>
            <w:vAlign w:val="center"/>
            <w:hideMark/>
          </w:tcPr>
          <w:p w14:paraId="68489D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r>
      <w:tr w:rsidR="000444D1" w:rsidRPr="000444D1" w14:paraId="6966F4C4" w14:textId="77777777">
        <w:trPr>
          <w:tblCellSpacing w:w="15" w:type="dxa"/>
        </w:trPr>
        <w:tc>
          <w:tcPr>
            <w:tcW w:w="0" w:type="auto"/>
            <w:vAlign w:val="center"/>
            <w:hideMark/>
          </w:tcPr>
          <w:p w14:paraId="609E4C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c>
          <w:tcPr>
            <w:tcW w:w="0" w:type="auto"/>
            <w:vAlign w:val="center"/>
            <w:hideMark/>
          </w:tcPr>
          <w:p w14:paraId="33E7A6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gateway consulta a D7 la vigencia y el alcance del consentimiento</w:t>
            </w:r>
          </w:p>
        </w:tc>
        <w:tc>
          <w:tcPr>
            <w:tcW w:w="0" w:type="auto"/>
            <w:vAlign w:val="center"/>
            <w:hideMark/>
          </w:tcPr>
          <w:p w14:paraId="58DB1F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r>
      <w:tr w:rsidR="000444D1" w:rsidRPr="000444D1" w14:paraId="225E28E4" w14:textId="77777777">
        <w:trPr>
          <w:tblCellSpacing w:w="15" w:type="dxa"/>
        </w:trPr>
        <w:tc>
          <w:tcPr>
            <w:tcW w:w="0" w:type="auto"/>
            <w:vAlign w:val="center"/>
            <w:hideMark/>
          </w:tcPr>
          <w:p w14:paraId="2DC8E4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w:t>
            </w:r>
          </w:p>
        </w:tc>
        <w:tc>
          <w:tcPr>
            <w:tcW w:w="0" w:type="auto"/>
            <w:vAlign w:val="center"/>
            <w:hideMark/>
          </w:tcPr>
          <w:p w14:paraId="0EF153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gateway consulta a D9 los entitlements sobre la cuenta solicitada</w:t>
            </w:r>
          </w:p>
        </w:tc>
        <w:tc>
          <w:tcPr>
            <w:tcW w:w="0" w:type="auto"/>
            <w:vAlign w:val="center"/>
            <w:hideMark/>
          </w:tcPr>
          <w:p w14:paraId="5B2B2C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r>
      <w:tr w:rsidR="000444D1" w:rsidRPr="000444D1" w14:paraId="673093B1" w14:textId="77777777">
        <w:trPr>
          <w:tblCellSpacing w:w="15" w:type="dxa"/>
        </w:trPr>
        <w:tc>
          <w:tcPr>
            <w:tcW w:w="0" w:type="auto"/>
            <w:vAlign w:val="center"/>
            <w:hideMark/>
          </w:tcPr>
          <w:p w14:paraId="11537B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w:t>
            </w:r>
          </w:p>
        </w:tc>
        <w:tc>
          <w:tcPr>
            <w:tcW w:w="0" w:type="auto"/>
            <w:vAlign w:val="center"/>
            <w:hideMark/>
          </w:tcPr>
          <w:p w14:paraId="4AAA8B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 ambas validaciones favorables, se enruta la consulta a D3</w:t>
            </w:r>
          </w:p>
        </w:tc>
        <w:tc>
          <w:tcPr>
            <w:tcW w:w="0" w:type="auto"/>
            <w:vAlign w:val="center"/>
            <w:hideMark/>
          </w:tcPr>
          <w:p w14:paraId="0BC6DD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r>
      <w:tr w:rsidR="000444D1" w:rsidRPr="000444D1" w14:paraId="756F1959" w14:textId="77777777">
        <w:trPr>
          <w:tblCellSpacing w:w="15" w:type="dxa"/>
        </w:trPr>
        <w:tc>
          <w:tcPr>
            <w:tcW w:w="0" w:type="auto"/>
            <w:vAlign w:val="center"/>
            <w:hideMark/>
          </w:tcPr>
          <w:p w14:paraId="4D9EEE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w:t>
            </w:r>
          </w:p>
        </w:tc>
        <w:tc>
          <w:tcPr>
            <w:tcW w:w="0" w:type="auto"/>
            <w:vAlign w:val="center"/>
            <w:hideMark/>
          </w:tcPr>
          <w:p w14:paraId="6529DE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acceso se registra en D8 vía evento, con identificación del TPP y del consentimiento aplicado</w:t>
            </w:r>
          </w:p>
        </w:tc>
        <w:tc>
          <w:tcPr>
            <w:tcW w:w="0" w:type="auto"/>
            <w:vAlign w:val="center"/>
            <w:hideMark/>
          </w:tcPr>
          <w:p w14:paraId="123AD0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r>
    </w:tbl>
    <w:p w14:paraId="422C5D1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paso 6 no es opcional: la trazabilidad de qué tercero accedió a qué dato bajo qué consentimiento es un requisito de la LOPDP y de la normativa de banca abierta, y es exigible ante el titular que ejerza su derecho de acceso.</w:t>
      </w:r>
    </w:p>
    <w:p w14:paraId="3AFB7167"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9.4 Operación durante la ventana de cierre del core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4044"/>
        <w:gridCol w:w="2393"/>
      </w:tblGrid>
      <w:tr w:rsidR="000444D1" w:rsidRPr="000444D1" w14:paraId="0A79ADE6" w14:textId="77777777">
        <w:trPr>
          <w:tblHeader/>
          <w:tblCellSpacing w:w="15" w:type="dxa"/>
        </w:trPr>
        <w:tc>
          <w:tcPr>
            <w:tcW w:w="0" w:type="auto"/>
            <w:vAlign w:val="center"/>
            <w:hideMark/>
          </w:tcPr>
          <w:p w14:paraId="5B3A4B8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Capacidad</w:t>
            </w:r>
          </w:p>
        </w:tc>
        <w:tc>
          <w:tcPr>
            <w:tcW w:w="0" w:type="auto"/>
            <w:vAlign w:val="center"/>
            <w:hideMark/>
          </w:tcPr>
          <w:p w14:paraId="6670E62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Estado durante el cierre</w:t>
            </w:r>
          </w:p>
        </w:tc>
        <w:tc>
          <w:tcPr>
            <w:tcW w:w="0" w:type="auto"/>
            <w:vAlign w:val="center"/>
            <w:hideMark/>
          </w:tcPr>
          <w:p w14:paraId="1439DA5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Fundamento</w:t>
            </w:r>
          </w:p>
        </w:tc>
      </w:tr>
      <w:tr w:rsidR="000444D1" w:rsidRPr="000444D1" w14:paraId="1B98E6B0" w14:textId="77777777">
        <w:trPr>
          <w:tblCellSpacing w:w="15" w:type="dxa"/>
        </w:trPr>
        <w:tc>
          <w:tcPr>
            <w:tcW w:w="0" w:type="auto"/>
            <w:vAlign w:val="center"/>
            <w:hideMark/>
          </w:tcPr>
          <w:p w14:paraId="7910FA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posición</w:t>
            </w:r>
          </w:p>
        </w:tc>
        <w:tc>
          <w:tcPr>
            <w:tcW w:w="0" w:type="auto"/>
            <w:vAlign w:val="center"/>
            <w:hideMark/>
          </w:tcPr>
          <w:p w14:paraId="1B72E8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Disponible</w:t>
            </w:r>
          </w:p>
        </w:tc>
        <w:tc>
          <w:tcPr>
            <w:tcW w:w="0" w:type="auto"/>
            <w:vAlign w:val="center"/>
            <w:hideMark/>
          </w:tcPr>
          <w:p w14:paraId="224DBE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no depende del core (ADR-002)</w:t>
            </w:r>
          </w:p>
        </w:tc>
      </w:tr>
      <w:tr w:rsidR="000444D1" w:rsidRPr="000444D1" w14:paraId="0C722781" w14:textId="77777777">
        <w:trPr>
          <w:tblCellSpacing w:w="15" w:type="dxa"/>
        </w:trPr>
        <w:tc>
          <w:tcPr>
            <w:tcW w:w="0" w:type="auto"/>
            <w:vAlign w:val="center"/>
            <w:hideMark/>
          </w:tcPr>
          <w:p w14:paraId="53D6C0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Pagos entre cuentas del core digital</w:t>
            </w:r>
          </w:p>
        </w:tc>
        <w:tc>
          <w:tcPr>
            <w:tcW w:w="0" w:type="auto"/>
            <w:vAlign w:val="center"/>
            <w:hideMark/>
          </w:tcPr>
          <w:p w14:paraId="70ACBB1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Disponible</w:t>
            </w:r>
          </w:p>
        </w:tc>
        <w:tc>
          <w:tcPr>
            <w:tcW w:w="0" w:type="auto"/>
            <w:vAlign w:val="center"/>
            <w:hideMark/>
          </w:tcPr>
          <w:p w14:paraId="2D9371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digital opera 24/7</w:t>
            </w:r>
          </w:p>
        </w:tc>
      </w:tr>
      <w:tr w:rsidR="000444D1" w:rsidRPr="000444D1" w14:paraId="3B945254" w14:textId="77777777">
        <w:trPr>
          <w:tblCellSpacing w:w="15" w:type="dxa"/>
        </w:trPr>
        <w:tc>
          <w:tcPr>
            <w:tcW w:w="0" w:type="auto"/>
            <w:vAlign w:val="center"/>
            <w:hideMark/>
          </w:tcPr>
          <w:p w14:paraId="126244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Pagos con origen en cuenta del core tradicional</w:t>
            </w:r>
          </w:p>
        </w:tc>
        <w:tc>
          <w:tcPr>
            <w:tcW w:w="0" w:type="auto"/>
            <w:vAlign w:val="center"/>
            <w:hideMark/>
          </w:tcPr>
          <w:p w14:paraId="5EE4E4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 disponible</w:t>
            </w:r>
            <w:r w:rsidRPr="000444D1">
              <w:rPr>
                <w:rFonts w:ascii="Times New Roman" w:eastAsia="Times New Roman" w:hAnsi="Times New Roman" w:cs="Times New Roman"/>
                <w:kern w:val="0"/>
                <w14:ligatures w14:val="none"/>
              </w:rPr>
              <w:t>, con mensaje explícito y hora estimada de restablecimiento</w:t>
            </w:r>
          </w:p>
        </w:tc>
        <w:tc>
          <w:tcPr>
            <w:tcW w:w="0" w:type="auto"/>
            <w:vAlign w:val="center"/>
            <w:hideMark/>
          </w:tcPr>
          <w:p w14:paraId="0E2EFC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débito autoritativo requiere al core</w:t>
            </w:r>
          </w:p>
        </w:tc>
      </w:tr>
      <w:tr w:rsidR="000444D1" w:rsidRPr="000444D1" w14:paraId="533C9216" w14:textId="77777777">
        <w:trPr>
          <w:tblCellSpacing w:w="15" w:type="dxa"/>
        </w:trPr>
        <w:tc>
          <w:tcPr>
            <w:tcW w:w="0" w:type="auto"/>
            <w:vAlign w:val="center"/>
            <w:hideMark/>
          </w:tcPr>
          <w:p w14:paraId="442732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Consultas de terceros Open Finance</w:t>
            </w:r>
          </w:p>
        </w:tc>
        <w:tc>
          <w:tcPr>
            <w:tcW w:w="0" w:type="auto"/>
            <w:vAlign w:val="center"/>
            <w:hideMark/>
          </w:tcPr>
          <w:p w14:paraId="2EC8B4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Disponible</w:t>
            </w:r>
          </w:p>
        </w:tc>
        <w:tc>
          <w:tcPr>
            <w:tcW w:w="0" w:type="auto"/>
            <w:vAlign w:val="center"/>
            <w:hideMark/>
          </w:tcPr>
          <w:p w14:paraId="64BA1EC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sirven desde D3</w:t>
            </w:r>
          </w:p>
        </w:tc>
      </w:tr>
      <w:tr w:rsidR="000444D1" w:rsidRPr="000444D1" w14:paraId="033C1EF3" w14:textId="77777777">
        <w:trPr>
          <w:tblCellSpacing w:w="15" w:type="dxa"/>
        </w:trPr>
        <w:tc>
          <w:tcPr>
            <w:tcW w:w="0" w:type="auto"/>
            <w:vAlign w:val="center"/>
            <w:hideMark/>
          </w:tcPr>
          <w:p w14:paraId="55BD3A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consentimientos</w:t>
            </w:r>
          </w:p>
        </w:tc>
        <w:tc>
          <w:tcPr>
            <w:tcW w:w="0" w:type="auto"/>
            <w:vAlign w:val="center"/>
            <w:hideMark/>
          </w:tcPr>
          <w:p w14:paraId="57705E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Disponible</w:t>
            </w:r>
          </w:p>
        </w:tc>
        <w:tc>
          <w:tcPr>
            <w:tcW w:w="0" w:type="auto"/>
            <w:vAlign w:val="center"/>
            <w:hideMark/>
          </w:tcPr>
          <w:p w14:paraId="0CD5DA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es independiente</w:t>
            </w:r>
          </w:p>
        </w:tc>
      </w:tr>
    </w:tbl>
    <w:p w14:paraId="347BFEE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controlador de disponibilidad del ACL detecta la ventana y expone el estado degradado, de modo que la restricción se comunica al cliente antes de aceptar la operación, en lugar de fallar después de haberla aceptado. Esta tabla es la aplicación concreta del principio P7 y la base de la estrategia de la sección 15.</w:t>
      </w:r>
    </w:p>
    <w:p w14:paraId="13EDFD32"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64204B4E">
          <v:rect id="Horizontal Line 443"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173085"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10. Patrones de integración y tecnologías</w:t>
      </w:r>
    </w:p>
    <w:p w14:paraId="10AD317D"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10.1 Criterio de selección</w:t>
      </w:r>
    </w:p>
    <w:p w14:paraId="5F5053B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Un patrón se incorpora al diseño únicamente si resuelve un problema identificado en las secciones anteriores. La tabla 10.2 se lee, por tanto, de derecha a izquierda: primero el problema, </w:t>
      </w:r>
      <w:r w:rsidRPr="000444D1">
        <w:rPr>
          <w:rFonts w:ascii="Times New Roman" w:eastAsia="Times New Roman" w:hAnsi="Times New Roman" w:cs="Times New Roman"/>
          <w:kern w:val="0"/>
          <w14:ligatures w14:val="none"/>
        </w:rPr>
        <w:lastRenderedPageBreak/>
        <w:t>después el patrón. Los patrones que no responden a un problema declarado no aparecen, y los que se consideraron y descartaron figuran en 10.3 con su motivo.</w:t>
      </w:r>
    </w:p>
    <w:p w14:paraId="27A85C0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10.2 Patrones aplicados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941"/>
        <w:gridCol w:w="2517"/>
        <w:gridCol w:w="2400"/>
      </w:tblGrid>
      <w:tr w:rsidR="000444D1" w:rsidRPr="000444D1" w14:paraId="11BECEBF" w14:textId="77777777">
        <w:trPr>
          <w:tblHeader/>
          <w:tblCellSpacing w:w="15" w:type="dxa"/>
        </w:trPr>
        <w:tc>
          <w:tcPr>
            <w:tcW w:w="0" w:type="auto"/>
            <w:vAlign w:val="center"/>
            <w:hideMark/>
          </w:tcPr>
          <w:p w14:paraId="00DEB25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Patrón</w:t>
            </w:r>
          </w:p>
        </w:tc>
        <w:tc>
          <w:tcPr>
            <w:tcW w:w="0" w:type="auto"/>
            <w:vAlign w:val="center"/>
            <w:hideMark/>
          </w:tcPr>
          <w:p w14:paraId="7A6C5F8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Dónde reside</w:t>
            </w:r>
          </w:p>
        </w:tc>
        <w:tc>
          <w:tcPr>
            <w:tcW w:w="0" w:type="auto"/>
            <w:vAlign w:val="center"/>
            <w:hideMark/>
          </w:tcPr>
          <w:p w14:paraId="2A990F5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Problema que resuelve</w:t>
            </w:r>
          </w:p>
        </w:tc>
        <w:tc>
          <w:tcPr>
            <w:tcW w:w="0" w:type="auto"/>
            <w:vAlign w:val="center"/>
            <w:hideMark/>
          </w:tcPr>
          <w:p w14:paraId="4CEF41D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 descartada</w:t>
            </w:r>
          </w:p>
        </w:tc>
      </w:tr>
      <w:tr w:rsidR="000444D1" w:rsidRPr="000444D1" w14:paraId="373E7EAF" w14:textId="77777777">
        <w:trPr>
          <w:tblCellSpacing w:w="15" w:type="dxa"/>
        </w:trPr>
        <w:tc>
          <w:tcPr>
            <w:tcW w:w="0" w:type="auto"/>
            <w:vAlign w:val="center"/>
            <w:hideMark/>
          </w:tcPr>
          <w:p w14:paraId="600E3A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Capa anticorrupción</w:t>
            </w:r>
          </w:p>
        </w:tc>
        <w:tc>
          <w:tcPr>
            <w:tcW w:w="0" w:type="auto"/>
            <w:vAlign w:val="center"/>
            <w:hideMark/>
          </w:tcPr>
          <w:p w14:paraId="1CF458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 (8.2)</w:t>
            </w:r>
          </w:p>
        </w:tc>
        <w:tc>
          <w:tcPr>
            <w:tcW w:w="0" w:type="auto"/>
            <w:vAlign w:val="center"/>
            <w:hideMark/>
          </w:tcPr>
          <w:p w14:paraId="650411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modelo, los códigos y los formatos del sistema legado contaminarían todo el diseño</w:t>
            </w:r>
          </w:p>
        </w:tc>
        <w:tc>
          <w:tcPr>
            <w:tcW w:w="0" w:type="auto"/>
            <w:vAlign w:val="center"/>
            <w:hideMark/>
          </w:tcPr>
          <w:p w14:paraId="6812E0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Exponer el modelo del core directamente a los servicios de dominio</w:t>
            </w:r>
          </w:p>
        </w:tc>
      </w:tr>
      <w:tr w:rsidR="000444D1" w:rsidRPr="000444D1" w14:paraId="25E09C94" w14:textId="77777777">
        <w:trPr>
          <w:tblCellSpacing w:w="15" w:type="dxa"/>
        </w:trPr>
        <w:tc>
          <w:tcPr>
            <w:tcW w:w="0" w:type="auto"/>
            <w:vAlign w:val="center"/>
            <w:hideMark/>
          </w:tcPr>
          <w:p w14:paraId="738ECF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Puertos y adaptadores</w:t>
            </w:r>
          </w:p>
        </w:tc>
        <w:tc>
          <w:tcPr>
            <w:tcW w:w="0" w:type="auto"/>
            <w:vAlign w:val="center"/>
            <w:hideMark/>
          </w:tcPr>
          <w:p w14:paraId="48ADBA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Interior de D4 (8.1) y de todos los servicios de dominio</w:t>
            </w:r>
          </w:p>
        </w:tc>
        <w:tc>
          <w:tcPr>
            <w:tcW w:w="0" w:type="auto"/>
            <w:vAlign w:val="center"/>
            <w:hideMark/>
          </w:tcPr>
          <w:p w14:paraId="4BE7D8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Acoplar la lógica de negocio al protocolo de cada sistema externo impediría probarla y sustituirlos</w:t>
            </w:r>
          </w:p>
        </w:tc>
        <w:tc>
          <w:tcPr>
            <w:tcW w:w="0" w:type="auto"/>
            <w:vAlign w:val="center"/>
            <w:hideMark/>
          </w:tcPr>
          <w:p w14:paraId="185C3E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Clientes concretos inyectados directamente en los casos de uso</w:t>
            </w:r>
          </w:p>
        </w:tc>
      </w:tr>
      <w:tr w:rsidR="000444D1" w:rsidRPr="000444D1" w14:paraId="0772AD3B" w14:textId="77777777">
        <w:trPr>
          <w:tblCellSpacing w:w="15" w:type="dxa"/>
        </w:trPr>
        <w:tc>
          <w:tcPr>
            <w:tcW w:w="0" w:type="auto"/>
            <w:vAlign w:val="center"/>
            <w:hideMark/>
          </w:tcPr>
          <w:p w14:paraId="34E3962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Modelo canónico</w:t>
            </w:r>
          </w:p>
        </w:tc>
        <w:tc>
          <w:tcPr>
            <w:tcW w:w="0" w:type="auto"/>
            <w:vAlign w:val="center"/>
            <w:hideMark/>
          </w:tcPr>
          <w:p w14:paraId="1A0465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Puertos de 12.5 y mapeador del ACL</w:t>
            </w:r>
          </w:p>
        </w:tc>
        <w:tc>
          <w:tcPr>
            <w:tcW w:w="0" w:type="auto"/>
            <w:vAlign w:val="center"/>
            <w:hideMark/>
          </w:tcPr>
          <w:p w14:paraId="35C271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 dos cores y varias redes externas, N formatos producirían N×N traducciones</w:t>
            </w:r>
          </w:p>
        </w:tc>
        <w:tc>
          <w:tcPr>
            <w:tcW w:w="0" w:type="auto"/>
            <w:vAlign w:val="center"/>
            <w:hideMark/>
          </w:tcPr>
          <w:p w14:paraId="7F8AB5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Traducción directa entre cada par de sistemas</w:t>
            </w:r>
          </w:p>
        </w:tc>
      </w:tr>
      <w:tr w:rsidR="000444D1" w:rsidRPr="000444D1" w14:paraId="166D2887" w14:textId="77777777">
        <w:trPr>
          <w:tblCellSpacing w:w="15" w:type="dxa"/>
        </w:trPr>
        <w:tc>
          <w:tcPr>
            <w:tcW w:w="0" w:type="auto"/>
            <w:vAlign w:val="center"/>
            <w:hideMark/>
          </w:tcPr>
          <w:p w14:paraId="556C594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Enrutamiento por contenido</w:t>
            </w:r>
          </w:p>
        </w:tc>
        <w:tc>
          <w:tcPr>
            <w:tcW w:w="0" w:type="auto"/>
            <w:vAlign w:val="center"/>
            <w:hideMark/>
          </w:tcPr>
          <w:p w14:paraId="38A985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Enrutador de core dentro de D4</w:t>
            </w:r>
          </w:p>
        </w:tc>
        <w:tc>
          <w:tcPr>
            <w:tcW w:w="0" w:type="auto"/>
            <w:vAlign w:val="center"/>
            <w:hideMark/>
          </w:tcPr>
          <w:p w14:paraId="5A7A47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Determinar cuál de los dos cores atiende cada operación</w:t>
            </w:r>
          </w:p>
        </w:tc>
        <w:tc>
          <w:tcPr>
            <w:tcW w:w="0" w:type="auto"/>
            <w:vAlign w:val="center"/>
            <w:hideMark/>
          </w:tcPr>
          <w:p w14:paraId="200FBA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Condicionales dispersos en cada servicio que necesite decidirlo</w:t>
            </w:r>
          </w:p>
        </w:tc>
      </w:tr>
      <w:tr w:rsidR="000444D1" w:rsidRPr="000444D1" w14:paraId="647B73D3" w14:textId="77777777">
        <w:trPr>
          <w:tblCellSpacing w:w="15" w:type="dxa"/>
        </w:trPr>
        <w:tc>
          <w:tcPr>
            <w:tcW w:w="0" w:type="auto"/>
            <w:vAlign w:val="center"/>
            <w:hideMark/>
          </w:tcPr>
          <w:p w14:paraId="74B872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Publicación y suscripción</w:t>
            </w:r>
          </w:p>
        </w:tc>
        <w:tc>
          <w:tcPr>
            <w:tcW w:w="0" w:type="auto"/>
            <w:vAlign w:val="center"/>
            <w:hideMark/>
          </w:tcPr>
          <w:p w14:paraId="632084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71775B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Cinco consumidores necesitan conocer los mismos hechos sin acoplarse al productor</w:t>
            </w:r>
          </w:p>
        </w:tc>
        <w:tc>
          <w:tcPr>
            <w:tcW w:w="0" w:type="auto"/>
            <w:vAlign w:val="center"/>
            <w:hideMark/>
          </w:tcPr>
          <w:p w14:paraId="0AFE9A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Invocación directa del productor a cada consumidor</w:t>
            </w:r>
          </w:p>
        </w:tc>
      </w:tr>
      <w:tr w:rsidR="000444D1" w:rsidRPr="000444D1" w14:paraId="6F0497F4" w14:textId="77777777">
        <w:trPr>
          <w:tblCellSpacing w:w="15" w:type="dxa"/>
        </w:trPr>
        <w:tc>
          <w:tcPr>
            <w:tcW w:w="0" w:type="auto"/>
            <w:vAlign w:val="center"/>
            <w:hideMark/>
          </w:tcPr>
          <w:p w14:paraId="6F1761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Buzón transaccional (outbox)</w:t>
            </w:r>
          </w:p>
        </w:tc>
        <w:tc>
          <w:tcPr>
            <w:tcW w:w="0" w:type="auto"/>
            <w:vAlign w:val="center"/>
            <w:hideMark/>
          </w:tcPr>
          <w:p w14:paraId="6F0D3B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Publicador y despachador en cada productor (8.1)</w:t>
            </w:r>
          </w:p>
        </w:tc>
        <w:tc>
          <w:tcPr>
            <w:tcW w:w="0" w:type="auto"/>
            <w:vAlign w:val="center"/>
            <w:hideMark/>
          </w:tcPr>
          <w:p w14:paraId="69AA74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cambio de estado sin su evento asociado, o un evento sin su cambio de estado</w:t>
            </w:r>
          </w:p>
        </w:tc>
        <w:tc>
          <w:tcPr>
            <w:tcW w:w="0" w:type="auto"/>
            <w:vAlign w:val="center"/>
            <w:hideMark/>
          </w:tcPr>
          <w:p w14:paraId="4B53F5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Publicar al bus dentro de la transacción de negocio, acoplando su latencia y su disponibilidad</w:t>
            </w:r>
          </w:p>
        </w:tc>
      </w:tr>
      <w:tr w:rsidR="000444D1" w:rsidRPr="000444D1" w14:paraId="6DE5E7BD" w14:textId="77777777">
        <w:trPr>
          <w:tblCellSpacing w:w="15" w:type="dxa"/>
        </w:trPr>
        <w:tc>
          <w:tcPr>
            <w:tcW w:w="0" w:type="auto"/>
            <w:vAlign w:val="center"/>
            <w:hideMark/>
          </w:tcPr>
          <w:p w14:paraId="1E466E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Saga con orquestación</w:t>
            </w:r>
          </w:p>
        </w:tc>
        <w:tc>
          <w:tcPr>
            <w:tcW w:w="0" w:type="auto"/>
            <w:vAlign w:val="center"/>
            <w:hideMark/>
          </w:tcPr>
          <w:p w14:paraId="0F1CC9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Orquestador de D4 (8.1, 9.1)</w:t>
            </w:r>
          </w:p>
        </w:tc>
        <w:tc>
          <w:tcPr>
            <w:tcW w:w="0" w:type="auto"/>
            <w:vAlign w:val="center"/>
            <w:hideMark/>
          </w:tcPr>
          <w:p w14:paraId="5E75F0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transferencia toca varios sistemas sin transacción distribuida posible</w:t>
            </w:r>
          </w:p>
        </w:tc>
        <w:tc>
          <w:tcPr>
            <w:tcW w:w="0" w:type="auto"/>
            <w:vAlign w:val="center"/>
            <w:hideMark/>
          </w:tcPr>
          <w:p w14:paraId="6DA1A9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Coreografía, que dispersaría el estado de la saga y dificultaría la trazabilidad regulatoria</w:t>
            </w:r>
          </w:p>
        </w:tc>
      </w:tr>
      <w:tr w:rsidR="000444D1" w:rsidRPr="000444D1" w14:paraId="6089FF1C" w14:textId="77777777">
        <w:trPr>
          <w:tblCellSpacing w:w="15" w:type="dxa"/>
        </w:trPr>
        <w:tc>
          <w:tcPr>
            <w:tcW w:w="0" w:type="auto"/>
            <w:vAlign w:val="center"/>
            <w:hideMark/>
          </w:tcPr>
          <w:p w14:paraId="27F83D6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Receptor idempotente</w:t>
            </w:r>
          </w:p>
        </w:tc>
        <w:tc>
          <w:tcPr>
            <w:tcW w:w="0" w:type="auto"/>
            <w:vAlign w:val="center"/>
            <w:hideMark/>
          </w:tcPr>
          <w:p w14:paraId="7958D9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Todos los consumidores de eventos; middleware de D4</w:t>
            </w:r>
          </w:p>
        </w:tc>
        <w:tc>
          <w:tcPr>
            <w:tcW w:w="0" w:type="auto"/>
            <w:vAlign w:val="center"/>
            <w:hideMark/>
          </w:tcPr>
          <w:p w14:paraId="60A8AC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Entrega al menos una vez y doble reporte del mismo hecho (ADR-004)</w:t>
            </w:r>
          </w:p>
        </w:tc>
        <w:tc>
          <w:tcPr>
            <w:tcW w:w="0" w:type="auto"/>
            <w:vAlign w:val="center"/>
            <w:hideMark/>
          </w:tcPr>
          <w:p w14:paraId="41FEA1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Confiar en entrega exactamente una vez, inviable de extremo a extremo</w:t>
            </w:r>
          </w:p>
        </w:tc>
      </w:tr>
      <w:tr w:rsidR="000444D1" w:rsidRPr="000444D1" w14:paraId="1B87BC68" w14:textId="77777777">
        <w:trPr>
          <w:tblCellSpacing w:w="15" w:type="dxa"/>
        </w:trPr>
        <w:tc>
          <w:tcPr>
            <w:tcW w:w="0" w:type="auto"/>
            <w:vAlign w:val="center"/>
            <w:hideMark/>
          </w:tcPr>
          <w:p w14:paraId="290CCC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Modelo de lectura separado</w:t>
            </w:r>
          </w:p>
        </w:tc>
        <w:tc>
          <w:tcPr>
            <w:tcW w:w="0" w:type="auto"/>
            <w:vAlign w:val="center"/>
            <w:hideMark/>
          </w:tcPr>
          <w:p w14:paraId="6B0F64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Posición consolidada</w:t>
            </w:r>
          </w:p>
        </w:tc>
        <w:tc>
          <w:tcPr>
            <w:tcW w:w="0" w:type="auto"/>
            <w:vAlign w:val="center"/>
            <w:hideMark/>
          </w:tcPr>
          <w:p w14:paraId="489B26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Latencia y disponibilidad incompatibles entre </w:t>
            </w:r>
            <w:r w:rsidRPr="000444D1">
              <w:rPr>
                <w:rFonts w:ascii="Times New Roman" w:eastAsia="Times New Roman" w:hAnsi="Times New Roman" w:cs="Times New Roman"/>
                <w:kern w:val="0"/>
                <w14:ligatures w14:val="none"/>
              </w:rPr>
              <w:lastRenderedPageBreak/>
              <w:t>canales digitales y core tradicional</w:t>
            </w:r>
          </w:p>
        </w:tc>
        <w:tc>
          <w:tcPr>
            <w:tcW w:w="0" w:type="auto"/>
            <w:vAlign w:val="center"/>
            <w:hideMark/>
          </w:tcPr>
          <w:p w14:paraId="03136E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Consulta directa al core en cada lectura</w:t>
            </w:r>
          </w:p>
        </w:tc>
      </w:tr>
      <w:tr w:rsidR="000444D1" w:rsidRPr="000444D1" w14:paraId="537C32DB" w14:textId="77777777">
        <w:trPr>
          <w:tblCellSpacing w:w="15" w:type="dxa"/>
        </w:trPr>
        <w:tc>
          <w:tcPr>
            <w:tcW w:w="0" w:type="auto"/>
            <w:vAlign w:val="center"/>
            <w:hideMark/>
          </w:tcPr>
          <w:p w14:paraId="415391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Captura de cambios (CDC)</w:t>
            </w:r>
          </w:p>
        </w:tc>
        <w:tc>
          <w:tcPr>
            <w:tcW w:w="0" w:type="auto"/>
            <w:vAlign w:val="center"/>
            <w:hideMark/>
          </w:tcPr>
          <w:p w14:paraId="3E0DB3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CDC del core tradicional</w:t>
            </w:r>
          </w:p>
        </w:tc>
        <w:tc>
          <w:tcPr>
            <w:tcW w:w="0" w:type="auto"/>
            <w:vAlign w:val="center"/>
            <w:hideMark/>
          </w:tcPr>
          <w:p w14:paraId="2EAFE9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operaciones presenciales y batch serían invisibles al resto del sistema</w:t>
            </w:r>
          </w:p>
        </w:tc>
        <w:tc>
          <w:tcPr>
            <w:tcW w:w="0" w:type="auto"/>
            <w:vAlign w:val="center"/>
            <w:hideMark/>
          </w:tcPr>
          <w:p w14:paraId="2D8B48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Sondeo periódico; modificar el core para publicar eventos</w:t>
            </w:r>
          </w:p>
        </w:tc>
      </w:tr>
      <w:tr w:rsidR="000444D1" w:rsidRPr="000444D1" w14:paraId="07CC3BF8" w14:textId="77777777">
        <w:trPr>
          <w:tblCellSpacing w:w="15" w:type="dxa"/>
        </w:trPr>
        <w:tc>
          <w:tcPr>
            <w:tcW w:w="0" w:type="auto"/>
            <w:vAlign w:val="center"/>
            <w:hideMark/>
          </w:tcPr>
          <w:p w14:paraId="5EB7DB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Canal de mensajes fallidos</w:t>
            </w:r>
          </w:p>
        </w:tc>
        <w:tc>
          <w:tcPr>
            <w:tcW w:w="0" w:type="auto"/>
            <w:vAlign w:val="center"/>
            <w:hideMark/>
          </w:tcPr>
          <w:p w14:paraId="4E73F0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DLQ por consumidor y tipo (12.8)</w:t>
            </w:r>
          </w:p>
        </w:tc>
        <w:tc>
          <w:tcPr>
            <w:tcW w:w="0" w:type="auto"/>
            <w:vAlign w:val="center"/>
            <w:hideMark/>
          </w:tcPr>
          <w:p w14:paraId="50EC26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mensaje defectuoso detendría el procesamiento de su partición</w:t>
            </w:r>
          </w:p>
        </w:tc>
        <w:tc>
          <w:tcPr>
            <w:tcW w:w="0" w:type="auto"/>
            <w:vAlign w:val="center"/>
            <w:hideMark/>
          </w:tcPr>
          <w:p w14:paraId="0E9867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Reintento indefinido, o descarte silencioso</w:t>
            </w:r>
          </w:p>
        </w:tc>
      </w:tr>
      <w:tr w:rsidR="000444D1" w:rsidRPr="000444D1" w14:paraId="46972F6A" w14:textId="77777777">
        <w:trPr>
          <w:tblCellSpacing w:w="15" w:type="dxa"/>
        </w:trPr>
        <w:tc>
          <w:tcPr>
            <w:tcW w:w="0" w:type="auto"/>
            <w:vAlign w:val="center"/>
            <w:hideMark/>
          </w:tcPr>
          <w:p w14:paraId="412560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Consumidores en competencia</w:t>
            </w:r>
          </w:p>
        </w:tc>
        <w:tc>
          <w:tcPr>
            <w:tcW w:w="0" w:type="auto"/>
            <w:vAlign w:val="center"/>
            <w:hideMark/>
          </w:tcPr>
          <w:p w14:paraId="51F6CC2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Consumidores del bus, escalados por partición</w:t>
            </w:r>
          </w:p>
        </w:tc>
        <w:tc>
          <w:tcPr>
            <w:tcW w:w="0" w:type="auto"/>
            <w:vAlign w:val="center"/>
            <w:hideMark/>
          </w:tcPr>
          <w:p w14:paraId="0403E6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Absorber picos estacionales de ×4 sin perder orden por cliente</w:t>
            </w:r>
          </w:p>
        </w:tc>
        <w:tc>
          <w:tcPr>
            <w:tcW w:w="0" w:type="auto"/>
            <w:vAlign w:val="center"/>
            <w:hideMark/>
          </w:tcPr>
          <w:p w14:paraId="24A770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 único, que limitaría el rendimiento al de un proceso</w:t>
            </w:r>
          </w:p>
        </w:tc>
      </w:tr>
      <w:tr w:rsidR="000444D1" w:rsidRPr="000444D1" w14:paraId="42CFAAE6" w14:textId="77777777">
        <w:trPr>
          <w:tblCellSpacing w:w="15" w:type="dxa"/>
        </w:trPr>
        <w:tc>
          <w:tcPr>
            <w:tcW w:w="0" w:type="auto"/>
            <w:vAlign w:val="center"/>
            <w:hideMark/>
          </w:tcPr>
          <w:p w14:paraId="3102D8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Cortocircuito, límite de tiempo y compartimentación</w:t>
            </w:r>
          </w:p>
        </w:tc>
        <w:tc>
          <w:tcPr>
            <w:tcW w:w="0" w:type="auto"/>
            <w:vAlign w:val="center"/>
            <w:hideMark/>
          </w:tcPr>
          <w:p w14:paraId="552C8B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Cliente de fraude, enrutador de core, ACL (15.4)</w:t>
            </w:r>
          </w:p>
        </w:tc>
        <w:tc>
          <w:tcPr>
            <w:tcW w:w="0" w:type="auto"/>
            <w:vAlign w:val="center"/>
            <w:hideMark/>
          </w:tcPr>
          <w:p w14:paraId="28F9DD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sistema lento se propaga como una caída y agota los recursos del llamante</w:t>
            </w:r>
          </w:p>
        </w:tc>
        <w:tc>
          <w:tcPr>
            <w:tcW w:w="0" w:type="auto"/>
            <w:vAlign w:val="center"/>
            <w:hideMark/>
          </w:tcPr>
          <w:p w14:paraId="14C0C84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Reintento simple sin límite de tiempo</w:t>
            </w:r>
          </w:p>
        </w:tc>
      </w:tr>
      <w:tr w:rsidR="000444D1" w:rsidRPr="000444D1" w14:paraId="0B7DAB3C" w14:textId="77777777">
        <w:trPr>
          <w:tblCellSpacing w:w="15" w:type="dxa"/>
        </w:trPr>
        <w:tc>
          <w:tcPr>
            <w:tcW w:w="0" w:type="auto"/>
            <w:vAlign w:val="center"/>
            <w:hideMark/>
          </w:tcPr>
          <w:p w14:paraId="33DC1D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Puerta de enlace de API</w:t>
            </w:r>
          </w:p>
        </w:tc>
        <w:tc>
          <w:tcPr>
            <w:tcW w:w="0" w:type="auto"/>
            <w:vAlign w:val="center"/>
            <w:hideMark/>
          </w:tcPr>
          <w:p w14:paraId="1E5F2A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Gateways interno y externo (7.2)</w:t>
            </w:r>
          </w:p>
        </w:tc>
        <w:tc>
          <w:tcPr>
            <w:tcW w:w="0" w:type="auto"/>
            <w:vAlign w:val="center"/>
            <w:hideMark/>
          </w:tcPr>
          <w:p w14:paraId="43E15B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Concentrar autenticación, cuotas y transformación de protocolo sin duplicarlas en cada servicio</w:t>
            </w:r>
          </w:p>
        </w:tc>
        <w:tc>
          <w:tcPr>
            <w:tcW w:w="0" w:type="auto"/>
            <w:vAlign w:val="center"/>
            <w:hideMark/>
          </w:tcPr>
          <w:p w14:paraId="37852F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Que cada servicio resuelva su propia seguridad de borde</w:t>
            </w:r>
          </w:p>
        </w:tc>
      </w:tr>
      <w:tr w:rsidR="000444D1" w:rsidRPr="000444D1" w14:paraId="2B600039" w14:textId="77777777">
        <w:trPr>
          <w:tblCellSpacing w:w="15" w:type="dxa"/>
        </w:trPr>
        <w:tc>
          <w:tcPr>
            <w:tcW w:w="0" w:type="auto"/>
            <w:vAlign w:val="center"/>
            <w:hideMark/>
          </w:tcPr>
          <w:p w14:paraId="6F1ED8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Fachada por canal (BFF)</w:t>
            </w:r>
          </w:p>
        </w:tc>
        <w:tc>
          <w:tcPr>
            <w:tcW w:w="0" w:type="auto"/>
            <w:vAlign w:val="center"/>
            <w:hideMark/>
          </w:tcPr>
          <w:p w14:paraId="0D53D1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 móvil y web (7.3)</w:t>
            </w:r>
          </w:p>
        </w:tc>
        <w:tc>
          <w:tcPr>
            <w:tcW w:w="0" w:type="auto"/>
            <w:vAlign w:val="center"/>
            <w:hideMark/>
          </w:tcPr>
          <w:p w14:paraId="639EC6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Canales con necesidades de composición distintas sobre una API única y sobrecargada</w:t>
            </w:r>
          </w:p>
        </w:tc>
        <w:tc>
          <w:tcPr>
            <w:tcW w:w="0" w:type="auto"/>
            <w:vAlign w:val="center"/>
            <w:hideMark/>
          </w:tcPr>
          <w:p w14:paraId="5D30920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general que obligue a todos los consumidores a conocer el modelo completo</w:t>
            </w:r>
          </w:p>
        </w:tc>
      </w:tr>
      <w:tr w:rsidR="000444D1" w:rsidRPr="000444D1" w14:paraId="0AA0A84D" w14:textId="77777777">
        <w:trPr>
          <w:tblCellSpacing w:w="15" w:type="dxa"/>
        </w:trPr>
        <w:tc>
          <w:tcPr>
            <w:tcW w:w="0" w:type="auto"/>
            <w:vAlign w:val="center"/>
            <w:hideMark/>
          </w:tcPr>
          <w:p w14:paraId="1CF55C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Estrangulamiento progresivo</w:t>
            </w:r>
          </w:p>
        </w:tc>
        <w:tc>
          <w:tcPr>
            <w:tcW w:w="0" w:type="auto"/>
            <w:vAlign w:val="center"/>
            <w:hideMark/>
          </w:tcPr>
          <w:p w14:paraId="0BDA4F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Plan de migración (sección 17)</w:t>
            </w:r>
          </w:p>
        </w:tc>
        <w:tc>
          <w:tcPr>
            <w:tcW w:w="0" w:type="auto"/>
            <w:vAlign w:val="center"/>
            <w:hideMark/>
          </w:tcPr>
          <w:p w14:paraId="511B1D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Sustituir un sistema en producción sin un evento de conmutación total</w:t>
            </w:r>
          </w:p>
        </w:tc>
        <w:tc>
          <w:tcPr>
            <w:tcW w:w="0" w:type="auto"/>
            <w:vAlign w:val="center"/>
            <w:hideMark/>
          </w:tcPr>
          <w:p w14:paraId="183A2B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Migración completa en una única ventana</w:t>
            </w:r>
          </w:p>
        </w:tc>
      </w:tr>
      <w:tr w:rsidR="000444D1" w:rsidRPr="000444D1" w14:paraId="18A24B51" w14:textId="77777777">
        <w:trPr>
          <w:tblCellSpacing w:w="15" w:type="dxa"/>
        </w:trPr>
        <w:tc>
          <w:tcPr>
            <w:tcW w:w="0" w:type="auto"/>
            <w:vAlign w:val="center"/>
            <w:hideMark/>
          </w:tcPr>
          <w:p w14:paraId="506552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Traductor de mensajes</w:t>
            </w:r>
          </w:p>
        </w:tc>
        <w:tc>
          <w:tcPr>
            <w:tcW w:w="0" w:type="auto"/>
            <w:vAlign w:val="center"/>
            <w:hideMark/>
          </w:tcPr>
          <w:p w14:paraId="5A0EC8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Adaptador de redes de pago</w:t>
            </w:r>
          </w:p>
        </w:tc>
        <w:tc>
          <w:tcPr>
            <w:tcW w:w="0" w:type="auto"/>
            <w:vAlign w:val="center"/>
            <w:hideMark/>
          </w:tcPr>
          <w:p w14:paraId="042D4C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Interoperar con redes externas que exigen ISO 20022 sin imponer ese formato al interior</w:t>
            </w:r>
          </w:p>
        </w:tc>
        <w:tc>
          <w:tcPr>
            <w:tcW w:w="0" w:type="auto"/>
            <w:vAlign w:val="center"/>
            <w:hideMark/>
          </w:tcPr>
          <w:p w14:paraId="58DFB1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Adoptar ISO 20022 como modelo canónico interno</w:t>
            </w:r>
          </w:p>
        </w:tc>
      </w:tr>
    </w:tbl>
    <w:p w14:paraId="2530229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10.3 Patrones considerados y descartados</w:t>
      </w:r>
    </w:p>
    <w:p w14:paraId="42AADAB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Enumerar lo que no se usó y por qué es tan informativo como enumerar lo aplicado, y evita que el lector suponga un olvido donde hubo una decisión.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6726"/>
      </w:tblGrid>
      <w:tr w:rsidR="000444D1" w:rsidRPr="000444D1" w14:paraId="0DF44EA7" w14:textId="77777777">
        <w:trPr>
          <w:tblHeader/>
          <w:tblCellSpacing w:w="15" w:type="dxa"/>
        </w:trPr>
        <w:tc>
          <w:tcPr>
            <w:tcW w:w="0" w:type="auto"/>
            <w:vAlign w:val="center"/>
            <w:hideMark/>
          </w:tcPr>
          <w:p w14:paraId="2F9631C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Patrón</w:t>
            </w:r>
          </w:p>
        </w:tc>
        <w:tc>
          <w:tcPr>
            <w:tcW w:w="0" w:type="auto"/>
            <w:vAlign w:val="center"/>
            <w:hideMark/>
          </w:tcPr>
          <w:p w14:paraId="3000136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3D7D6A5C" w14:textId="77777777">
        <w:trPr>
          <w:tblCellSpacing w:w="15" w:type="dxa"/>
        </w:trPr>
        <w:tc>
          <w:tcPr>
            <w:tcW w:w="0" w:type="auto"/>
            <w:vAlign w:val="center"/>
            <w:hideMark/>
          </w:tcPr>
          <w:p w14:paraId="707A0B0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Aprovisionamiento de eventos (Event Sourcing)</w:t>
            </w:r>
          </w:p>
        </w:tc>
        <w:tc>
          <w:tcPr>
            <w:tcW w:w="0" w:type="auto"/>
            <w:vAlign w:val="center"/>
            <w:hideMark/>
          </w:tcPr>
          <w:p w14:paraId="1506B5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requisito que lo motivaría —trazabilidad regulatoria— se satisface con el registro inmutable de D8, a un costo operativo y de curva de aprendizaje mucho menor. Adoptarlo obligaría además a resolver la reconstrucción de estado en un contexto donde el system of record sigue siendo el core</w:t>
            </w:r>
          </w:p>
        </w:tc>
      </w:tr>
      <w:tr w:rsidR="000444D1" w:rsidRPr="000444D1" w14:paraId="45344D9F" w14:textId="77777777">
        <w:trPr>
          <w:tblCellSpacing w:w="15" w:type="dxa"/>
        </w:trPr>
        <w:tc>
          <w:tcPr>
            <w:tcW w:w="0" w:type="auto"/>
            <w:vAlign w:val="center"/>
            <w:hideMark/>
          </w:tcPr>
          <w:p w14:paraId="0F6626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CQRS completo con modelo de escritura separado</w:t>
            </w:r>
          </w:p>
        </w:tc>
        <w:tc>
          <w:tcPr>
            <w:tcW w:w="0" w:type="auto"/>
            <w:vAlign w:val="center"/>
            <w:hideMark/>
          </w:tcPr>
          <w:p w14:paraId="5CE12A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adopta únicamente el modelo de lectura (D3), donde hay una asimetría real entre lectura y escritura. Extenderlo a dominios sin esa asimetría, como consentimientos o entitlements, añadiría complejidad sin beneficio</w:t>
            </w:r>
          </w:p>
        </w:tc>
      </w:tr>
      <w:tr w:rsidR="000444D1" w:rsidRPr="000444D1" w14:paraId="479E1972" w14:textId="77777777">
        <w:trPr>
          <w:tblCellSpacing w:w="15" w:type="dxa"/>
        </w:trPr>
        <w:tc>
          <w:tcPr>
            <w:tcW w:w="0" w:type="auto"/>
            <w:vAlign w:val="center"/>
            <w:hideMark/>
          </w:tcPr>
          <w:p w14:paraId="0292A1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Transacción distribuida (2PC / XA)</w:t>
            </w:r>
          </w:p>
        </w:tc>
        <w:tc>
          <w:tcPr>
            <w:tcW w:w="0" w:type="auto"/>
            <w:vAlign w:val="center"/>
            <w:hideMark/>
          </w:tcPr>
          <w:p w14:paraId="4E44FCA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Acoplamiento temporal inaceptable y ausencia de un coordinador viable con el core tradicional (ADR-003)</w:t>
            </w:r>
          </w:p>
        </w:tc>
      </w:tr>
      <w:tr w:rsidR="000444D1" w:rsidRPr="000444D1" w14:paraId="3A9FFA8F" w14:textId="77777777">
        <w:trPr>
          <w:tblCellSpacing w:w="15" w:type="dxa"/>
        </w:trPr>
        <w:tc>
          <w:tcPr>
            <w:tcW w:w="0" w:type="auto"/>
            <w:vAlign w:val="center"/>
            <w:hideMark/>
          </w:tcPr>
          <w:p w14:paraId="1742F5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Bus de servicios con lógica de negocio</w:t>
            </w:r>
          </w:p>
        </w:tc>
        <w:tc>
          <w:tcPr>
            <w:tcW w:w="0" w:type="auto"/>
            <w:vAlign w:val="center"/>
            <w:hideMark/>
          </w:tcPr>
          <w:p w14:paraId="7ECDDCE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Concentraría reglas de dominio en la capa de integración, reproduciendo el monolito que el programa busca desmontar. La mediación transporta y traduce; no decide</w:t>
            </w:r>
          </w:p>
        </w:tc>
      </w:tr>
      <w:tr w:rsidR="000444D1" w:rsidRPr="000444D1" w14:paraId="71E34B98" w14:textId="77777777">
        <w:trPr>
          <w:tblCellSpacing w:w="15" w:type="dxa"/>
        </w:trPr>
        <w:tc>
          <w:tcPr>
            <w:tcW w:w="0" w:type="auto"/>
            <w:vAlign w:val="center"/>
            <w:hideMark/>
          </w:tcPr>
          <w:p w14:paraId="265C10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Base de datos compartida entre servicios</w:t>
            </w:r>
          </w:p>
        </w:tc>
        <w:tc>
          <w:tcPr>
            <w:tcW w:w="0" w:type="auto"/>
            <w:vAlign w:val="center"/>
            <w:hideMark/>
          </w:tcPr>
          <w:p w14:paraId="34FD3B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Elimina la propiedad del dato y convierte cualquier cambio de esquema en una coordinación entre equipos</w:t>
            </w:r>
          </w:p>
        </w:tc>
      </w:tr>
      <w:tr w:rsidR="000444D1" w:rsidRPr="000444D1" w14:paraId="64ECD03D" w14:textId="77777777">
        <w:trPr>
          <w:tblCellSpacing w:w="15" w:type="dxa"/>
        </w:trPr>
        <w:tc>
          <w:tcPr>
            <w:tcW w:w="0" w:type="auto"/>
            <w:vAlign w:val="center"/>
            <w:hideMark/>
          </w:tcPr>
          <w:p w14:paraId="37D7F4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Un microservicio por entidad</w:t>
            </w:r>
          </w:p>
        </w:tc>
        <w:tc>
          <w:tcPr>
            <w:tcW w:w="0" w:type="auto"/>
            <w:vAlign w:val="center"/>
            <w:hideMark/>
          </w:tcPr>
          <w:p w14:paraId="72C0AE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Produciría servicios sin responsabilidad de negocio identificable. El criterio de corte es el dominio con dato propio (5.4), no la entidad</w:t>
            </w:r>
          </w:p>
        </w:tc>
      </w:tr>
      <w:tr w:rsidR="000444D1" w:rsidRPr="000444D1" w14:paraId="4567B4B9" w14:textId="77777777">
        <w:trPr>
          <w:tblCellSpacing w:w="15" w:type="dxa"/>
        </w:trPr>
        <w:tc>
          <w:tcPr>
            <w:tcW w:w="0" w:type="auto"/>
            <w:vAlign w:val="center"/>
            <w:hideMark/>
          </w:tcPr>
          <w:p w14:paraId="6BFD9A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Multirregión activo-activo</w:t>
            </w:r>
          </w:p>
        </w:tc>
        <w:tc>
          <w:tcPr>
            <w:tcW w:w="0" w:type="auto"/>
            <w:vAlign w:val="center"/>
            <w:hideMark/>
          </w:tcPr>
          <w:p w14:paraId="7B1A92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Complejidad de coordinación desproporcionada frente a un objetivo de 99,95 % que el modelo multizona ya satisface, y que no eliminaría la dependencia del centro de datos donde reside el core (15.2)</w:t>
            </w:r>
          </w:p>
        </w:tc>
      </w:tr>
      <w:tr w:rsidR="000444D1" w:rsidRPr="000444D1" w14:paraId="6FF6375D" w14:textId="77777777">
        <w:trPr>
          <w:tblCellSpacing w:w="15" w:type="dxa"/>
        </w:trPr>
        <w:tc>
          <w:tcPr>
            <w:tcW w:w="0" w:type="auto"/>
            <w:vAlign w:val="center"/>
            <w:hideMark/>
          </w:tcPr>
          <w:p w14:paraId="368D03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Escritura doble durante la migración</w:t>
            </w:r>
          </w:p>
        </w:tc>
        <w:tc>
          <w:tcPr>
            <w:tcW w:w="0" w:type="auto"/>
            <w:vAlign w:val="center"/>
            <w:hideMark/>
          </w:tcPr>
          <w:p w14:paraId="5AC5C3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Mantener dos cores como fuente de verdad simultánea del mismo saldo introduce divergencia sin mecanismo fiable de resolución. El plan lo evita con los modos de transición de 17.2</w:t>
            </w:r>
          </w:p>
        </w:tc>
      </w:tr>
    </w:tbl>
    <w:p w14:paraId="53B6D01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10.4 Capacidades técnicas y su concreción</w:t>
      </w:r>
    </w:p>
    <w:p w14:paraId="2759CC0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arquitectura se expresa en capacidades genéricas. La tabla las asocia a productos concretos y declara qué tan sustituible es cada elección, de modo que la dependencia de proveedor sea una decisión medida y no una condición heredada.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2049"/>
        <w:gridCol w:w="1882"/>
        <w:gridCol w:w="1888"/>
        <w:gridCol w:w="1771"/>
      </w:tblGrid>
      <w:tr w:rsidR="000444D1" w:rsidRPr="000444D1" w14:paraId="6AFA07C3" w14:textId="77777777">
        <w:trPr>
          <w:tblHeader/>
          <w:tblCellSpacing w:w="15" w:type="dxa"/>
        </w:trPr>
        <w:tc>
          <w:tcPr>
            <w:tcW w:w="0" w:type="auto"/>
            <w:vAlign w:val="center"/>
            <w:hideMark/>
          </w:tcPr>
          <w:p w14:paraId="3AF457C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Capacidad</w:t>
            </w:r>
          </w:p>
        </w:tc>
        <w:tc>
          <w:tcPr>
            <w:tcW w:w="0" w:type="auto"/>
            <w:vAlign w:val="center"/>
            <w:hideMark/>
          </w:tcPr>
          <w:p w14:paraId="4AD801C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Opción de referencia</w:t>
            </w:r>
          </w:p>
        </w:tc>
        <w:tc>
          <w:tcPr>
            <w:tcW w:w="0" w:type="auto"/>
            <w:vAlign w:val="center"/>
            <w:hideMark/>
          </w:tcPr>
          <w:p w14:paraId="5BC7ECC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Equivalente</w:t>
            </w:r>
          </w:p>
        </w:tc>
        <w:tc>
          <w:tcPr>
            <w:tcW w:w="0" w:type="auto"/>
            <w:vAlign w:val="center"/>
            <w:hideMark/>
          </w:tcPr>
          <w:p w14:paraId="1FD379D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Sustituibilidad</w:t>
            </w:r>
          </w:p>
        </w:tc>
        <w:tc>
          <w:tcPr>
            <w:tcW w:w="0" w:type="auto"/>
            <w:vAlign w:val="center"/>
            <w:hideMark/>
          </w:tcPr>
          <w:p w14:paraId="0EF5138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Elemento acoplado</w:t>
            </w:r>
          </w:p>
        </w:tc>
      </w:tr>
      <w:tr w:rsidR="000444D1" w:rsidRPr="000444D1" w14:paraId="1951CA19" w14:textId="77777777">
        <w:trPr>
          <w:tblCellSpacing w:w="15" w:type="dxa"/>
        </w:trPr>
        <w:tc>
          <w:tcPr>
            <w:tcW w:w="0" w:type="auto"/>
            <w:vAlign w:val="center"/>
            <w:hideMark/>
          </w:tcPr>
          <w:p w14:paraId="1508C4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Gestión y exposición de APIs</w:t>
            </w:r>
          </w:p>
        </w:tc>
        <w:tc>
          <w:tcPr>
            <w:tcW w:w="0" w:type="auto"/>
            <w:vAlign w:val="center"/>
            <w:hideMark/>
          </w:tcPr>
          <w:p w14:paraId="0C588B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Azure API Management</w:t>
            </w:r>
          </w:p>
        </w:tc>
        <w:tc>
          <w:tcPr>
            <w:tcW w:w="0" w:type="auto"/>
            <w:vAlign w:val="center"/>
            <w:hideMark/>
          </w:tcPr>
          <w:p w14:paraId="3BEE02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Amazon API Gateway</w:t>
            </w:r>
          </w:p>
        </w:tc>
        <w:tc>
          <w:tcPr>
            <w:tcW w:w="0" w:type="auto"/>
            <w:vAlign w:val="center"/>
            <w:hideMark/>
          </w:tcPr>
          <w:p w14:paraId="34DEF8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p>
        </w:tc>
        <w:tc>
          <w:tcPr>
            <w:tcW w:w="0" w:type="auto"/>
            <w:vAlign w:val="center"/>
            <w:hideMark/>
          </w:tcPr>
          <w:p w14:paraId="68DDA00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Definiciones OpenAPI, portables</w:t>
            </w:r>
          </w:p>
        </w:tc>
      </w:tr>
      <w:tr w:rsidR="000444D1" w:rsidRPr="000444D1" w14:paraId="35DB2B76" w14:textId="77777777">
        <w:trPr>
          <w:tblCellSpacing w:w="15" w:type="dxa"/>
        </w:trPr>
        <w:tc>
          <w:tcPr>
            <w:tcW w:w="0" w:type="auto"/>
            <w:vAlign w:val="center"/>
            <w:hideMark/>
          </w:tcPr>
          <w:p w14:paraId="71C2DD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 con particiones</w:t>
            </w:r>
          </w:p>
        </w:tc>
        <w:tc>
          <w:tcPr>
            <w:tcW w:w="0" w:type="auto"/>
            <w:vAlign w:val="center"/>
            <w:hideMark/>
          </w:tcPr>
          <w:p w14:paraId="5BB754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Azure Event Hubs</w:t>
            </w:r>
          </w:p>
        </w:tc>
        <w:tc>
          <w:tcPr>
            <w:tcW w:w="0" w:type="auto"/>
            <w:vAlign w:val="center"/>
            <w:hideMark/>
          </w:tcPr>
          <w:p w14:paraId="23273D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Amazon MSK / Kinesis</w:t>
            </w:r>
          </w:p>
        </w:tc>
        <w:tc>
          <w:tcPr>
            <w:tcW w:w="0" w:type="auto"/>
            <w:vAlign w:val="center"/>
            <w:hideMark/>
          </w:tcPr>
          <w:p w14:paraId="336442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r w:rsidRPr="000444D1">
              <w:rPr>
                <w:rFonts w:ascii="Times New Roman" w:eastAsia="Times New Roman" w:hAnsi="Times New Roman" w:cs="Times New Roman"/>
                <w:kern w:val="0"/>
                <w14:ligatures w14:val="none"/>
              </w:rPr>
              <w:t xml:space="preserve"> si se usa la interfaz de Kafka</w:t>
            </w:r>
          </w:p>
        </w:tc>
        <w:tc>
          <w:tcPr>
            <w:tcW w:w="0" w:type="auto"/>
            <w:vAlign w:val="center"/>
            <w:hideMark/>
          </w:tcPr>
          <w:p w14:paraId="2853E7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Configuración de particionado</w:t>
            </w:r>
          </w:p>
        </w:tc>
      </w:tr>
      <w:tr w:rsidR="000444D1" w:rsidRPr="000444D1" w14:paraId="4D699240" w14:textId="77777777">
        <w:trPr>
          <w:tblCellSpacing w:w="15" w:type="dxa"/>
        </w:trPr>
        <w:tc>
          <w:tcPr>
            <w:tcW w:w="0" w:type="auto"/>
            <w:vAlign w:val="center"/>
            <w:hideMark/>
          </w:tcPr>
          <w:p w14:paraId="341F23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Orquestación de contenedores</w:t>
            </w:r>
          </w:p>
        </w:tc>
        <w:tc>
          <w:tcPr>
            <w:tcW w:w="0" w:type="auto"/>
            <w:vAlign w:val="center"/>
            <w:hideMark/>
          </w:tcPr>
          <w:p w14:paraId="29B362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Azure Kubernetes Service</w:t>
            </w:r>
          </w:p>
        </w:tc>
        <w:tc>
          <w:tcPr>
            <w:tcW w:w="0" w:type="auto"/>
            <w:vAlign w:val="center"/>
            <w:hideMark/>
          </w:tcPr>
          <w:p w14:paraId="61E5AC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Amazon EKS</w:t>
            </w:r>
          </w:p>
        </w:tc>
        <w:tc>
          <w:tcPr>
            <w:tcW w:w="0" w:type="auto"/>
            <w:vAlign w:val="center"/>
            <w:hideMark/>
          </w:tcPr>
          <w:p w14:paraId="4315BF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p>
        </w:tc>
        <w:tc>
          <w:tcPr>
            <w:tcW w:w="0" w:type="auto"/>
            <w:vAlign w:val="center"/>
            <w:hideMark/>
          </w:tcPr>
          <w:p w14:paraId="34737C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Manifiestos estándar</w:t>
            </w:r>
          </w:p>
        </w:tc>
      </w:tr>
      <w:tr w:rsidR="000444D1" w:rsidRPr="000444D1" w14:paraId="6A4F9768" w14:textId="77777777">
        <w:trPr>
          <w:tblCellSpacing w:w="15" w:type="dxa"/>
        </w:trPr>
        <w:tc>
          <w:tcPr>
            <w:tcW w:w="0" w:type="auto"/>
            <w:vAlign w:val="center"/>
            <w:hideMark/>
          </w:tcPr>
          <w:p w14:paraId="661C71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Proveedor de identidad</w:t>
            </w:r>
          </w:p>
        </w:tc>
        <w:tc>
          <w:tcPr>
            <w:tcW w:w="0" w:type="auto"/>
            <w:vAlign w:val="center"/>
            <w:hideMark/>
          </w:tcPr>
          <w:p w14:paraId="6C2F841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Microsoft Entra ID</w:t>
            </w:r>
          </w:p>
        </w:tc>
        <w:tc>
          <w:tcPr>
            <w:tcW w:w="0" w:type="auto"/>
            <w:vAlign w:val="center"/>
            <w:hideMark/>
          </w:tcPr>
          <w:p w14:paraId="75EB93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Amazon Cognito + IdP</w:t>
            </w:r>
          </w:p>
        </w:tc>
        <w:tc>
          <w:tcPr>
            <w:tcW w:w="0" w:type="auto"/>
            <w:vAlign w:val="center"/>
            <w:hideMark/>
          </w:tcPr>
          <w:p w14:paraId="698140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Media</w:t>
            </w:r>
          </w:p>
        </w:tc>
        <w:tc>
          <w:tcPr>
            <w:tcW w:w="0" w:type="auto"/>
            <w:vAlign w:val="center"/>
            <w:hideMark/>
          </w:tcPr>
          <w:p w14:paraId="1E8EE0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Configuración de perfiles FAPI</w:t>
            </w:r>
          </w:p>
        </w:tc>
      </w:tr>
      <w:tr w:rsidR="000444D1" w:rsidRPr="000444D1" w14:paraId="583592FB" w14:textId="77777777">
        <w:trPr>
          <w:tblCellSpacing w:w="15" w:type="dxa"/>
        </w:trPr>
        <w:tc>
          <w:tcPr>
            <w:tcW w:w="0" w:type="auto"/>
            <w:vAlign w:val="center"/>
            <w:hideMark/>
          </w:tcPr>
          <w:p w14:paraId="0A7063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Almacén relacional de dominio</w:t>
            </w:r>
          </w:p>
        </w:tc>
        <w:tc>
          <w:tcPr>
            <w:tcW w:w="0" w:type="auto"/>
            <w:vAlign w:val="center"/>
            <w:hideMark/>
          </w:tcPr>
          <w:p w14:paraId="149A5D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Azure SQL / PostgreSQL</w:t>
            </w:r>
          </w:p>
        </w:tc>
        <w:tc>
          <w:tcPr>
            <w:tcW w:w="0" w:type="auto"/>
            <w:vAlign w:val="center"/>
            <w:hideMark/>
          </w:tcPr>
          <w:p w14:paraId="00EF32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Amazon RDS</w:t>
            </w:r>
          </w:p>
        </w:tc>
        <w:tc>
          <w:tcPr>
            <w:tcW w:w="0" w:type="auto"/>
            <w:vAlign w:val="center"/>
            <w:hideMark/>
          </w:tcPr>
          <w:p w14:paraId="737EAB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r w:rsidRPr="000444D1">
              <w:rPr>
                <w:rFonts w:ascii="Times New Roman" w:eastAsia="Times New Roman" w:hAnsi="Times New Roman" w:cs="Times New Roman"/>
                <w:kern w:val="0"/>
                <w14:ligatures w14:val="none"/>
              </w:rPr>
              <w:t xml:space="preserve"> con PostgreSQL</w:t>
            </w:r>
          </w:p>
        </w:tc>
        <w:tc>
          <w:tcPr>
            <w:tcW w:w="0" w:type="auto"/>
            <w:vAlign w:val="center"/>
            <w:hideMark/>
          </w:tcPr>
          <w:p w14:paraId="5D7B24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Esquemas propios</w:t>
            </w:r>
          </w:p>
        </w:tc>
      </w:tr>
      <w:tr w:rsidR="000444D1" w:rsidRPr="000444D1" w14:paraId="1A6C8108" w14:textId="77777777">
        <w:trPr>
          <w:tblCellSpacing w:w="15" w:type="dxa"/>
        </w:trPr>
        <w:tc>
          <w:tcPr>
            <w:tcW w:w="0" w:type="auto"/>
            <w:vAlign w:val="center"/>
            <w:hideMark/>
          </w:tcPr>
          <w:p w14:paraId="1A5480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Almacén de la proyección</w:t>
            </w:r>
          </w:p>
        </w:tc>
        <w:tc>
          <w:tcPr>
            <w:tcW w:w="0" w:type="auto"/>
            <w:vAlign w:val="center"/>
            <w:hideMark/>
          </w:tcPr>
          <w:p w14:paraId="36D835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Azure Cosmos DB o PostgreSQL</w:t>
            </w:r>
          </w:p>
        </w:tc>
        <w:tc>
          <w:tcPr>
            <w:tcW w:w="0" w:type="auto"/>
            <w:vAlign w:val="center"/>
            <w:hideMark/>
          </w:tcPr>
          <w:p w14:paraId="1F8937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DynamoDB o RDS</w:t>
            </w:r>
          </w:p>
        </w:tc>
        <w:tc>
          <w:tcPr>
            <w:tcW w:w="0" w:type="auto"/>
            <w:vAlign w:val="center"/>
            <w:hideMark/>
          </w:tcPr>
          <w:p w14:paraId="6E14DF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r w:rsidRPr="000444D1">
              <w:rPr>
                <w:rFonts w:ascii="Times New Roman" w:eastAsia="Times New Roman" w:hAnsi="Times New Roman" w:cs="Times New Roman"/>
                <w:kern w:val="0"/>
                <w14:ligatures w14:val="none"/>
              </w:rPr>
              <w:t>: la proyección es reconstruible</w:t>
            </w:r>
          </w:p>
        </w:tc>
        <w:tc>
          <w:tcPr>
            <w:tcW w:w="0" w:type="auto"/>
            <w:vAlign w:val="center"/>
            <w:hideMark/>
          </w:tcPr>
          <w:p w14:paraId="31D6D9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Ninguno crítico</w:t>
            </w:r>
          </w:p>
        </w:tc>
      </w:tr>
      <w:tr w:rsidR="000444D1" w:rsidRPr="000444D1" w14:paraId="150CB4A2" w14:textId="77777777">
        <w:trPr>
          <w:tblCellSpacing w:w="15" w:type="dxa"/>
        </w:trPr>
        <w:tc>
          <w:tcPr>
            <w:tcW w:w="0" w:type="auto"/>
            <w:vAlign w:val="center"/>
            <w:hideMark/>
          </w:tcPr>
          <w:p w14:paraId="4F9EC1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inmutable</w:t>
            </w:r>
          </w:p>
        </w:tc>
        <w:tc>
          <w:tcPr>
            <w:tcW w:w="0" w:type="auto"/>
            <w:vAlign w:val="center"/>
            <w:hideMark/>
          </w:tcPr>
          <w:p w14:paraId="18613C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Almacenamiento con retención inmutable</w:t>
            </w:r>
          </w:p>
        </w:tc>
        <w:tc>
          <w:tcPr>
            <w:tcW w:w="0" w:type="auto"/>
            <w:vAlign w:val="center"/>
            <w:hideMark/>
          </w:tcPr>
          <w:p w14:paraId="65527C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Amazon S3 Object Lock</w:t>
            </w:r>
          </w:p>
        </w:tc>
        <w:tc>
          <w:tcPr>
            <w:tcW w:w="0" w:type="auto"/>
            <w:vAlign w:val="center"/>
            <w:hideMark/>
          </w:tcPr>
          <w:p w14:paraId="2873E6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p>
        </w:tc>
        <w:tc>
          <w:tcPr>
            <w:tcW w:w="0" w:type="auto"/>
            <w:vAlign w:val="center"/>
            <w:hideMark/>
          </w:tcPr>
          <w:p w14:paraId="01542B4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Política de retención</w:t>
            </w:r>
          </w:p>
        </w:tc>
      </w:tr>
      <w:tr w:rsidR="000444D1" w:rsidRPr="000444D1" w14:paraId="7E7930C1" w14:textId="77777777">
        <w:trPr>
          <w:tblCellSpacing w:w="15" w:type="dxa"/>
        </w:trPr>
        <w:tc>
          <w:tcPr>
            <w:tcW w:w="0" w:type="auto"/>
            <w:vAlign w:val="center"/>
            <w:hideMark/>
          </w:tcPr>
          <w:p w14:paraId="237A780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Gestión de secretos y claves</w:t>
            </w:r>
          </w:p>
        </w:tc>
        <w:tc>
          <w:tcPr>
            <w:tcW w:w="0" w:type="auto"/>
            <w:vAlign w:val="center"/>
            <w:hideMark/>
          </w:tcPr>
          <w:p w14:paraId="2C5B8D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Azure Key Vault + HSM</w:t>
            </w:r>
          </w:p>
        </w:tc>
        <w:tc>
          <w:tcPr>
            <w:tcW w:w="0" w:type="auto"/>
            <w:vAlign w:val="center"/>
            <w:hideMark/>
          </w:tcPr>
          <w:p w14:paraId="4F49BD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AWS KMS + CloudHSM</w:t>
            </w:r>
          </w:p>
        </w:tc>
        <w:tc>
          <w:tcPr>
            <w:tcW w:w="0" w:type="auto"/>
            <w:vAlign w:val="center"/>
            <w:hideMark/>
          </w:tcPr>
          <w:p w14:paraId="5AF6A70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Media</w:t>
            </w:r>
          </w:p>
        </w:tc>
        <w:tc>
          <w:tcPr>
            <w:tcW w:w="0" w:type="auto"/>
            <w:vAlign w:val="center"/>
            <w:hideMark/>
          </w:tcPr>
          <w:p w14:paraId="4371C40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Referencias en despliegue</w:t>
            </w:r>
          </w:p>
        </w:tc>
      </w:tr>
      <w:tr w:rsidR="000444D1" w:rsidRPr="000444D1" w14:paraId="715CDA37" w14:textId="77777777">
        <w:trPr>
          <w:tblCellSpacing w:w="15" w:type="dxa"/>
        </w:trPr>
        <w:tc>
          <w:tcPr>
            <w:tcW w:w="0" w:type="auto"/>
            <w:vAlign w:val="center"/>
            <w:hideMark/>
          </w:tcPr>
          <w:p w14:paraId="0A5046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Captura de cambios</w:t>
            </w:r>
          </w:p>
        </w:tc>
        <w:tc>
          <w:tcPr>
            <w:tcW w:w="0" w:type="auto"/>
            <w:vAlign w:val="center"/>
            <w:hideMark/>
          </w:tcPr>
          <w:p w14:paraId="44ADE6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Debezium sobre la réplica</w:t>
            </w:r>
          </w:p>
        </w:tc>
        <w:tc>
          <w:tcPr>
            <w:tcW w:w="0" w:type="auto"/>
            <w:vAlign w:val="center"/>
            <w:hideMark/>
          </w:tcPr>
          <w:p w14:paraId="5E7977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Debezium</w:t>
            </w:r>
          </w:p>
        </w:tc>
        <w:tc>
          <w:tcPr>
            <w:tcW w:w="0" w:type="auto"/>
            <w:vAlign w:val="center"/>
            <w:hideMark/>
          </w:tcPr>
          <w:p w14:paraId="74E226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r w:rsidRPr="000444D1">
              <w:rPr>
                <w:rFonts w:ascii="Times New Roman" w:eastAsia="Times New Roman" w:hAnsi="Times New Roman" w:cs="Times New Roman"/>
                <w:kern w:val="0"/>
                <w14:ligatures w14:val="none"/>
              </w:rPr>
              <w:t>: independiente del proveedor</w:t>
            </w:r>
          </w:p>
        </w:tc>
        <w:tc>
          <w:tcPr>
            <w:tcW w:w="0" w:type="auto"/>
            <w:vAlign w:val="center"/>
            <w:hideMark/>
          </w:tcPr>
          <w:p w14:paraId="22DF73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Conector del motor de base de datos</w:t>
            </w:r>
          </w:p>
        </w:tc>
      </w:tr>
      <w:tr w:rsidR="000444D1" w:rsidRPr="000444D1" w14:paraId="54A5CE9A" w14:textId="77777777">
        <w:trPr>
          <w:tblCellSpacing w:w="15" w:type="dxa"/>
        </w:trPr>
        <w:tc>
          <w:tcPr>
            <w:tcW w:w="0" w:type="auto"/>
            <w:vAlign w:val="center"/>
            <w:hideMark/>
          </w:tcPr>
          <w:p w14:paraId="122C6F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Observabilidad</w:t>
            </w:r>
          </w:p>
        </w:tc>
        <w:tc>
          <w:tcPr>
            <w:tcW w:w="0" w:type="auto"/>
            <w:vAlign w:val="center"/>
            <w:hideMark/>
          </w:tcPr>
          <w:p w14:paraId="4DB32E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OpenTelemetry + backend gestionado</w:t>
            </w:r>
          </w:p>
        </w:tc>
        <w:tc>
          <w:tcPr>
            <w:tcW w:w="0" w:type="auto"/>
            <w:vAlign w:val="center"/>
            <w:hideMark/>
          </w:tcPr>
          <w:p w14:paraId="6E08F4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OpenTelemetry + backend gestionado</w:t>
            </w:r>
          </w:p>
        </w:tc>
        <w:tc>
          <w:tcPr>
            <w:tcW w:w="0" w:type="auto"/>
            <w:vAlign w:val="center"/>
            <w:hideMark/>
          </w:tcPr>
          <w:p w14:paraId="688D11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r w:rsidRPr="000444D1">
              <w:rPr>
                <w:rFonts w:ascii="Times New Roman" w:eastAsia="Times New Roman" w:hAnsi="Times New Roman" w:cs="Times New Roman"/>
                <w:kern w:val="0"/>
                <w14:ligatures w14:val="none"/>
              </w:rPr>
              <w:t>: la instrumentación es estándar</w:t>
            </w:r>
          </w:p>
        </w:tc>
        <w:tc>
          <w:tcPr>
            <w:tcW w:w="0" w:type="auto"/>
            <w:vAlign w:val="center"/>
            <w:hideMark/>
          </w:tcPr>
          <w:p w14:paraId="06F3DE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Ninguno</w:t>
            </w:r>
          </w:p>
        </w:tc>
      </w:tr>
      <w:tr w:rsidR="000444D1" w:rsidRPr="000444D1" w14:paraId="73B4E2F0" w14:textId="77777777">
        <w:trPr>
          <w:tblCellSpacing w:w="15" w:type="dxa"/>
        </w:trPr>
        <w:tc>
          <w:tcPr>
            <w:tcW w:w="0" w:type="auto"/>
            <w:vAlign w:val="center"/>
            <w:hideMark/>
          </w:tcPr>
          <w:p w14:paraId="77F3D4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Conectividad híbrida</w:t>
            </w:r>
          </w:p>
        </w:tc>
        <w:tc>
          <w:tcPr>
            <w:tcW w:w="0" w:type="auto"/>
            <w:vAlign w:val="center"/>
            <w:hideMark/>
          </w:tcPr>
          <w:p w14:paraId="60346A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ExpressRoute</w:t>
            </w:r>
          </w:p>
        </w:tc>
        <w:tc>
          <w:tcPr>
            <w:tcW w:w="0" w:type="auto"/>
            <w:vAlign w:val="center"/>
            <w:hideMark/>
          </w:tcPr>
          <w:p w14:paraId="55E525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Direct Connect</w:t>
            </w:r>
          </w:p>
        </w:tc>
        <w:tc>
          <w:tcPr>
            <w:tcW w:w="0" w:type="auto"/>
            <w:vAlign w:val="center"/>
            <w:hideMark/>
          </w:tcPr>
          <w:p w14:paraId="52EEE4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Media</w:t>
            </w:r>
          </w:p>
        </w:tc>
        <w:tc>
          <w:tcPr>
            <w:tcW w:w="0" w:type="auto"/>
            <w:vAlign w:val="center"/>
            <w:hideMark/>
          </w:tcPr>
          <w:p w14:paraId="31BB26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 de red</w:t>
            </w:r>
          </w:p>
        </w:tc>
      </w:tr>
    </w:tbl>
    <w:p w14:paraId="7D7319C7"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10.5 Criterios de la elección y acotación del riesgo</w:t>
      </w:r>
    </w:p>
    <w:p w14:paraId="43B0EC9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selección de un proveedor de referencia responde a criterios declarados, no a preferencia: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8"/>
        <w:gridCol w:w="1382"/>
      </w:tblGrid>
      <w:tr w:rsidR="000444D1" w:rsidRPr="000444D1" w14:paraId="6DB5B0C2" w14:textId="77777777">
        <w:trPr>
          <w:tblHeader/>
          <w:tblCellSpacing w:w="15" w:type="dxa"/>
        </w:trPr>
        <w:tc>
          <w:tcPr>
            <w:tcW w:w="0" w:type="auto"/>
            <w:vAlign w:val="center"/>
            <w:hideMark/>
          </w:tcPr>
          <w:p w14:paraId="75713C1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Criterio</w:t>
            </w:r>
          </w:p>
        </w:tc>
        <w:tc>
          <w:tcPr>
            <w:tcW w:w="0" w:type="auto"/>
            <w:vAlign w:val="center"/>
            <w:hideMark/>
          </w:tcPr>
          <w:p w14:paraId="141B130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Peso</w:t>
            </w:r>
          </w:p>
        </w:tc>
      </w:tr>
      <w:tr w:rsidR="000444D1" w:rsidRPr="000444D1" w14:paraId="77152121" w14:textId="77777777">
        <w:trPr>
          <w:tblCellSpacing w:w="15" w:type="dxa"/>
        </w:trPr>
        <w:tc>
          <w:tcPr>
            <w:tcW w:w="0" w:type="auto"/>
            <w:vAlign w:val="center"/>
            <w:hideMark/>
          </w:tcPr>
          <w:p w14:paraId="6E4AEB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Presencia de región que satisfaga el requisito de residencia de datos (13.9)</w:t>
            </w:r>
          </w:p>
        </w:tc>
        <w:tc>
          <w:tcPr>
            <w:tcW w:w="0" w:type="auto"/>
            <w:vAlign w:val="center"/>
            <w:hideMark/>
          </w:tcPr>
          <w:p w14:paraId="4B4026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Determinante</w:t>
            </w:r>
          </w:p>
        </w:tc>
      </w:tr>
      <w:tr w:rsidR="000444D1" w:rsidRPr="000444D1" w14:paraId="3FB34C04" w14:textId="77777777">
        <w:trPr>
          <w:tblCellSpacing w:w="15" w:type="dxa"/>
        </w:trPr>
        <w:tc>
          <w:tcPr>
            <w:tcW w:w="0" w:type="auto"/>
            <w:vAlign w:val="center"/>
            <w:hideMark/>
          </w:tcPr>
          <w:p w14:paraId="00A4EA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Madurez de la conectividad híbrida dedicada, de la que dependen el ACL y el CDC</w:t>
            </w:r>
          </w:p>
        </w:tc>
        <w:tc>
          <w:tcPr>
            <w:tcW w:w="0" w:type="auto"/>
            <w:vAlign w:val="center"/>
            <w:hideMark/>
          </w:tcPr>
          <w:p w14:paraId="51C9A4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w:t>
            </w:r>
          </w:p>
        </w:tc>
      </w:tr>
      <w:tr w:rsidR="000444D1" w:rsidRPr="000444D1" w14:paraId="41BAB959" w14:textId="77777777">
        <w:trPr>
          <w:tblCellSpacing w:w="15" w:type="dxa"/>
        </w:trPr>
        <w:tc>
          <w:tcPr>
            <w:tcW w:w="0" w:type="auto"/>
            <w:vAlign w:val="center"/>
            <w:hideMark/>
          </w:tcPr>
          <w:p w14:paraId="5C781E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Integración con el directorio corporativo existente del banco</w:t>
            </w:r>
          </w:p>
        </w:tc>
        <w:tc>
          <w:tcPr>
            <w:tcW w:w="0" w:type="auto"/>
            <w:vAlign w:val="center"/>
            <w:hideMark/>
          </w:tcPr>
          <w:p w14:paraId="073CC7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w:t>
            </w:r>
          </w:p>
        </w:tc>
      </w:tr>
      <w:tr w:rsidR="000444D1" w:rsidRPr="000444D1" w14:paraId="0D9AC543" w14:textId="77777777">
        <w:trPr>
          <w:tblCellSpacing w:w="15" w:type="dxa"/>
        </w:trPr>
        <w:tc>
          <w:tcPr>
            <w:tcW w:w="0" w:type="auto"/>
            <w:vAlign w:val="center"/>
            <w:hideMark/>
          </w:tcPr>
          <w:p w14:paraId="336559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Competencias disponibles en el equipo y en el mercado local</w:t>
            </w:r>
          </w:p>
        </w:tc>
        <w:tc>
          <w:tcPr>
            <w:tcW w:w="0" w:type="auto"/>
            <w:vAlign w:val="center"/>
            <w:hideMark/>
          </w:tcPr>
          <w:p w14:paraId="522C6E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w:t>
            </w:r>
          </w:p>
        </w:tc>
      </w:tr>
      <w:tr w:rsidR="000444D1" w:rsidRPr="000444D1" w14:paraId="4AEAAF26" w14:textId="77777777">
        <w:trPr>
          <w:tblCellSpacing w:w="15" w:type="dxa"/>
        </w:trPr>
        <w:tc>
          <w:tcPr>
            <w:tcW w:w="0" w:type="auto"/>
            <w:vAlign w:val="center"/>
            <w:hideMark/>
          </w:tcPr>
          <w:p w14:paraId="058E56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Certificaciones de cumplimiento aplicables al sector financiero</w:t>
            </w:r>
          </w:p>
        </w:tc>
        <w:tc>
          <w:tcPr>
            <w:tcW w:w="0" w:type="auto"/>
            <w:vAlign w:val="center"/>
            <w:hideMark/>
          </w:tcPr>
          <w:p w14:paraId="408F0CC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w:t>
            </w:r>
          </w:p>
        </w:tc>
      </w:tr>
      <w:tr w:rsidR="000444D1" w:rsidRPr="000444D1" w14:paraId="2696483C" w14:textId="77777777">
        <w:trPr>
          <w:tblCellSpacing w:w="15" w:type="dxa"/>
        </w:trPr>
        <w:tc>
          <w:tcPr>
            <w:tcW w:w="0" w:type="auto"/>
            <w:vAlign w:val="center"/>
            <w:hideMark/>
          </w:tcPr>
          <w:p w14:paraId="284E11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Costo total en el horizonte del programa</w:t>
            </w:r>
          </w:p>
        </w:tc>
        <w:tc>
          <w:tcPr>
            <w:tcW w:w="0" w:type="auto"/>
            <w:vAlign w:val="center"/>
            <w:hideMark/>
          </w:tcPr>
          <w:p w14:paraId="560C07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Medio</w:t>
            </w:r>
          </w:p>
        </w:tc>
      </w:tr>
    </w:tbl>
    <w:p w14:paraId="6E5DD9F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diseño no depende de esta elección.</w:t>
      </w:r>
      <w:r w:rsidRPr="000444D1">
        <w:rPr>
          <w:rFonts w:ascii="Times New Roman" w:eastAsia="Times New Roman" w:hAnsi="Times New Roman" w:cs="Times New Roman"/>
          <w:kern w:val="0"/>
          <w14:ligatures w14:val="none"/>
        </w:rPr>
        <w:t xml:space="preserve"> Los tres elementos que soportan la arquitectura —bus de eventos con particionado, gestión de APIs y orquestación de contenedores— tienen equivalentes funcionales en ambos proveedores, y el acoplamiento se concentra en configuración, no en lógica. Las dos capacidades de sustituibilidad media —identidad y gestión de claves— son las que concentrarían el esfuerzo de una eventual migración, y conviene declararlo con precisión en lugar de afirmar una portabilidad total que no sería cierta.</w:t>
      </w:r>
    </w:p>
    <w:p w14:paraId="217F02F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El riesgo de dependencia se acota además con tres decisiones ya tomadas: la instrumentación usa un estándar abierto, la captura de cambios usa una herramienta independiente del proveedor, y el bus se consume a través de una interfaz con más de una implementación disponible.</w:t>
      </w:r>
    </w:p>
    <w:p w14:paraId="20A08BEE"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39C8B212">
          <v:rect id="Horizontal Line 444"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24DBAA"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11. Estrategia de integración multicore</w:t>
      </w:r>
    </w:p>
    <w:p w14:paraId="030BD71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 sección desarrolla los ADR-001, 002 y 004, y muestra dónde se materializa cada uno.</w:t>
      </w:r>
    </w:p>
    <w:p w14:paraId="78462D2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11.1 El problema en términos precisos</w:t>
      </w:r>
    </w:p>
    <w:p w14:paraId="373FB8D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Dos sistemas de registro transaccionales coexisten durante un horizonte plurianual. La coexistencia plantea tres preguntas que deben tener respuesta determinista en todo momento:</w:t>
      </w:r>
    </w:p>
    <w:p w14:paraId="22A3085E" w14:textId="77777777" w:rsidR="000444D1" w:rsidRPr="000444D1" w:rsidRDefault="000444D1" w:rsidP="00C646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Para una operación dada, </w:t>
      </w:r>
      <w:r w:rsidRPr="000444D1">
        <w:rPr>
          <w:rFonts w:ascii="Times New Roman" w:eastAsia="Times New Roman" w:hAnsi="Times New Roman" w:cs="Times New Roman"/>
          <w:b/>
          <w:bCs/>
          <w:kern w:val="0"/>
          <w14:ligatures w14:val="none"/>
        </w:rPr>
        <w:t>¿cuál de los dos cores es la fuente de verdad?</w:t>
      </w:r>
    </w:p>
    <w:p w14:paraId="6384C614" w14:textId="77777777" w:rsidR="000444D1" w:rsidRPr="000444D1" w:rsidRDefault="000444D1" w:rsidP="00C646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¿Cómo se impide</w:t>
      </w:r>
      <w:r w:rsidRPr="000444D1">
        <w:rPr>
          <w:rFonts w:ascii="Times New Roman" w:eastAsia="Times New Roman" w:hAnsi="Times New Roman" w:cs="Times New Roman"/>
          <w:kern w:val="0"/>
          <w14:ligatures w14:val="none"/>
        </w:rPr>
        <w:t xml:space="preserve"> que esa dualidad se filtre a canales, terceros y sistemas transversales?</w:t>
      </w:r>
    </w:p>
    <w:p w14:paraId="77AFD57D" w14:textId="77777777" w:rsidR="000444D1" w:rsidRPr="000444D1" w:rsidRDefault="000444D1" w:rsidP="00C646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¿Cómo se entera</w:t>
      </w:r>
      <w:r w:rsidRPr="000444D1">
        <w:rPr>
          <w:rFonts w:ascii="Times New Roman" w:eastAsia="Times New Roman" w:hAnsi="Times New Roman" w:cs="Times New Roman"/>
          <w:kern w:val="0"/>
          <w14:ligatures w14:val="none"/>
        </w:rPr>
        <w:t xml:space="preserve"> el resto del sistema de lo que ocurre dentro de cada core?</w:t>
      </w:r>
    </w:p>
    <w:p w14:paraId="2F9E0FA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estrategia consta de tres mecanismos, uno por pregunta.</w:t>
      </w:r>
    </w:p>
    <w:p w14:paraId="5DCB3B1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11.2 Mecanismo 1 — Resolución del system of record</w:t>
      </w:r>
    </w:p>
    <w:p w14:paraId="58A65E0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reparto es </w:t>
      </w:r>
      <w:r w:rsidRPr="000444D1">
        <w:rPr>
          <w:rFonts w:ascii="Times New Roman" w:eastAsia="Times New Roman" w:hAnsi="Times New Roman" w:cs="Times New Roman"/>
          <w:b/>
          <w:bCs/>
          <w:kern w:val="0"/>
          <w14:ligatures w14:val="none"/>
        </w:rPr>
        <w:t>por producto</w:t>
      </w:r>
      <w:r w:rsidRPr="000444D1">
        <w:rPr>
          <w:rFonts w:ascii="Times New Roman" w:eastAsia="Times New Roman" w:hAnsi="Times New Roman" w:cs="Times New Roman"/>
          <w:kern w:val="0"/>
          <w14:ligatures w14:val="none"/>
        </w:rPr>
        <w:t xml:space="preserve"> (ADR-001). El catálogo de productos (D2) mantiene la relación producto → core propietario, y el enrutador de core la consulta para cada operación.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2"/>
        <w:gridCol w:w="6008"/>
      </w:tblGrid>
      <w:tr w:rsidR="000444D1" w:rsidRPr="000444D1" w14:paraId="725A8789" w14:textId="77777777">
        <w:trPr>
          <w:tblHeader/>
          <w:tblCellSpacing w:w="15" w:type="dxa"/>
        </w:trPr>
        <w:tc>
          <w:tcPr>
            <w:tcW w:w="0" w:type="auto"/>
            <w:vAlign w:val="center"/>
            <w:hideMark/>
          </w:tcPr>
          <w:p w14:paraId="01733F9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Propiedad</w:t>
            </w:r>
          </w:p>
        </w:tc>
        <w:tc>
          <w:tcPr>
            <w:tcW w:w="0" w:type="auto"/>
            <w:vAlign w:val="center"/>
            <w:hideMark/>
          </w:tcPr>
          <w:p w14:paraId="3D5B4B0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Consecuencia</w:t>
            </w:r>
          </w:p>
        </w:tc>
      </w:tr>
      <w:tr w:rsidR="000444D1" w:rsidRPr="000444D1" w14:paraId="2F851948" w14:textId="77777777">
        <w:trPr>
          <w:tblCellSpacing w:w="15" w:type="dxa"/>
        </w:trPr>
        <w:tc>
          <w:tcPr>
            <w:tcW w:w="0" w:type="auto"/>
            <w:vAlign w:val="center"/>
            <w:hideMark/>
          </w:tcPr>
          <w:p w14:paraId="160E94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resolución es un dato, no código</w:t>
            </w:r>
          </w:p>
        </w:tc>
        <w:tc>
          <w:tcPr>
            <w:tcW w:w="0" w:type="auto"/>
            <w:vAlign w:val="center"/>
            <w:hideMark/>
          </w:tcPr>
          <w:p w14:paraId="485CE9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Cambiar el core propietario de un producto es una actualización en D2, no un despliegue</w:t>
            </w:r>
          </w:p>
        </w:tc>
      </w:tr>
      <w:tr w:rsidR="000444D1" w:rsidRPr="000444D1" w14:paraId="38D86D36" w14:textId="77777777">
        <w:trPr>
          <w:tblCellSpacing w:w="15" w:type="dxa"/>
        </w:trPr>
        <w:tc>
          <w:tcPr>
            <w:tcW w:w="0" w:type="auto"/>
            <w:vAlign w:val="center"/>
            <w:hideMark/>
          </w:tcPr>
          <w:p w14:paraId="2027B0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 determinista y auditable</w:t>
            </w:r>
          </w:p>
        </w:tc>
        <w:tc>
          <w:tcPr>
            <w:tcW w:w="0" w:type="auto"/>
            <w:vAlign w:val="center"/>
            <w:hideMark/>
          </w:tcPr>
          <w:p w14:paraId="2D97EFD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operación puede explicarse: se ejecutó en el core X porque el producto Y le corresponde</w:t>
            </w:r>
          </w:p>
        </w:tc>
      </w:tr>
      <w:tr w:rsidR="000444D1" w:rsidRPr="000444D1" w14:paraId="5A60204E" w14:textId="77777777">
        <w:trPr>
          <w:tblCellSpacing w:w="15" w:type="dxa"/>
        </w:trPr>
        <w:tc>
          <w:tcPr>
            <w:tcW w:w="0" w:type="auto"/>
            <w:vAlign w:val="center"/>
            <w:hideMark/>
          </w:tcPr>
          <w:p w14:paraId="61E278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requiere estado de sesión</w:t>
            </w:r>
          </w:p>
        </w:tc>
        <w:tc>
          <w:tcPr>
            <w:tcW w:w="0" w:type="auto"/>
            <w:vAlign w:val="center"/>
            <w:hideMark/>
          </w:tcPr>
          <w:p w14:paraId="482BFB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Cualquier instancia resuelve igual, sin afinidad</w:t>
            </w:r>
          </w:p>
        </w:tc>
      </w:tr>
      <w:tr w:rsidR="000444D1" w:rsidRPr="000444D1" w14:paraId="71388D0E" w14:textId="77777777">
        <w:trPr>
          <w:tblCellSpacing w:w="15" w:type="dxa"/>
        </w:trPr>
        <w:tc>
          <w:tcPr>
            <w:tcW w:w="0" w:type="auto"/>
            <w:vAlign w:val="center"/>
            <w:hideMark/>
          </w:tcPr>
          <w:p w14:paraId="34C436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cliente puede tener productos en ambos cores</w:t>
            </w:r>
          </w:p>
        </w:tc>
        <w:tc>
          <w:tcPr>
            <w:tcW w:w="0" w:type="auto"/>
            <w:vAlign w:val="center"/>
            <w:hideMark/>
          </w:tcPr>
          <w:p w14:paraId="666FFC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Condición permanente durante el programa, tratada como caso normal y no como excepción</w:t>
            </w:r>
          </w:p>
        </w:tc>
      </w:tr>
    </w:tbl>
    <w:p w14:paraId="2188382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 propiedad es la que hace posible el paso 6 del procedimiento de migración (17.5): el conmutador que traslada una cohorte de cuentas de un core a otro es una actualización del catálogo, y por eso la conmutación es reversible en segundos.</w:t>
      </w:r>
    </w:p>
    <w:p w14:paraId="01DE7FB2"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11.3 Mecanismo 2 — Aislamiento mediante puertos canónicos</w:t>
      </w:r>
    </w:p>
    <w:p w14:paraId="4FD56F2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Ambos cores se exponen al interior a través del </w:t>
      </w:r>
      <w:r w:rsidRPr="000444D1">
        <w:rPr>
          <w:rFonts w:ascii="Times New Roman" w:eastAsia="Times New Roman" w:hAnsi="Times New Roman" w:cs="Times New Roman"/>
          <w:b/>
          <w:bCs/>
          <w:kern w:val="0"/>
          <w14:ligatures w14:val="none"/>
        </w:rPr>
        <w:t>mismo conjunto de puertos</w:t>
      </w:r>
      <w:r w:rsidRPr="000444D1">
        <w:rPr>
          <w:rFonts w:ascii="Times New Roman" w:eastAsia="Times New Roman" w:hAnsi="Times New Roman" w:cs="Times New Roman"/>
          <w:kern w:val="0"/>
          <w14:ligatures w14:val="none"/>
        </w:rPr>
        <w:t xml:space="preserve"> (12.5), implementados por dos adaptadores distintos: el ACL para el tradicional, el adaptador REST para el digital.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4"/>
        <w:gridCol w:w="4466"/>
      </w:tblGrid>
      <w:tr w:rsidR="000444D1" w:rsidRPr="000444D1" w14:paraId="0D53BD77" w14:textId="77777777">
        <w:trPr>
          <w:tblHeader/>
          <w:tblCellSpacing w:w="15" w:type="dxa"/>
        </w:trPr>
        <w:tc>
          <w:tcPr>
            <w:tcW w:w="0" w:type="auto"/>
            <w:vAlign w:val="center"/>
            <w:hideMark/>
          </w:tcPr>
          <w:p w14:paraId="4A15504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Elemento</w:t>
            </w:r>
          </w:p>
        </w:tc>
        <w:tc>
          <w:tcPr>
            <w:tcW w:w="0" w:type="auto"/>
            <w:vAlign w:val="center"/>
            <w:hideMark/>
          </w:tcPr>
          <w:p w14:paraId="2EB5BE5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Efecto</w:t>
            </w:r>
          </w:p>
        </w:tc>
      </w:tr>
      <w:tr w:rsidR="000444D1" w:rsidRPr="000444D1" w14:paraId="582BF3CD" w14:textId="77777777">
        <w:trPr>
          <w:tblCellSpacing w:w="15" w:type="dxa"/>
        </w:trPr>
        <w:tc>
          <w:tcPr>
            <w:tcW w:w="0" w:type="auto"/>
            <w:vAlign w:val="center"/>
            <w:hideMark/>
          </w:tcPr>
          <w:p w14:paraId="609838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orquestador de saga depende del puerto, no del adaptador</w:t>
            </w:r>
          </w:p>
        </w:tc>
        <w:tc>
          <w:tcPr>
            <w:tcW w:w="0" w:type="auto"/>
            <w:vAlign w:val="center"/>
            <w:hideMark/>
          </w:tcPr>
          <w:p w14:paraId="4AA933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Desconoce cuál core atiende cada operación (LSP)</w:t>
            </w:r>
          </w:p>
        </w:tc>
      </w:tr>
      <w:tr w:rsidR="000444D1" w:rsidRPr="000444D1" w14:paraId="0E56D9B7" w14:textId="77777777">
        <w:trPr>
          <w:tblCellSpacing w:w="15" w:type="dxa"/>
        </w:trPr>
        <w:tc>
          <w:tcPr>
            <w:tcW w:w="0" w:type="auto"/>
            <w:vAlign w:val="center"/>
            <w:hideMark/>
          </w:tcPr>
          <w:p w14:paraId="2934ED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Ningún puerto expone tipos del sistema legado</w:t>
            </w:r>
          </w:p>
        </w:tc>
        <w:tc>
          <w:tcPr>
            <w:tcW w:w="0" w:type="auto"/>
            <w:vAlign w:val="center"/>
            <w:hideMark/>
          </w:tcPr>
          <w:p w14:paraId="6E7B61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modelo del core no contamina el dominio (P2)</w:t>
            </w:r>
          </w:p>
        </w:tc>
      </w:tr>
      <w:tr w:rsidR="000444D1" w:rsidRPr="000444D1" w14:paraId="491B2646" w14:textId="77777777">
        <w:trPr>
          <w:tblCellSpacing w:w="15" w:type="dxa"/>
        </w:trPr>
        <w:tc>
          <w:tcPr>
            <w:tcW w:w="0" w:type="auto"/>
            <w:vAlign w:val="center"/>
            <w:hideMark/>
          </w:tcPr>
          <w:p w14:paraId="34EAFF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canales usan identificadores canónicos de cuenta</w:t>
            </w:r>
          </w:p>
        </w:tc>
        <w:tc>
          <w:tcPr>
            <w:tcW w:w="0" w:type="auto"/>
            <w:vAlign w:val="center"/>
            <w:hideMark/>
          </w:tcPr>
          <w:p w14:paraId="3667D9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consumidor no puede deducir dónde reside la cuenta</w:t>
            </w:r>
          </w:p>
        </w:tc>
      </w:tr>
      <w:tr w:rsidR="000444D1" w:rsidRPr="000444D1" w14:paraId="649CD029" w14:textId="77777777">
        <w:trPr>
          <w:tblCellSpacing w:w="15" w:type="dxa"/>
        </w:trPr>
        <w:tc>
          <w:tcPr>
            <w:tcW w:w="0" w:type="auto"/>
            <w:vAlign w:val="center"/>
            <w:hideMark/>
          </w:tcPr>
          <w:p w14:paraId="319829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APIs de sistema no se exponen a los BFF</w:t>
            </w:r>
          </w:p>
        </w:tc>
        <w:tc>
          <w:tcPr>
            <w:tcW w:w="0" w:type="auto"/>
            <w:vAlign w:val="center"/>
            <w:hideMark/>
          </w:tcPr>
          <w:p w14:paraId="358FB1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Impide que la dualidad se filtre hacia arriba</w:t>
            </w:r>
          </w:p>
        </w:tc>
      </w:tr>
    </w:tbl>
    <w:p w14:paraId="6EEA9AB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resultado es que </w:t>
      </w:r>
      <w:r w:rsidRPr="000444D1">
        <w:rPr>
          <w:rFonts w:ascii="Times New Roman" w:eastAsia="Times New Roman" w:hAnsi="Times New Roman" w:cs="Times New Roman"/>
          <w:b/>
          <w:bCs/>
          <w:kern w:val="0"/>
          <w14:ligatures w14:val="none"/>
        </w:rPr>
        <w:t>la existencia de dos cores es invisible fuera de la capa de mediación</w:t>
      </w:r>
      <w:r w:rsidRPr="000444D1">
        <w:rPr>
          <w:rFonts w:ascii="Times New Roman" w:eastAsia="Times New Roman" w:hAnsi="Times New Roman" w:cs="Times New Roman"/>
          <w:kern w:val="0"/>
          <w14:ligatures w14:val="none"/>
        </w:rPr>
        <w:t>. Un desarrollador de canal, un tercero Open Finance o el motor de fraude operan sin conocerla.</w:t>
      </w:r>
    </w:p>
    <w:p w14:paraId="393E7F47"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11.4 Mecanismo 3 — Ingesta de cambios</w:t>
      </w:r>
    </w:p>
    <w:p w14:paraId="2DA598F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Desarrollado en el ADR-004: emisión de eventos desde el ACL para lo que él origina, más captura de cambios sobre la réplica para lo que no. La deduplicación se resuelve por </w:t>
      </w:r>
      <w:r w:rsidRPr="000444D1">
        <w:rPr>
          <w:rFonts w:ascii="Courier New" w:eastAsia="Times New Roman" w:hAnsi="Courier New" w:cs="Courier New"/>
          <w:kern w:val="0"/>
          <w:sz w:val="20"/>
          <w:szCs w:val="20"/>
          <w14:ligatures w14:val="none"/>
        </w:rPr>
        <w:t>claveNegocio</w:t>
      </w:r>
      <w:r w:rsidRPr="000444D1">
        <w:rPr>
          <w:rFonts w:ascii="Times New Roman" w:eastAsia="Times New Roman" w:hAnsi="Times New Roman" w:cs="Times New Roman"/>
          <w:kern w:val="0"/>
          <w14:ligatures w14:val="none"/>
        </w:rPr>
        <w:t xml:space="preserve"> (12.6), y el campo </w:t>
      </w:r>
      <w:r w:rsidRPr="000444D1">
        <w:rPr>
          <w:rFonts w:ascii="Courier New" w:eastAsia="Times New Roman" w:hAnsi="Courier New" w:cs="Courier New"/>
          <w:kern w:val="0"/>
          <w:sz w:val="20"/>
          <w:szCs w:val="20"/>
          <w14:ligatures w14:val="none"/>
        </w:rPr>
        <w:t>origenCaptura</w:t>
      </w:r>
      <w:r w:rsidRPr="000444D1">
        <w:rPr>
          <w:rFonts w:ascii="Times New Roman" w:eastAsia="Times New Roman" w:hAnsi="Times New Roman" w:cs="Times New Roman"/>
          <w:kern w:val="0"/>
          <w14:ligatures w14:val="none"/>
        </w:rPr>
        <w:t xml:space="preserve"> permite vigilar la salud de cada mecanismo.</w:t>
      </w:r>
    </w:p>
    <w:p w14:paraId="44EB05B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digital no requiere este tratamiento: publica eventos de forma nativa a través de su adaptador. La asimetría entre ambos cores en este punto es una consecuencia directa de sus capacidades, y así se refleja en el diagrama de contenedores, donde el CDC aparece únicamente del lado tradicional.</w:t>
      </w:r>
    </w:p>
    <w:p w14:paraId="0747153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11.5 La posición consolidada como punto de convergencia</w:t>
      </w:r>
    </w:p>
    <w:p w14:paraId="4D05FA1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es donde ambos cores se encuentran. Recibe eventos de las tres fuentes —ACL, CDC y adaptador digital— y materializa una vista única.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6614"/>
      </w:tblGrid>
      <w:tr w:rsidR="000444D1" w:rsidRPr="000444D1" w14:paraId="3568C850" w14:textId="77777777">
        <w:trPr>
          <w:tblHeader/>
          <w:tblCellSpacing w:w="15" w:type="dxa"/>
        </w:trPr>
        <w:tc>
          <w:tcPr>
            <w:tcW w:w="0" w:type="auto"/>
            <w:vAlign w:val="center"/>
            <w:hideMark/>
          </w:tcPr>
          <w:p w14:paraId="7957D15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Propiedad</w:t>
            </w:r>
          </w:p>
        </w:tc>
        <w:tc>
          <w:tcPr>
            <w:tcW w:w="0" w:type="auto"/>
            <w:vAlign w:val="center"/>
            <w:hideMark/>
          </w:tcPr>
          <w:p w14:paraId="3905FA8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Justificación</w:t>
            </w:r>
          </w:p>
        </w:tc>
      </w:tr>
      <w:tr w:rsidR="000444D1" w:rsidRPr="000444D1" w14:paraId="78407B48" w14:textId="77777777">
        <w:trPr>
          <w:tblCellSpacing w:w="15" w:type="dxa"/>
        </w:trPr>
        <w:tc>
          <w:tcPr>
            <w:tcW w:w="0" w:type="auto"/>
            <w:vAlign w:val="center"/>
            <w:hideMark/>
          </w:tcPr>
          <w:p w14:paraId="0FD972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es system of record de nada</w:t>
            </w:r>
          </w:p>
        </w:tc>
        <w:tc>
          <w:tcPr>
            <w:tcW w:w="0" w:type="auto"/>
            <w:vAlign w:val="center"/>
            <w:hideMark/>
          </w:tcPr>
          <w:p w14:paraId="240BEA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 almacén es reconstruible; no hay dato que solo exista allí (5.3)</w:t>
            </w:r>
          </w:p>
        </w:tc>
      </w:tr>
      <w:tr w:rsidR="000444D1" w:rsidRPr="000444D1" w14:paraId="0103D52C" w14:textId="77777777">
        <w:trPr>
          <w:tblCellSpacing w:w="15" w:type="dxa"/>
        </w:trPr>
        <w:tc>
          <w:tcPr>
            <w:tcW w:w="0" w:type="auto"/>
            <w:vAlign w:val="center"/>
            <w:hideMark/>
          </w:tcPr>
          <w:p w14:paraId="5CC67C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autoriza operaciones</w:t>
            </w:r>
          </w:p>
        </w:tc>
        <w:tc>
          <w:tcPr>
            <w:tcW w:w="0" w:type="auto"/>
            <w:vAlign w:val="center"/>
            <w:hideMark/>
          </w:tcPr>
          <w:p w14:paraId="45A90A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valida los fondos en el momento del débito (ADR-002)</w:t>
            </w:r>
          </w:p>
        </w:tc>
      </w:tr>
      <w:tr w:rsidR="000444D1" w:rsidRPr="000444D1" w14:paraId="52F641EE" w14:textId="77777777">
        <w:trPr>
          <w:tblCellSpacing w:w="15" w:type="dxa"/>
        </w:trPr>
        <w:tc>
          <w:tcPr>
            <w:tcW w:w="0" w:type="auto"/>
            <w:vAlign w:val="center"/>
            <w:hideMark/>
          </w:tcPr>
          <w:p w14:paraId="0B15AD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Expone la frescura de cada dato</w:t>
            </w:r>
          </w:p>
        </w:tc>
        <w:tc>
          <w:tcPr>
            <w:tcW w:w="0" w:type="auto"/>
            <w:vAlign w:val="center"/>
            <w:hideMark/>
          </w:tcPr>
          <w:p w14:paraId="59A2BB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contrato incluye la marca de actualización y declara su naturaleza de proyección (12.4)</w:t>
            </w:r>
          </w:p>
        </w:tc>
      </w:tr>
      <w:tr w:rsidR="000444D1" w:rsidRPr="000444D1" w14:paraId="7EAB2F61" w14:textId="77777777">
        <w:trPr>
          <w:tblCellSpacing w:w="15" w:type="dxa"/>
        </w:trPr>
        <w:tc>
          <w:tcPr>
            <w:tcW w:w="0" w:type="auto"/>
            <w:vAlign w:val="center"/>
            <w:hideMark/>
          </w:tcPr>
          <w:p w14:paraId="4C4C281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 indiferente al reparto de productos</w:t>
            </w:r>
          </w:p>
        </w:tc>
        <w:tc>
          <w:tcPr>
            <w:tcW w:w="0" w:type="auto"/>
            <w:vAlign w:val="center"/>
            <w:hideMark/>
          </w:tcPr>
          <w:p w14:paraId="20ABEC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una cuenta cambia de core, D3 sigue recibiendo sus eventos por otro camino, sin cambio funcional</w:t>
            </w:r>
          </w:p>
        </w:tc>
      </w:tr>
    </w:tbl>
    <w:p w14:paraId="08458C8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última propiedad es la que hace que la migración de una cohorte sea transparente para el cliente: su posición se sigue viendo igual antes y después, porque D3 nunca supo dónde estaba alojada la cuenta.</w:t>
      </w:r>
    </w:p>
    <w:p w14:paraId="6F2E083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11.6 Tratamiento de la impedancia temporal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2"/>
        <w:gridCol w:w="5818"/>
      </w:tblGrid>
      <w:tr w:rsidR="000444D1" w:rsidRPr="000444D1" w14:paraId="47D473ED" w14:textId="77777777">
        <w:trPr>
          <w:tblHeader/>
          <w:tblCellSpacing w:w="15" w:type="dxa"/>
        </w:trPr>
        <w:tc>
          <w:tcPr>
            <w:tcW w:w="0" w:type="auto"/>
            <w:vAlign w:val="center"/>
            <w:hideMark/>
          </w:tcPr>
          <w:p w14:paraId="53FDFDA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Fuente de impedancia</w:t>
            </w:r>
          </w:p>
        </w:tc>
        <w:tc>
          <w:tcPr>
            <w:tcW w:w="0" w:type="auto"/>
            <w:vAlign w:val="center"/>
            <w:hideMark/>
          </w:tcPr>
          <w:p w14:paraId="51F890B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w:t>
            </w:r>
          </w:p>
        </w:tc>
      </w:tr>
      <w:tr w:rsidR="000444D1" w:rsidRPr="000444D1" w14:paraId="26866E22" w14:textId="77777777">
        <w:trPr>
          <w:tblCellSpacing w:w="15" w:type="dxa"/>
        </w:trPr>
        <w:tc>
          <w:tcPr>
            <w:tcW w:w="0" w:type="auto"/>
            <w:vAlign w:val="center"/>
            <w:hideMark/>
          </w:tcPr>
          <w:p w14:paraId="3C7034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tradicional opera por ciclos; los canales exigen respuesta interactiva</w:t>
            </w:r>
          </w:p>
        </w:tc>
        <w:tc>
          <w:tcPr>
            <w:tcW w:w="0" w:type="auto"/>
            <w:vAlign w:val="center"/>
            <w:hideMark/>
          </w:tcPr>
          <w:p w14:paraId="37A741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lecturas se sirven de D3, que no depende del core (ADR-002)</w:t>
            </w:r>
          </w:p>
        </w:tc>
      </w:tr>
      <w:tr w:rsidR="000444D1" w:rsidRPr="000444D1" w14:paraId="2C1DCF5C" w14:textId="77777777">
        <w:trPr>
          <w:tblCellSpacing w:w="15" w:type="dxa"/>
        </w:trPr>
        <w:tc>
          <w:tcPr>
            <w:tcW w:w="0" w:type="auto"/>
            <w:vAlign w:val="center"/>
            <w:hideMark/>
          </w:tcPr>
          <w:p w14:paraId="0E3BDF4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Ventana de cierre nocturno</w:t>
            </w:r>
          </w:p>
        </w:tc>
        <w:tc>
          <w:tcPr>
            <w:tcW w:w="0" w:type="auto"/>
            <w:vAlign w:val="center"/>
            <w:hideMark/>
          </w:tcPr>
          <w:p w14:paraId="29F160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controlador de disponibilidad del ACL la detecta y expone el estado degradado; el canal informa antes de aceptar la operación (15.3)</w:t>
            </w:r>
          </w:p>
        </w:tc>
      </w:tr>
      <w:tr w:rsidR="000444D1" w:rsidRPr="000444D1" w14:paraId="241ACC81" w14:textId="77777777">
        <w:trPr>
          <w:tblCellSpacing w:w="15" w:type="dxa"/>
        </w:trPr>
        <w:tc>
          <w:tcPr>
            <w:tcW w:w="0" w:type="auto"/>
            <w:vAlign w:val="center"/>
            <w:hideMark/>
          </w:tcPr>
          <w:p w14:paraId="0EA8C4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de la captura de cambios</w:t>
            </w:r>
          </w:p>
        </w:tc>
        <w:tc>
          <w:tcPr>
            <w:tcW w:w="0" w:type="auto"/>
            <w:vAlign w:val="center"/>
            <w:hideMark/>
          </w:tcPr>
          <w:p w14:paraId="7B8478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proyección expone su marca de frescura; la reconciliación diaria corrige la deriva</w:t>
            </w:r>
          </w:p>
        </w:tc>
      </w:tr>
      <w:tr w:rsidR="000444D1" w:rsidRPr="000444D1" w14:paraId="30C1BB31" w14:textId="77777777">
        <w:trPr>
          <w:tblCellSpacing w:w="15" w:type="dxa"/>
        </w:trPr>
        <w:tc>
          <w:tcPr>
            <w:tcW w:w="0" w:type="auto"/>
            <w:vAlign w:val="center"/>
            <w:hideMark/>
          </w:tcPr>
          <w:p w14:paraId="332432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digital opera 24/7</w:t>
            </w:r>
          </w:p>
        </w:tc>
        <w:tc>
          <w:tcPr>
            <w:tcW w:w="0" w:type="auto"/>
            <w:vAlign w:val="center"/>
            <w:hideMark/>
          </w:tcPr>
          <w:p w14:paraId="0EBAD6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Durante la ventana de cierre, los productos digitales siguen plenamente operativos</w:t>
            </w:r>
          </w:p>
        </w:tc>
      </w:tr>
    </w:tbl>
    <w:p w14:paraId="1337103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11.7 Dónde se refleja la estrategia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6506"/>
      </w:tblGrid>
      <w:tr w:rsidR="000444D1" w:rsidRPr="000444D1" w14:paraId="0CA46267" w14:textId="77777777">
        <w:trPr>
          <w:tblHeader/>
          <w:tblCellSpacing w:w="15" w:type="dxa"/>
        </w:trPr>
        <w:tc>
          <w:tcPr>
            <w:tcW w:w="0" w:type="auto"/>
            <w:vAlign w:val="center"/>
            <w:hideMark/>
          </w:tcPr>
          <w:p w14:paraId="4276819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Elemento del diseño</w:t>
            </w:r>
          </w:p>
        </w:tc>
        <w:tc>
          <w:tcPr>
            <w:tcW w:w="0" w:type="auto"/>
            <w:vAlign w:val="center"/>
            <w:hideMark/>
          </w:tcPr>
          <w:p w14:paraId="5755AB9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Cómo materializa la estrategia</w:t>
            </w:r>
          </w:p>
        </w:tc>
      </w:tr>
      <w:tr w:rsidR="000444D1" w:rsidRPr="000444D1" w14:paraId="312E1670" w14:textId="77777777">
        <w:trPr>
          <w:tblCellSpacing w:w="15" w:type="dxa"/>
        </w:trPr>
        <w:tc>
          <w:tcPr>
            <w:tcW w:w="0" w:type="auto"/>
            <w:vAlign w:val="center"/>
            <w:hideMark/>
          </w:tcPr>
          <w:p w14:paraId="195FB2C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Diagrama de contexto (6)</w:t>
            </w:r>
          </w:p>
        </w:tc>
        <w:tc>
          <w:tcPr>
            <w:tcW w:w="0" w:type="auto"/>
            <w:vAlign w:val="center"/>
            <w:hideMark/>
          </w:tcPr>
          <w:p w14:paraId="075A60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Ambos cores aparecen como sistemas distintos, no fundidos en una única caja</w:t>
            </w:r>
          </w:p>
        </w:tc>
      </w:tr>
      <w:tr w:rsidR="000444D1" w:rsidRPr="000444D1" w14:paraId="046EB8A5" w14:textId="77777777">
        <w:trPr>
          <w:tblCellSpacing w:w="15" w:type="dxa"/>
        </w:trPr>
        <w:tc>
          <w:tcPr>
            <w:tcW w:w="0" w:type="auto"/>
            <w:vAlign w:val="center"/>
            <w:hideMark/>
          </w:tcPr>
          <w:p w14:paraId="501F88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Diagrama de contenedores (7)</w:t>
            </w:r>
          </w:p>
        </w:tc>
        <w:tc>
          <w:tcPr>
            <w:tcW w:w="0" w:type="auto"/>
            <w:vAlign w:val="center"/>
            <w:hideMark/>
          </w:tcPr>
          <w:p w14:paraId="64CC15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y adaptador digital como contenedores separados; CDC únicamente del lado tradicional</w:t>
            </w:r>
          </w:p>
        </w:tc>
      </w:tr>
      <w:tr w:rsidR="000444D1" w:rsidRPr="000444D1" w14:paraId="384199BD" w14:textId="77777777">
        <w:trPr>
          <w:tblCellSpacing w:w="15" w:type="dxa"/>
        </w:trPr>
        <w:tc>
          <w:tcPr>
            <w:tcW w:w="0" w:type="auto"/>
            <w:vAlign w:val="center"/>
            <w:hideMark/>
          </w:tcPr>
          <w:p w14:paraId="26AE35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Componentes de D4 (8.1)</w:t>
            </w:r>
          </w:p>
        </w:tc>
        <w:tc>
          <w:tcPr>
            <w:tcW w:w="0" w:type="auto"/>
            <w:vAlign w:val="center"/>
            <w:hideMark/>
          </w:tcPr>
          <w:p w14:paraId="045126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enrutador de core es un componente con nombre y responsabilidad propia</w:t>
            </w:r>
          </w:p>
        </w:tc>
      </w:tr>
      <w:tr w:rsidR="000444D1" w:rsidRPr="000444D1" w14:paraId="65EA2D9D" w14:textId="77777777">
        <w:trPr>
          <w:tblCellSpacing w:w="15" w:type="dxa"/>
        </w:trPr>
        <w:tc>
          <w:tcPr>
            <w:tcW w:w="0" w:type="auto"/>
            <w:vAlign w:val="center"/>
            <w:hideMark/>
          </w:tcPr>
          <w:p w14:paraId="47B3B4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Componentes del ACL (8.2)</w:t>
            </w:r>
          </w:p>
        </w:tc>
        <w:tc>
          <w:tcPr>
            <w:tcW w:w="0" w:type="auto"/>
            <w:vAlign w:val="center"/>
            <w:hideMark/>
          </w:tcPr>
          <w:p w14:paraId="541933E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Mapeador y cliente de mensajería son los únicos que conocen el modelo legado</w:t>
            </w:r>
          </w:p>
        </w:tc>
      </w:tr>
      <w:tr w:rsidR="000444D1" w:rsidRPr="000444D1" w14:paraId="7F9218F8" w14:textId="77777777">
        <w:trPr>
          <w:tblCellSpacing w:w="15" w:type="dxa"/>
        </w:trPr>
        <w:tc>
          <w:tcPr>
            <w:tcW w:w="0" w:type="auto"/>
            <w:vAlign w:val="center"/>
            <w:hideMark/>
          </w:tcPr>
          <w:p w14:paraId="63E4DF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Flujo 9.1, paso 4</w:t>
            </w:r>
          </w:p>
        </w:tc>
        <w:tc>
          <w:tcPr>
            <w:tcW w:w="0" w:type="auto"/>
            <w:vAlign w:val="center"/>
            <w:hideMark/>
          </w:tcPr>
          <w:p w14:paraId="5E5BB7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resolución del core propietario es un paso explícito del flujo de pago</w:t>
            </w:r>
          </w:p>
        </w:tc>
      </w:tr>
      <w:tr w:rsidR="000444D1" w:rsidRPr="000444D1" w14:paraId="37005961" w14:textId="77777777">
        <w:trPr>
          <w:tblCellSpacing w:w="15" w:type="dxa"/>
        </w:trPr>
        <w:tc>
          <w:tcPr>
            <w:tcW w:w="0" w:type="auto"/>
            <w:vAlign w:val="center"/>
            <w:hideMark/>
          </w:tcPr>
          <w:p w14:paraId="22D4D2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Flujo 9.2</w:t>
            </w:r>
          </w:p>
        </w:tc>
        <w:tc>
          <w:tcPr>
            <w:tcW w:w="0" w:type="auto"/>
            <w:vAlign w:val="center"/>
            <w:hideMark/>
          </w:tcPr>
          <w:p w14:paraId="599EAA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posición consolidada se resuelve sin intervención de ningún core</w:t>
            </w:r>
          </w:p>
        </w:tc>
      </w:tr>
      <w:tr w:rsidR="000444D1" w:rsidRPr="000444D1" w14:paraId="31073A62" w14:textId="77777777">
        <w:trPr>
          <w:tblCellSpacing w:w="15" w:type="dxa"/>
        </w:trPr>
        <w:tc>
          <w:tcPr>
            <w:tcW w:w="0" w:type="auto"/>
            <w:vAlign w:val="center"/>
            <w:hideMark/>
          </w:tcPr>
          <w:p w14:paraId="2371A6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Matriz de systems of record (5.3)</w:t>
            </w:r>
          </w:p>
        </w:tc>
        <w:tc>
          <w:tcPr>
            <w:tcW w:w="0" w:type="auto"/>
            <w:vAlign w:val="center"/>
            <w:hideMark/>
          </w:tcPr>
          <w:p w14:paraId="5A0947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Declara qué entidad pertenece a cada core y qué no pertenece a ninguno</w:t>
            </w:r>
          </w:p>
        </w:tc>
      </w:tr>
      <w:tr w:rsidR="000444D1" w:rsidRPr="000444D1" w14:paraId="242461AD" w14:textId="77777777">
        <w:trPr>
          <w:tblCellSpacing w:w="15" w:type="dxa"/>
        </w:trPr>
        <w:tc>
          <w:tcPr>
            <w:tcW w:w="0" w:type="auto"/>
            <w:vAlign w:val="center"/>
            <w:hideMark/>
          </w:tcPr>
          <w:p w14:paraId="7D5784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Puertos canónicos (12.5)</w:t>
            </w:r>
          </w:p>
        </w:tc>
        <w:tc>
          <w:tcPr>
            <w:tcW w:w="0" w:type="auto"/>
            <w:vAlign w:val="center"/>
            <w:hideMark/>
          </w:tcPr>
          <w:p w14:paraId="217517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único contrato con dos implementaciones</w:t>
            </w:r>
          </w:p>
        </w:tc>
      </w:tr>
      <w:tr w:rsidR="000444D1" w:rsidRPr="000444D1" w14:paraId="247CE0EB" w14:textId="77777777">
        <w:trPr>
          <w:tblCellSpacing w:w="15" w:type="dxa"/>
        </w:trPr>
        <w:tc>
          <w:tcPr>
            <w:tcW w:w="0" w:type="auto"/>
            <w:vAlign w:val="center"/>
            <w:hideMark/>
          </w:tcPr>
          <w:p w14:paraId="22C3FD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Sobre de eventos (12.6)</w:t>
            </w:r>
          </w:p>
        </w:tc>
        <w:tc>
          <w:tcPr>
            <w:tcW w:w="0" w:type="auto"/>
            <w:vAlign w:val="center"/>
            <w:hideMark/>
          </w:tcPr>
          <w:p w14:paraId="53E573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claveNegocio</w:t>
            </w:r>
            <w:r w:rsidRPr="000444D1">
              <w:rPr>
                <w:rFonts w:ascii="Times New Roman" w:eastAsia="Times New Roman" w:hAnsi="Times New Roman" w:cs="Times New Roman"/>
                <w:kern w:val="0"/>
                <w14:ligatures w14:val="none"/>
              </w:rPr>
              <w:t xml:space="preserve"> resuelve la duplicación entre mecanismos de ingesta</w:t>
            </w:r>
          </w:p>
        </w:tc>
      </w:tr>
      <w:tr w:rsidR="000444D1" w:rsidRPr="000444D1" w14:paraId="48CD7385" w14:textId="77777777">
        <w:trPr>
          <w:tblCellSpacing w:w="15" w:type="dxa"/>
        </w:trPr>
        <w:tc>
          <w:tcPr>
            <w:tcW w:w="0" w:type="auto"/>
            <w:vAlign w:val="center"/>
            <w:hideMark/>
          </w:tcPr>
          <w:p w14:paraId="65CD6D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 xml:space="preserve">Evento </w:t>
            </w:r>
            <w:r w:rsidRPr="000444D1">
              <w:rPr>
                <w:rFonts w:ascii="Courier New" w:eastAsia="Times New Roman" w:hAnsi="Courier New" w:cs="Courier New"/>
                <w:b/>
                <w:bCs/>
                <w:kern w:val="0"/>
                <w:sz w:val="20"/>
                <w:szCs w:val="20"/>
                <w14:ligatures w14:val="none"/>
              </w:rPr>
              <w:t>pago.ejecutado</w:t>
            </w:r>
          </w:p>
        </w:tc>
        <w:tc>
          <w:tcPr>
            <w:tcW w:w="0" w:type="auto"/>
            <w:vAlign w:val="center"/>
            <w:hideMark/>
          </w:tcPr>
          <w:p w14:paraId="14F2FC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campo </w:t>
            </w:r>
            <w:r w:rsidRPr="000444D1">
              <w:rPr>
                <w:rFonts w:ascii="Courier New" w:eastAsia="Times New Roman" w:hAnsi="Courier New" w:cs="Courier New"/>
                <w:kern w:val="0"/>
                <w:sz w:val="20"/>
                <w:szCs w:val="20"/>
                <w14:ligatures w14:val="none"/>
              </w:rPr>
              <w:t>coreEjecutor</w:t>
            </w:r>
            <w:r w:rsidRPr="000444D1">
              <w:rPr>
                <w:rFonts w:ascii="Times New Roman" w:eastAsia="Times New Roman" w:hAnsi="Times New Roman" w:cs="Times New Roman"/>
                <w:kern w:val="0"/>
                <w14:ligatures w14:val="none"/>
              </w:rPr>
              <w:t xml:space="preserve"> permite medir el avance de la migración</w:t>
            </w:r>
          </w:p>
        </w:tc>
      </w:tr>
      <w:tr w:rsidR="000444D1" w:rsidRPr="000444D1" w14:paraId="1138E07E" w14:textId="77777777">
        <w:trPr>
          <w:tblCellSpacing w:w="15" w:type="dxa"/>
        </w:trPr>
        <w:tc>
          <w:tcPr>
            <w:tcW w:w="0" w:type="auto"/>
            <w:vAlign w:val="center"/>
            <w:hideMark/>
          </w:tcPr>
          <w:p w14:paraId="0CD597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Matriz de degradación (15.3)</w:t>
            </w:r>
          </w:p>
        </w:tc>
        <w:tc>
          <w:tcPr>
            <w:tcW w:w="0" w:type="auto"/>
            <w:vAlign w:val="center"/>
            <w:hideMark/>
          </w:tcPr>
          <w:p w14:paraId="793214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Filas separadas para la caída de cada core, con impactos distintos</w:t>
            </w:r>
          </w:p>
        </w:tc>
      </w:tr>
      <w:tr w:rsidR="000444D1" w:rsidRPr="000444D1" w14:paraId="201F7117" w14:textId="77777777">
        <w:trPr>
          <w:tblCellSpacing w:w="15" w:type="dxa"/>
        </w:trPr>
        <w:tc>
          <w:tcPr>
            <w:tcW w:w="0" w:type="auto"/>
            <w:vAlign w:val="center"/>
            <w:hideMark/>
          </w:tcPr>
          <w:p w14:paraId="4E08EF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Plan de migración (17)</w:t>
            </w:r>
          </w:p>
        </w:tc>
        <w:tc>
          <w:tcPr>
            <w:tcW w:w="0" w:type="auto"/>
            <w:vAlign w:val="center"/>
            <w:hideMark/>
          </w:tcPr>
          <w:p w14:paraId="47C9B4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fases se estructuran por producto, que es la unidad de reparto</w:t>
            </w:r>
          </w:p>
        </w:tc>
      </w:tr>
    </w:tbl>
    <w:p w14:paraId="7142553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11.8 Límites de la estrategia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6455"/>
      </w:tblGrid>
      <w:tr w:rsidR="000444D1" w:rsidRPr="000444D1" w14:paraId="0F944EB4" w14:textId="77777777">
        <w:trPr>
          <w:tblHeader/>
          <w:tblCellSpacing w:w="15" w:type="dxa"/>
        </w:trPr>
        <w:tc>
          <w:tcPr>
            <w:tcW w:w="0" w:type="auto"/>
            <w:vAlign w:val="center"/>
            <w:hideMark/>
          </w:tcPr>
          <w:p w14:paraId="18CC4BB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Límite</w:t>
            </w:r>
          </w:p>
        </w:tc>
        <w:tc>
          <w:tcPr>
            <w:tcW w:w="0" w:type="auto"/>
            <w:vAlign w:val="center"/>
            <w:hideMark/>
          </w:tcPr>
          <w:p w14:paraId="7080930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Consecuencia asumida</w:t>
            </w:r>
          </w:p>
        </w:tc>
      </w:tr>
      <w:tr w:rsidR="000444D1" w:rsidRPr="000444D1" w14:paraId="5E156D4F" w14:textId="77777777">
        <w:trPr>
          <w:tblCellSpacing w:w="15" w:type="dxa"/>
        </w:trPr>
        <w:tc>
          <w:tcPr>
            <w:tcW w:w="0" w:type="auto"/>
            <w:vAlign w:val="center"/>
            <w:hideMark/>
          </w:tcPr>
          <w:p w14:paraId="479C11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elimina el doble costo operativo mientras dure la coexistencia</w:t>
            </w:r>
          </w:p>
        </w:tc>
        <w:tc>
          <w:tcPr>
            <w:tcW w:w="0" w:type="auto"/>
            <w:vAlign w:val="center"/>
            <w:hideMark/>
          </w:tcPr>
          <w:p w14:paraId="4965B6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acota con la decisión fechada de la Fase 7 (17.3)</w:t>
            </w:r>
          </w:p>
        </w:tc>
      </w:tr>
      <w:tr w:rsidR="000444D1" w:rsidRPr="000444D1" w14:paraId="1BADE9E5" w14:textId="77777777">
        <w:trPr>
          <w:tblCellSpacing w:w="15" w:type="dxa"/>
        </w:trPr>
        <w:tc>
          <w:tcPr>
            <w:tcW w:w="0" w:type="auto"/>
            <w:vAlign w:val="center"/>
            <w:hideMark/>
          </w:tcPr>
          <w:p w14:paraId="770F62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permite que una misma cuenta exista en ambos cores</w:t>
            </w:r>
          </w:p>
        </w:tc>
        <w:tc>
          <w:tcPr>
            <w:tcW w:w="0" w:type="auto"/>
            <w:vAlign w:val="center"/>
            <w:hideMark/>
          </w:tcPr>
          <w:p w14:paraId="244239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 una restricción deliberada (principio M5): el estado intermedio sería irresoluble</w:t>
            </w:r>
          </w:p>
        </w:tc>
      </w:tr>
      <w:tr w:rsidR="000444D1" w:rsidRPr="000444D1" w14:paraId="06A1B9E4" w14:textId="77777777">
        <w:trPr>
          <w:tblCellSpacing w:w="15" w:type="dxa"/>
        </w:trPr>
        <w:tc>
          <w:tcPr>
            <w:tcW w:w="0" w:type="auto"/>
            <w:vAlign w:val="center"/>
            <w:hideMark/>
          </w:tcPr>
          <w:p w14:paraId="79F2AE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resuelve la ausencia de identidad de cliente en el core tradicional</w:t>
            </w:r>
          </w:p>
        </w:tc>
        <w:tc>
          <w:tcPr>
            <w:tcW w:w="0" w:type="auto"/>
            <w:vAlign w:val="center"/>
            <w:hideMark/>
          </w:tcPr>
          <w:p w14:paraId="6E246E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Tratado en 14.8; la atribución vive fuera del core</w:t>
            </w:r>
          </w:p>
        </w:tc>
      </w:tr>
      <w:tr w:rsidR="000444D1" w:rsidRPr="000444D1" w14:paraId="192CD924" w14:textId="77777777">
        <w:trPr>
          <w:tblCellSpacing w:w="15" w:type="dxa"/>
        </w:trPr>
        <w:tc>
          <w:tcPr>
            <w:tcW w:w="0" w:type="auto"/>
            <w:vAlign w:val="center"/>
            <w:hideMark/>
          </w:tcPr>
          <w:p w14:paraId="056501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Depende de la corrección del catálogo de productos</w:t>
            </w:r>
          </w:p>
        </w:tc>
        <w:tc>
          <w:tcPr>
            <w:tcW w:w="0" w:type="auto"/>
            <w:vAlign w:val="center"/>
            <w:hideMark/>
          </w:tcPr>
          <w:p w14:paraId="0EF647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D2 se convierte en un componente crítico: un error en su dato enruta operaciones al core equivocado. Se mitiga con validación en el despliegue del cambio y con la reconciliación diaria</w:t>
            </w:r>
          </w:p>
        </w:tc>
      </w:tr>
    </w:tbl>
    <w:p w14:paraId="6892FBD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última fila merece énfasis: la estrategia concentra en un único dato —la relación producto-core— la corrección de todo el enrutamiento transaccional. Es una simplificación deliberada, porque concentrar esa decisión en un lugar auditable es preferible a distribuirla, pero exige tratar ese dato con el mismo rigor que un cambio de código.</w:t>
      </w:r>
    </w:p>
    <w:p w14:paraId="69D5398E"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63472CF9">
          <v:rect id="Horizontal Line 445"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0DE87C"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12. Estrategia de APIs y mensajería</w:t>
      </w:r>
    </w:p>
    <w:p w14:paraId="149CA61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contrato presentado en esta sección corresponde a un componente identificado en las secciones 7 y 8; no se introducen interfaces sin propietario.</w:t>
      </w:r>
    </w:p>
    <w:p w14:paraId="589D111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12.1 Taxonomía de APIs</w:t>
      </w:r>
    </w:p>
    <w:p w14:paraId="1CA6149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adopta una clasificación en tres capas. Su propósito es evitar que un mismo contrato sirva a audiencias con necesidades incompatibles, que es el origen habitual de las APIs sobrecargadas.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1798"/>
        <w:gridCol w:w="1733"/>
        <w:gridCol w:w="2016"/>
        <w:gridCol w:w="2352"/>
      </w:tblGrid>
      <w:tr w:rsidR="000444D1" w:rsidRPr="000444D1" w14:paraId="5F8B3E79" w14:textId="77777777">
        <w:trPr>
          <w:tblHeader/>
          <w:tblCellSpacing w:w="15" w:type="dxa"/>
        </w:trPr>
        <w:tc>
          <w:tcPr>
            <w:tcW w:w="0" w:type="auto"/>
            <w:vAlign w:val="center"/>
            <w:hideMark/>
          </w:tcPr>
          <w:p w14:paraId="2A70F89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w:t>
            </w:r>
          </w:p>
        </w:tc>
        <w:tc>
          <w:tcPr>
            <w:tcW w:w="0" w:type="auto"/>
            <w:vAlign w:val="center"/>
            <w:hideMark/>
          </w:tcPr>
          <w:p w14:paraId="4AFE805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Propietario</w:t>
            </w:r>
          </w:p>
        </w:tc>
        <w:tc>
          <w:tcPr>
            <w:tcW w:w="0" w:type="auto"/>
            <w:vAlign w:val="center"/>
            <w:hideMark/>
          </w:tcPr>
          <w:p w14:paraId="208F6E1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Audiencia</w:t>
            </w:r>
          </w:p>
        </w:tc>
        <w:tc>
          <w:tcPr>
            <w:tcW w:w="0" w:type="auto"/>
            <w:vAlign w:val="center"/>
            <w:hideMark/>
          </w:tcPr>
          <w:p w14:paraId="398031D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Estabilidad</w:t>
            </w:r>
          </w:p>
        </w:tc>
        <w:tc>
          <w:tcPr>
            <w:tcW w:w="0" w:type="auto"/>
            <w:vAlign w:val="center"/>
            <w:hideMark/>
          </w:tcPr>
          <w:p w14:paraId="0603EC4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Ejemplo</w:t>
            </w:r>
          </w:p>
        </w:tc>
      </w:tr>
      <w:tr w:rsidR="000444D1" w:rsidRPr="000444D1" w14:paraId="641A939A" w14:textId="77777777">
        <w:trPr>
          <w:tblCellSpacing w:w="15" w:type="dxa"/>
        </w:trPr>
        <w:tc>
          <w:tcPr>
            <w:tcW w:w="0" w:type="auto"/>
            <w:vAlign w:val="center"/>
            <w:hideMark/>
          </w:tcPr>
          <w:p w14:paraId="7BE87F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API de sistema</w:t>
            </w:r>
          </w:p>
        </w:tc>
        <w:tc>
          <w:tcPr>
            <w:tcW w:w="0" w:type="auto"/>
            <w:vAlign w:val="center"/>
            <w:hideMark/>
          </w:tcPr>
          <w:p w14:paraId="215DE5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Adaptadores (ACL, core digital)</w:t>
            </w:r>
          </w:p>
        </w:tc>
        <w:tc>
          <w:tcPr>
            <w:tcW w:w="0" w:type="auto"/>
            <w:vAlign w:val="center"/>
            <w:hideMark/>
          </w:tcPr>
          <w:p w14:paraId="2A3CC4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Solo servicios de dominio internos</w:t>
            </w:r>
          </w:p>
        </w:tc>
        <w:tc>
          <w:tcPr>
            <w:tcW w:w="0" w:type="auto"/>
            <w:vAlign w:val="center"/>
            <w:hideMark/>
          </w:tcPr>
          <w:p w14:paraId="783E6C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Alta — cambia con el sistema subyacente</w:t>
            </w:r>
          </w:p>
        </w:tc>
        <w:tc>
          <w:tcPr>
            <w:tcW w:w="0" w:type="auto"/>
            <w:vAlign w:val="center"/>
            <w:hideMark/>
          </w:tcPr>
          <w:p w14:paraId="0DE6A3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Puertos canónicos hacia los cores</w:t>
            </w:r>
          </w:p>
        </w:tc>
      </w:tr>
      <w:tr w:rsidR="000444D1" w:rsidRPr="000444D1" w14:paraId="5C5D85B9" w14:textId="77777777">
        <w:trPr>
          <w:tblCellSpacing w:w="15" w:type="dxa"/>
        </w:trPr>
        <w:tc>
          <w:tcPr>
            <w:tcW w:w="0" w:type="auto"/>
            <w:vAlign w:val="center"/>
            <w:hideMark/>
          </w:tcPr>
          <w:p w14:paraId="6A9D66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API de proceso</w:t>
            </w:r>
          </w:p>
        </w:tc>
        <w:tc>
          <w:tcPr>
            <w:tcW w:w="0" w:type="auto"/>
            <w:vAlign w:val="center"/>
            <w:hideMark/>
          </w:tcPr>
          <w:p w14:paraId="337975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Servicios de dominio (D1–D9)</w:t>
            </w:r>
          </w:p>
        </w:tc>
        <w:tc>
          <w:tcPr>
            <w:tcW w:w="0" w:type="auto"/>
            <w:vAlign w:val="center"/>
            <w:hideMark/>
          </w:tcPr>
          <w:p w14:paraId="55A85F8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 y otros servicios de dominio</w:t>
            </w:r>
          </w:p>
        </w:tc>
        <w:tc>
          <w:tcPr>
            <w:tcW w:w="0" w:type="auto"/>
            <w:vAlign w:val="center"/>
            <w:hideMark/>
          </w:tcPr>
          <w:p w14:paraId="3766CB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Alta — es el contrato de negocio</w:t>
            </w:r>
          </w:p>
        </w:tc>
        <w:tc>
          <w:tcPr>
            <w:tcW w:w="0" w:type="auto"/>
            <w:vAlign w:val="center"/>
            <w:hideMark/>
          </w:tcPr>
          <w:p w14:paraId="7DAC76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POST /v1/ordenes-pago</w:t>
            </w:r>
          </w:p>
        </w:tc>
      </w:tr>
      <w:tr w:rsidR="000444D1" w:rsidRPr="000444D1" w14:paraId="45395D23" w14:textId="77777777">
        <w:trPr>
          <w:tblCellSpacing w:w="15" w:type="dxa"/>
        </w:trPr>
        <w:tc>
          <w:tcPr>
            <w:tcW w:w="0" w:type="auto"/>
            <w:vAlign w:val="center"/>
            <w:hideMark/>
          </w:tcPr>
          <w:p w14:paraId="0AE004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API de experiencia</w:t>
            </w:r>
          </w:p>
        </w:tc>
        <w:tc>
          <w:tcPr>
            <w:tcW w:w="0" w:type="auto"/>
            <w:vAlign w:val="center"/>
            <w:hideMark/>
          </w:tcPr>
          <w:p w14:paraId="4F27796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w:t>
            </w:r>
          </w:p>
        </w:tc>
        <w:tc>
          <w:tcPr>
            <w:tcW w:w="0" w:type="auto"/>
            <w:vAlign w:val="center"/>
            <w:hideMark/>
          </w:tcPr>
          <w:p w14:paraId="3868A26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único canal</w:t>
            </w:r>
          </w:p>
        </w:tc>
        <w:tc>
          <w:tcPr>
            <w:tcW w:w="0" w:type="auto"/>
            <w:vAlign w:val="center"/>
            <w:hideMark/>
          </w:tcPr>
          <w:p w14:paraId="212B48A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Baja — evoluciona con la interfaz</w:t>
            </w:r>
          </w:p>
        </w:tc>
        <w:tc>
          <w:tcPr>
            <w:tcW w:w="0" w:type="auto"/>
            <w:vAlign w:val="center"/>
            <w:hideMark/>
          </w:tcPr>
          <w:p w14:paraId="148ECC1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GET /movil/v1/inicio</w:t>
            </w:r>
          </w:p>
        </w:tc>
      </w:tr>
    </w:tbl>
    <w:p w14:paraId="44B6D11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Las APIs de sistema </w:t>
      </w:r>
      <w:r w:rsidRPr="000444D1">
        <w:rPr>
          <w:rFonts w:ascii="Times New Roman" w:eastAsia="Times New Roman" w:hAnsi="Times New Roman" w:cs="Times New Roman"/>
          <w:b/>
          <w:bCs/>
          <w:kern w:val="0"/>
          <w14:ligatures w14:val="none"/>
        </w:rPr>
        <w:t>nunca se exponen fuera del perímetro</w:t>
      </w:r>
      <w:r w:rsidRPr="000444D1">
        <w:rPr>
          <w:rFonts w:ascii="Times New Roman" w:eastAsia="Times New Roman" w:hAnsi="Times New Roman" w:cs="Times New Roman"/>
          <w:kern w:val="0"/>
          <w14:ligatures w14:val="none"/>
        </w:rPr>
        <w:t>, ni siquiera a los BFF. La razón es directa: exponerlas filtraría la existencia de dos cores hacia arriba, deshaciendo el aislamiento que el ADR-001 y el ADR-002 construyen.</w:t>
      </w:r>
    </w:p>
    <w:p w14:paraId="347F72B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Internas frente a externas.</w:t>
      </w:r>
      <w:r w:rsidRPr="000444D1">
        <w:rPr>
          <w:rFonts w:ascii="Times New Roman" w:eastAsia="Times New Roman" w:hAnsi="Times New Roman" w:cs="Times New Roman"/>
          <w:kern w:val="0"/>
          <w14:ligatures w14:val="none"/>
        </w:rPr>
        <w:t xml:space="preserve"> Las APIs externas (Open Finance) no son APIs internas con más seguridad: son un contrato distinto, con su propio ciclo de vida, gobernado por normativa y no por las necesidades del banco. Se publican en el gateway externo, con versionado independiente y política de deprecación más conservadora (sección 16).</w:t>
      </w:r>
    </w:p>
    <w:p w14:paraId="18607B6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12.2 Estándares de industria adoptados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1607"/>
        <w:gridCol w:w="5952"/>
      </w:tblGrid>
      <w:tr w:rsidR="000444D1" w:rsidRPr="000444D1" w14:paraId="09E34D23" w14:textId="77777777">
        <w:trPr>
          <w:tblHeader/>
          <w:tblCellSpacing w:w="15" w:type="dxa"/>
        </w:trPr>
        <w:tc>
          <w:tcPr>
            <w:tcW w:w="0" w:type="auto"/>
            <w:vAlign w:val="center"/>
            <w:hideMark/>
          </w:tcPr>
          <w:p w14:paraId="486BA6C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Ámbito</w:t>
            </w:r>
          </w:p>
        </w:tc>
        <w:tc>
          <w:tcPr>
            <w:tcW w:w="0" w:type="auto"/>
            <w:vAlign w:val="center"/>
            <w:hideMark/>
          </w:tcPr>
          <w:p w14:paraId="64E9807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Estándar</w:t>
            </w:r>
          </w:p>
        </w:tc>
        <w:tc>
          <w:tcPr>
            <w:tcW w:w="0" w:type="auto"/>
            <w:vAlign w:val="center"/>
            <w:hideMark/>
          </w:tcPr>
          <w:p w14:paraId="6CF18E0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Aplicación concreta</w:t>
            </w:r>
          </w:p>
        </w:tc>
      </w:tr>
      <w:tr w:rsidR="000444D1" w:rsidRPr="000444D1" w14:paraId="653B6AEE" w14:textId="77777777">
        <w:trPr>
          <w:tblCellSpacing w:w="15" w:type="dxa"/>
        </w:trPr>
        <w:tc>
          <w:tcPr>
            <w:tcW w:w="0" w:type="auto"/>
            <w:vAlign w:val="center"/>
            <w:hideMark/>
          </w:tcPr>
          <w:p w14:paraId="7012E5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Semántica de dominio</w:t>
            </w:r>
          </w:p>
        </w:tc>
        <w:tc>
          <w:tcPr>
            <w:tcW w:w="0" w:type="auto"/>
            <w:vAlign w:val="center"/>
            <w:hideMark/>
          </w:tcPr>
          <w:p w14:paraId="1FE9D3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BIAN Service Landscape</w:t>
            </w:r>
          </w:p>
        </w:tc>
        <w:tc>
          <w:tcPr>
            <w:tcW w:w="0" w:type="auto"/>
            <w:vAlign w:val="center"/>
            <w:hideMark/>
          </w:tcPr>
          <w:p w14:paraId="685378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Nomenclatura de servicios y recursos; alineación de las operaciones con el alcance del Service Domain correspondiente</w:t>
            </w:r>
          </w:p>
        </w:tc>
      </w:tr>
      <w:tr w:rsidR="000444D1" w:rsidRPr="000444D1" w14:paraId="488C33BB" w14:textId="77777777">
        <w:trPr>
          <w:tblCellSpacing w:w="15" w:type="dxa"/>
        </w:trPr>
        <w:tc>
          <w:tcPr>
            <w:tcW w:w="0" w:type="auto"/>
            <w:vAlign w:val="center"/>
            <w:hideMark/>
          </w:tcPr>
          <w:p w14:paraId="33820C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Mensajería de pagos</w:t>
            </w:r>
          </w:p>
        </w:tc>
        <w:tc>
          <w:tcPr>
            <w:tcW w:w="0" w:type="auto"/>
            <w:vAlign w:val="center"/>
            <w:hideMark/>
          </w:tcPr>
          <w:p w14:paraId="1F243F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ISO 20022</w:t>
            </w:r>
          </w:p>
        </w:tc>
        <w:tc>
          <w:tcPr>
            <w:tcW w:w="0" w:type="auto"/>
            <w:vAlign w:val="center"/>
            <w:hideMark/>
          </w:tcPr>
          <w:p w14:paraId="4C9343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pain.001</w:t>
            </w:r>
            <w:r w:rsidRPr="000444D1">
              <w:rPr>
                <w:rFonts w:ascii="Times New Roman" w:eastAsia="Times New Roman" w:hAnsi="Times New Roman" w:cs="Times New Roman"/>
                <w:kern w:val="0"/>
                <w14:ligatures w14:val="none"/>
              </w:rPr>
              <w:t xml:space="preserve"> para iniciación de pago hacia redes externas; </w:t>
            </w:r>
            <w:r w:rsidRPr="000444D1">
              <w:rPr>
                <w:rFonts w:ascii="Courier New" w:eastAsia="Times New Roman" w:hAnsi="Courier New" w:cs="Courier New"/>
                <w:kern w:val="0"/>
                <w:sz w:val="20"/>
                <w:szCs w:val="20"/>
                <w14:ligatures w14:val="none"/>
              </w:rPr>
              <w:t>pacs.008</w:t>
            </w:r>
            <w:r w:rsidRPr="000444D1">
              <w:rPr>
                <w:rFonts w:ascii="Times New Roman" w:eastAsia="Times New Roman" w:hAnsi="Times New Roman" w:cs="Times New Roman"/>
                <w:kern w:val="0"/>
                <w14:ligatures w14:val="none"/>
              </w:rPr>
              <w:t xml:space="preserve"> para transferencia interbancaria; </w:t>
            </w:r>
            <w:r w:rsidRPr="000444D1">
              <w:rPr>
                <w:rFonts w:ascii="Courier New" w:eastAsia="Times New Roman" w:hAnsi="Courier New" w:cs="Courier New"/>
                <w:kern w:val="0"/>
                <w:sz w:val="20"/>
                <w:szCs w:val="20"/>
                <w14:ligatures w14:val="none"/>
              </w:rPr>
              <w:t>camt.05x</w:t>
            </w:r>
            <w:r w:rsidRPr="000444D1">
              <w:rPr>
                <w:rFonts w:ascii="Times New Roman" w:eastAsia="Times New Roman" w:hAnsi="Times New Roman" w:cs="Times New Roman"/>
                <w:kern w:val="0"/>
                <w14:ligatures w14:val="none"/>
              </w:rPr>
              <w:t xml:space="preserve"> para reportería de movimientos. La traducción ocurre en el adaptador de redes de pago, no en el dominio</w:t>
            </w:r>
          </w:p>
        </w:tc>
      </w:tr>
      <w:tr w:rsidR="000444D1" w:rsidRPr="000444D1" w14:paraId="3A11D86B" w14:textId="77777777">
        <w:trPr>
          <w:tblCellSpacing w:w="15" w:type="dxa"/>
        </w:trPr>
        <w:tc>
          <w:tcPr>
            <w:tcW w:w="0" w:type="auto"/>
            <w:vAlign w:val="center"/>
            <w:hideMark/>
          </w:tcPr>
          <w:p w14:paraId="45A96A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Descripción de APIs síncronas</w:t>
            </w:r>
          </w:p>
        </w:tc>
        <w:tc>
          <w:tcPr>
            <w:tcW w:w="0" w:type="auto"/>
            <w:vAlign w:val="center"/>
            <w:hideMark/>
          </w:tcPr>
          <w:p w14:paraId="0F73C4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OpenAPI 3.1</w:t>
            </w:r>
          </w:p>
        </w:tc>
        <w:tc>
          <w:tcPr>
            <w:tcW w:w="0" w:type="auto"/>
            <w:vAlign w:val="center"/>
            <w:hideMark/>
          </w:tcPr>
          <w:p w14:paraId="674AC2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 de toda API de proceso y de experiencia</w:t>
            </w:r>
          </w:p>
        </w:tc>
      </w:tr>
      <w:tr w:rsidR="000444D1" w:rsidRPr="000444D1" w14:paraId="45DB2F7F" w14:textId="77777777">
        <w:trPr>
          <w:tblCellSpacing w:w="15" w:type="dxa"/>
        </w:trPr>
        <w:tc>
          <w:tcPr>
            <w:tcW w:w="0" w:type="auto"/>
            <w:vAlign w:val="center"/>
            <w:hideMark/>
          </w:tcPr>
          <w:p w14:paraId="59A84E4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Descripción de APIs asíncronas</w:t>
            </w:r>
          </w:p>
        </w:tc>
        <w:tc>
          <w:tcPr>
            <w:tcW w:w="0" w:type="auto"/>
            <w:vAlign w:val="center"/>
            <w:hideMark/>
          </w:tcPr>
          <w:p w14:paraId="28CF9F4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AsyncAPI 3.0</w:t>
            </w:r>
          </w:p>
        </w:tc>
        <w:tc>
          <w:tcPr>
            <w:tcW w:w="0" w:type="auto"/>
            <w:vAlign w:val="center"/>
            <w:hideMark/>
          </w:tcPr>
          <w:p w14:paraId="401D79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 de todo evento publicado en el bus</w:t>
            </w:r>
          </w:p>
        </w:tc>
      </w:tr>
      <w:tr w:rsidR="000444D1" w:rsidRPr="000444D1" w14:paraId="7D93A72C" w14:textId="77777777">
        <w:trPr>
          <w:tblCellSpacing w:w="15" w:type="dxa"/>
        </w:trPr>
        <w:tc>
          <w:tcPr>
            <w:tcW w:w="0" w:type="auto"/>
            <w:vAlign w:val="center"/>
            <w:hideMark/>
          </w:tcPr>
          <w:p w14:paraId="04B9F0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Errores HTTP</w:t>
            </w:r>
          </w:p>
        </w:tc>
        <w:tc>
          <w:tcPr>
            <w:tcW w:w="0" w:type="auto"/>
            <w:vAlign w:val="center"/>
            <w:hideMark/>
          </w:tcPr>
          <w:p w14:paraId="6C3A35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RFC 9457 — Problem Details</w:t>
            </w:r>
          </w:p>
        </w:tc>
        <w:tc>
          <w:tcPr>
            <w:tcW w:w="0" w:type="auto"/>
            <w:vAlign w:val="center"/>
            <w:hideMark/>
          </w:tcPr>
          <w:p w14:paraId="10112A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Formato único de error en todas las APIs</w:t>
            </w:r>
          </w:p>
        </w:tc>
      </w:tr>
      <w:tr w:rsidR="000444D1" w:rsidRPr="000444D1" w14:paraId="5360AE5B" w14:textId="77777777">
        <w:trPr>
          <w:tblCellSpacing w:w="15" w:type="dxa"/>
        </w:trPr>
        <w:tc>
          <w:tcPr>
            <w:tcW w:w="0" w:type="auto"/>
            <w:vAlign w:val="center"/>
            <w:hideMark/>
          </w:tcPr>
          <w:p w14:paraId="24813E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Seguridad de APIs externas</w:t>
            </w:r>
          </w:p>
        </w:tc>
        <w:tc>
          <w:tcPr>
            <w:tcW w:w="0" w:type="auto"/>
            <w:vAlign w:val="center"/>
            <w:hideMark/>
          </w:tcPr>
          <w:p w14:paraId="0D4082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FAPI 2.0</w:t>
            </w:r>
            <w:r w:rsidRPr="000444D1">
              <w:rPr>
                <w:rFonts w:ascii="Times New Roman" w:eastAsia="Times New Roman" w:hAnsi="Times New Roman" w:cs="Times New Roman"/>
                <w:kern w:val="0"/>
                <w14:ligatures w14:val="none"/>
              </w:rPr>
              <w:t xml:space="preserve"> sobre OAuth 2.0</w:t>
            </w:r>
          </w:p>
        </w:tc>
        <w:tc>
          <w:tcPr>
            <w:tcW w:w="0" w:type="auto"/>
            <w:vAlign w:val="center"/>
            <w:hideMark/>
          </w:tcPr>
          <w:p w14:paraId="7EDBDA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Perfil de seguridad del gateway externo</w:t>
            </w:r>
          </w:p>
        </w:tc>
      </w:tr>
      <w:tr w:rsidR="000444D1" w:rsidRPr="000444D1" w14:paraId="7897E88B" w14:textId="77777777">
        <w:trPr>
          <w:tblCellSpacing w:w="15" w:type="dxa"/>
        </w:trPr>
        <w:tc>
          <w:tcPr>
            <w:tcW w:w="0" w:type="auto"/>
            <w:vAlign w:val="center"/>
            <w:hideMark/>
          </w:tcPr>
          <w:p w14:paraId="3F0DC9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Identificación de trazas</w:t>
            </w:r>
          </w:p>
        </w:tc>
        <w:tc>
          <w:tcPr>
            <w:tcW w:w="0" w:type="auto"/>
            <w:vAlign w:val="center"/>
            <w:hideMark/>
          </w:tcPr>
          <w:p w14:paraId="0F0A4B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W3C Trace Context</w:t>
            </w:r>
          </w:p>
        </w:tc>
        <w:tc>
          <w:tcPr>
            <w:tcW w:w="0" w:type="auto"/>
            <w:vAlign w:val="center"/>
            <w:hideMark/>
          </w:tcPr>
          <w:p w14:paraId="18FB37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Cabecera </w:t>
            </w:r>
            <w:r w:rsidRPr="000444D1">
              <w:rPr>
                <w:rFonts w:ascii="Courier New" w:eastAsia="Times New Roman" w:hAnsi="Courier New" w:cs="Courier New"/>
                <w:kern w:val="0"/>
                <w:sz w:val="20"/>
                <w:szCs w:val="20"/>
                <w14:ligatures w14:val="none"/>
              </w:rPr>
              <w:t>traceparent</w:t>
            </w:r>
            <w:r w:rsidRPr="000444D1">
              <w:rPr>
                <w:rFonts w:ascii="Times New Roman" w:eastAsia="Times New Roman" w:hAnsi="Times New Roman" w:cs="Times New Roman"/>
                <w:kern w:val="0"/>
                <w14:ligatures w14:val="none"/>
              </w:rPr>
              <w:t>, propagada también dentro del sobre de eventos</w:t>
            </w:r>
          </w:p>
        </w:tc>
      </w:tr>
    </w:tbl>
    <w:p w14:paraId="76C1041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Nota sobre ISO 20022.</w:t>
      </w:r>
      <w:r w:rsidRPr="000444D1">
        <w:rPr>
          <w:rFonts w:ascii="Times New Roman" w:eastAsia="Times New Roman" w:hAnsi="Times New Roman" w:cs="Times New Roman"/>
          <w:kern w:val="0"/>
          <w14:ligatures w14:val="none"/>
        </w:rPr>
        <w:t xml:space="preserve"> El estándar se aplica en la frontera con las redes de pago, no como modelo interno de dominio. Adoptar ISO 20022 como modelo canónico interno acoplaría todos los servicios a un esquema diseñado para interoperabilidad interbancaria, mucho más extenso de lo que requiere la operación doméstica. La traducción se localiza en el adaptador correspondiente, que es exactamente el papel de un adaptador.</w:t>
      </w:r>
    </w:p>
    <w:p w14:paraId="65C7FB3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12.3 Convenciones transversales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7925"/>
      </w:tblGrid>
      <w:tr w:rsidR="000444D1" w:rsidRPr="000444D1" w14:paraId="71E78AE5" w14:textId="77777777">
        <w:trPr>
          <w:tblHeader/>
          <w:tblCellSpacing w:w="15" w:type="dxa"/>
        </w:trPr>
        <w:tc>
          <w:tcPr>
            <w:tcW w:w="0" w:type="auto"/>
            <w:vAlign w:val="center"/>
            <w:hideMark/>
          </w:tcPr>
          <w:p w14:paraId="43FC703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Convención</w:t>
            </w:r>
          </w:p>
        </w:tc>
        <w:tc>
          <w:tcPr>
            <w:tcW w:w="0" w:type="auto"/>
            <w:vAlign w:val="center"/>
            <w:hideMark/>
          </w:tcPr>
          <w:p w14:paraId="466A2A5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Regla</w:t>
            </w:r>
          </w:p>
        </w:tc>
      </w:tr>
      <w:tr w:rsidR="000444D1" w:rsidRPr="000444D1" w14:paraId="4B88395F" w14:textId="77777777">
        <w:trPr>
          <w:tblCellSpacing w:w="15" w:type="dxa"/>
        </w:trPr>
        <w:tc>
          <w:tcPr>
            <w:tcW w:w="0" w:type="auto"/>
            <w:vAlign w:val="center"/>
            <w:hideMark/>
          </w:tcPr>
          <w:p w14:paraId="5AC868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Versionado</w:t>
            </w:r>
          </w:p>
        </w:tc>
        <w:tc>
          <w:tcPr>
            <w:tcW w:w="0" w:type="auto"/>
            <w:vAlign w:val="center"/>
            <w:hideMark/>
          </w:tcPr>
          <w:p w14:paraId="55702D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Versión mayor en la ruta (</w:t>
            </w:r>
            <w:r w:rsidRPr="000444D1">
              <w:rPr>
                <w:rFonts w:ascii="Courier New" w:eastAsia="Times New Roman" w:hAnsi="Courier New" w:cs="Courier New"/>
                <w:kern w:val="0"/>
                <w:sz w:val="20"/>
                <w:szCs w:val="20"/>
                <w14:ligatures w14:val="none"/>
              </w:rPr>
              <w:t>/v1/</w:t>
            </w:r>
            <w:r w:rsidRPr="000444D1">
              <w:rPr>
                <w:rFonts w:ascii="Times New Roman" w:eastAsia="Times New Roman" w:hAnsi="Times New Roman" w:cs="Times New Roman"/>
                <w:kern w:val="0"/>
                <w14:ligatures w14:val="none"/>
              </w:rPr>
              <w:t xml:space="preserve">). Los cambios compatibles no incrementan versión; los incompatibles crean </w:t>
            </w:r>
            <w:r w:rsidRPr="000444D1">
              <w:rPr>
                <w:rFonts w:ascii="Courier New" w:eastAsia="Times New Roman" w:hAnsi="Courier New" w:cs="Courier New"/>
                <w:kern w:val="0"/>
                <w:sz w:val="20"/>
                <w:szCs w:val="20"/>
                <w14:ligatures w14:val="none"/>
              </w:rPr>
              <w:t>/v2/</w:t>
            </w:r>
            <w:r w:rsidRPr="000444D1">
              <w:rPr>
                <w:rFonts w:ascii="Times New Roman" w:eastAsia="Times New Roman" w:hAnsi="Times New Roman" w:cs="Times New Roman"/>
                <w:kern w:val="0"/>
                <w14:ligatures w14:val="none"/>
              </w:rPr>
              <w:t xml:space="preserve"> y ambas conviven durante el periodo de deprecación</w:t>
            </w:r>
          </w:p>
        </w:tc>
      </w:tr>
      <w:tr w:rsidR="000444D1" w:rsidRPr="000444D1" w14:paraId="61CCA183" w14:textId="77777777">
        <w:trPr>
          <w:tblCellSpacing w:w="15" w:type="dxa"/>
        </w:trPr>
        <w:tc>
          <w:tcPr>
            <w:tcW w:w="0" w:type="auto"/>
            <w:vAlign w:val="center"/>
            <w:hideMark/>
          </w:tcPr>
          <w:p w14:paraId="440DD86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Idempotencia</w:t>
            </w:r>
          </w:p>
        </w:tc>
        <w:tc>
          <w:tcPr>
            <w:tcW w:w="0" w:type="auto"/>
            <w:vAlign w:val="center"/>
            <w:hideMark/>
          </w:tcPr>
          <w:p w14:paraId="623336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Toda operación de escritura acepta </w:t>
            </w:r>
            <w:r w:rsidRPr="000444D1">
              <w:rPr>
                <w:rFonts w:ascii="Courier New" w:eastAsia="Times New Roman" w:hAnsi="Courier New" w:cs="Courier New"/>
                <w:kern w:val="0"/>
                <w:sz w:val="20"/>
                <w:szCs w:val="20"/>
                <w14:ligatures w14:val="none"/>
              </w:rPr>
              <w:t>Idempotency-Key</w:t>
            </w:r>
            <w:r w:rsidRPr="000444D1">
              <w:rPr>
                <w:rFonts w:ascii="Times New Roman" w:eastAsia="Times New Roman" w:hAnsi="Times New Roman" w:cs="Times New Roman"/>
                <w:kern w:val="0"/>
                <w14:ligatures w14:val="none"/>
              </w:rPr>
              <w:t>. Es obligatoria en originación de pagos</w:t>
            </w:r>
          </w:p>
        </w:tc>
      </w:tr>
      <w:tr w:rsidR="000444D1" w:rsidRPr="000444D1" w14:paraId="4624C90C" w14:textId="77777777">
        <w:trPr>
          <w:tblCellSpacing w:w="15" w:type="dxa"/>
        </w:trPr>
        <w:tc>
          <w:tcPr>
            <w:tcW w:w="0" w:type="auto"/>
            <w:vAlign w:val="center"/>
            <w:hideMark/>
          </w:tcPr>
          <w:p w14:paraId="025D07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Correlación</w:t>
            </w:r>
          </w:p>
        </w:tc>
        <w:tc>
          <w:tcPr>
            <w:tcW w:w="0" w:type="auto"/>
            <w:vAlign w:val="center"/>
            <w:hideMark/>
          </w:tcPr>
          <w:p w14:paraId="45FAEB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traceparent</w:t>
            </w:r>
            <w:r w:rsidRPr="000444D1">
              <w:rPr>
                <w:rFonts w:ascii="Times New Roman" w:eastAsia="Times New Roman" w:hAnsi="Times New Roman" w:cs="Times New Roman"/>
                <w:kern w:val="0"/>
                <w14:ligatures w14:val="none"/>
              </w:rPr>
              <w:t xml:space="preserve"> obligatorio; si el cliente no lo envía, el gateway lo genera</w:t>
            </w:r>
          </w:p>
        </w:tc>
      </w:tr>
      <w:tr w:rsidR="000444D1" w:rsidRPr="000444D1" w14:paraId="442AC548" w14:textId="77777777">
        <w:trPr>
          <w:tblCellSpacing w:w="15" w:type="dxa"/>
        </w:trPr>
        <w:tc>
          <w:tcPr>
            <w:tcW w:w="0" w:type="auto"/>
            <w:vAlign w:val="center"/>
            <w:hideMark/>
          </w:tcPr>
          <w:p w14:paraId="0C41B5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Errores</w:t>
            </w:r>
          </w:p>
        </w:tc>
        <w:tc>
          <w:tcPr>
            <w:tcW w:w="0" w:type="auto"/>
            <w:vAlign w:val="center"/>
            <w:hideMark/>
          </w:tcPr>
          <w:p w14:paraId="4FECA2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RFC 9457, con </w:t>
            </w:r>
            <w:r w:rsidRPr="000444D1">
              <w:rPr>
                <w:rFonts w:ascii="Courier New" w:eastAsia="Times New Roman" w:hAnsi="Courier New" w:cs="Courier New"/>
                <w:kern w:val="0"/>
                <w:sz w:val="20"/>
                <w:szCs w:val="20"/>
                <w14:ligatures w14:val="none"/>
              </w:rPr>
              <w:t>type</w:t>
            </w:r>
            <w:r w:rsidRPr="000444D1">
              <w:rPr>
                <w:rFonts w:ascii="Times New Roman" w:eastAsia="Times New Roman" w:hAnsi="Times New Roman" w:cs="Times New Roman"/>
                <w:kern w:val="0"/>
                <w14:ligatures w14:val="none"/>
              </w:rPr>
              <w:t xml:space="preserve"> apuntando a un catálogo público de errores del banco</w:t>
            </w:r>
          </w:p>
        </w:tc>
      </w:tr>
      <w:tr w:rsidR="000444D1" w:rsidRPr="000444D1" w14:paraId="30AA46D7" w14:textId="77777777">
        <w:trPr>
          <w:tblCellSpacing w:w="15" w:type="dxa"/>
        </w:trPr>
        <w:tc>
          <w:tcPr>
            <w:tcW w:w="0" w:type="auto"/>
            <w:vAlign w:val="center"/>
            <w:hideMark/>
          </w:tcPr>
          <w:p w14:paraId="37DF38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Paginación</w:t>
            </w:r>
          </w:p>
        </w:tc>
        <w:tc>
          <w:tcPr>
            <w:tcW w:w="0" w:type="auto"/>
            <w:vAlign w:val="center"/>
            <w:hideMark/>
          </w:tcPr>
          <w:p w14:paraId="098AE6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Basada en cursor, nunca en desplazamiento, para estabilidad ante inserciones concurrentes</w:t>
            </w:r>
          </w:p>
        </w:tc>
      </w:tr>
      <w:tr w:rsidR="000444D1" w:rsidRPr="000444D1" w14:paraId="5969D496" w14:textId="77777777">
        <w:trPr>
          <w:tblCellSpacing w:w="15" w:type="dxa"/>
        </w:trPr>
        <w:tc>
          <w:tcPr>
            <w:tcW w:w="0" w:type="auto"/>
            <w:vAlign w:val="center"/>
            <w:hideMark/>
          </w:tcPr>
          <w:p w14:paraId="0F6C86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Nomenclatura</w:t>
            </w:r>
          </w:p>
        </w:tc>
        <w:tc>
          <w:tcPr>
            <w:tcW w:w="0" w:type="auto"/>
            <w:vAlign w:val="center"/>
            <w:hideMark/>
          </w:tcPr>
          <w:p w14:paraId="51698D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Recursos en plural y en español, alineados al Service Domain: </w:t>
            </w:r>
            <w:r w:rsidRPr="000444D1">
              <w:rPr>
                <w:rFonts w:ascii="Courier New" w:eastAsia="Times New Roman" w:hAnsi="Courier New" w:cs="Courier New"/>
                <w:kern w:val="0"/>
                <w:sz w:val="20"/>
                <w:szCs w:val="20"/>
                <w14:ligatures w14:val="none"/>
              </w:rPr>
              <w:t>ordenes-pago</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consentimientos</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posicion</w:t>
            </w:r>
          </w:p>
        </w:tc>
      </w:tr>
    </w:tbl>
    <w:p w14:paraId="4C0D6C90"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12.4 Ejemplos de API</w:t>
      </w:r>
    </w:p>
    <w:p w14:paraId="3A0AA3A2"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API de proceso — originación de pago (interna, D4)</w:t>
      </w:r>
    </w:p>
    <w:p w14:paraId="4534571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paths:</w:t>
      </w:r>
    </w:p>
    <w:p w14:paraId="03FDF40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/v1/ordenes-pago:</w:t>
      </w:r>
    </w:p>
    <w:p w14:paraId="4086C4B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post:</w:t>
      </w:r>
    </w:p>
    <w:p w14:paraId="0D35B87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summary: Registra una orden de pago e inicia su ejecución</w:t>
      </w:r>
    </w:p>
    <w:p w14:paraId="60F1624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operationId: registrarOrdenPago</w:t>
      </w:r>
    </w:p>
    <w:p w14:paraId="2753089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parameters:</w:t>
      </w:r>
    </w:p>
    <w:p w14:paraId="377E674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 name: Idempotency-Key</w:t>
      </w:r>
    </w:p>
    <w:p w14:paraId="074D968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in: header</w:t>
      </w:r>
    </w:p>
    <w:p w14:paraId="4695145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true</w:t>
      </w:r>
    </w:p>
    <w:p w14:paraId="603ADA4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 { type: string, format: uuid }</w:t>
      </w:r>
    </w:p>
    <w:p w14:paraId="4CD57D6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 name: traceparent</w:t>
      </w:r>
    </w:p>
    <w:p w14:paraId="3538086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in: header</w:t>
      </w:r>
    </w:p>
    <w:p w14:paraId="41A6E4D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true</w:t>
      </w:r>
    </w:p>
    <w:p w14:paraId="3AA5869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 { type: string }</w:t>
      </w:r>
    </w:p>
    <w:p w14:paraId="7B280B3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requestBody:</w:t>
      </w:r>
    </w:p>
    <w:p w14:paraId="4A43331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true</w:t>
      </w:r>
    </w:p>
    <w:p w14:paraId="0F0AF73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content:</w:t>
      </w:r>
    </w:p>
    <w:p w14:paraId="32BA728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application/json:</w:t>
      </w:r>
    </w:p>
    <w:p w14:paraId="35C8DA2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w:t>
      </w:r>
    </w:p>
    <w:p w14:paraId="7565984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object</w:t>
      </w:r>
    </w:p>
    <w:p w14:paraId="558ED52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[cuentaOrigen, cuentaDestino, monto, moneda, concepto]</w:t>
      </w:r>
    </w:p>
    <w:p w14:paraId="6393DD0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properties:</w:t>
      </w:r>
    </w:p>
    <w:p w14:paraId="3A94628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cuentaOrigen:   { type: string }</w:t>
      </w:r>
    </w:p>
    <w:p w14:paraId="6994222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cuentaDestino:  { type: string }</w:t>
      </w:r>
    </w:p>
    <w:p w14:paraId="72EF98A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monto:          { type: string, description: "Decimal como cadena" }</w:t>
      </w:r>
    </w:p>
    <w:p w14:paraId="6CBFE7A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moneda:         { type: string, minLength: 3, maxLength: 3 }</w:t>
      </w:r>
    </w:p>
    <w:p w14:paraId="1926D94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concepto:       { type: string, maxLength: 140 }</w:t>
      </w:r>
    </w:p>
    <w:p w14:paraId="026AF42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responses:</w:t>
      </w:r>
    </w:p>
    <w:p w14:paraId="5C264BB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"201":</w:t>
      </w:r>
    </w:p>
    <w:p w14:paraId="4432D45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description: Orden registrada y ejecutada</w:t>
      </w:r>
    </w:p>
    <w:p w14:paraId="6D08F4E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content:</w:t>
      </w:r>
    </w:p>
    <w:p w14:paraId="0BA93AD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application/json:</w:t>
      </w:r>
    </w:p>
    <w:p w14:paraId="7641E3B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w:t>
      </w:r>
    </w:p>
    <w:p w14:paraId="58C9355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object</w:t>
      </w:r>
    </w:p>
    <w:p w14:paraId="3A0F8F3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properties:</w:t>
      </w:r>
    </w:p>
    <w:p w14:paraId="01F4FCB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idOrden:      { type: string, format: uuid }</w:t>
      </w:r>
    </w:p>
    <w:p w14:paraId="2E8F5E2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estado:       { type: string, enum: [ejecutada, rechazada, en_verificacion] }</w:t>
      </w:r>
    </w:p>
    <w:p w14:paraId="4D1CEDE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fechaValor:   { type: string, format: date }</w:t>
      </w:r>
    </w:p>
    <w:p w14:paraId="69E02DB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"409":</w:t>
      </w:r>
    </w:p>
    <w:p w14:paraId="5847453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lastRenderedPageBreak/>
        <w:t xml:space="preserve">          description: La clave de idempotencia ya fue usada con un cuerpo distinto</w:t>
      </w:r>
    </w:p>
    <w:p w14:paraId="4137002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"422":</w:t>
      </w:r>
    </w:p>
    <w:p w14:paraId="760CF82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description: Rechazada por evaluación de fraude o por el core propietario</w:t>
      </w:r>
    </w:p>
    <w:p w14:paraId="6A9A092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content:</w:t>
      </w:r>
    </w:p>
    <w:p w14:paraId="325CF99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application/problem+json:</w:t>
      </w:r>
    </w:p>
    <w:p w14:paraId="33E04EC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 { $ref: "#/components/schemas/ProblemDetails" }</w:t>
      </w:r>
    </w:p>
    <w:p w14:paraId="3F3B0D3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Decisiones visibles en este contrato.</w:t>
      </w:r>
      <w:r w:rsidRPr="000444D1">
        <w:rPr>
          <w:rFonts w:ascii="Times New Roman" w:eastAsia="Times New Roman" w:hAnsi="Times New Roman" w:cs="Times New Roman"/>
          <w:kern w:val="0"/>
          <w14:ligatures w14:val="none"/>
        </w:rPr>
        <w:t xml:space="preserve"> El monto se transporta como cadena para evitar la pérdida de precisión de los números en coma flotante de JSON. El estado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es parte del contrato público, no un detalle interno: el canal debe saber que existe un desenlace que no es ni éxito ni fallo, y presentarlo al cliente como tal (sección 9.1). El </w:t>
      </w:r>
      <w:r w:rsidRPr="000444D1">
        <w:rPr>
          <w:rFonts w:ascii="Courier New" w:eastAsia="Times New Roman" w:hAnsi="Courier New" w:cs="Courier New"/>
          <w:kern w:val="0"/>
          <w:sz w:val="20"/>
          <w:szCs w:val="20"/>
          <w14:ligatures w14:val="none"/>
        </w:rPr>
        <w:t>409</w:t>
      </w:r>
      <w:r w:rsidRPr="000444D1">
        <w:rPr>
          <w:rFonts w:ascii="Times New Roman" w:eastAsia="Times New Roman" w:hAnsi="Times New Roman" w:cs="Times New Roman"/>
          <w:kern w:val="0"/>
          <w14:ligatures w14:val="none"/>
        </w:rPr>
        <w:t xml:space="preserve"> distingue el reintento legítimo —misma clave, mismo cuerpo, que devuelve la respuesta original— del uso incorrecto de la clave.</w:t>
      </w:r>
    </w:p>
    <w:p w14:paraId="577710E2"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API de proceso — consulta de posición (interna, D3)</w:t>
      </w:r>
    </w:p>
    <w:p w14:paraId="0DCF8B6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paths:</w:t>
      </w:r>
    </w:p>
    <w:p w14:paraId="6E23344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/v1/clientes/{idCliente}/posicion:</w:t>
      </w:r>
    </w:p>
    <w:p w14:paraId="57993D1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get:</w:t>
      </w:r>
    </w:p>
    <w:p w14:paraId="2CC894B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summary: Devuelve la posición consolidada del cliente</w:t>
      </w:r>
    </w:p>
    <w:p w14:paraId="25FDD44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operationId: obtenerPosicion</w:t>
      </w:r>
    </w:p>
    <w:p w14:paraId="15C63AB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responses:</w:t>
      </w:r>
    </w:p>
    <w:p w14:paraId="70C6F61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"200":</w:t>
      </w:r>
    </w:p>
    <w:p w14:paraId="1BDB9D0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content:</w:t>
      </w:r>
    </w:p>
    <w:p w14:paraId="532328A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application/json:</w:t>
      </w:r>
    </w:p>
    <w:p w14:paraId="06DC2B4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w:t>
      </w:r>
    </w:p>
    <w:p w14:paraId="4773E4C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object</w:t>
      </w:r>
    </w:p>
    <w:p w14:paraId="441C9EC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properties:</w:t>
      </w:r>
    </w:p>
    <w:p w14:paraId="1904152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cuentas:</w:t>
      </w:r>
    </w:p>
    <w:p w14:paraId="4CAB6ED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array</w:t>
      </w:r>
    </w:p>
    <w:p w14:paraId="67C86F3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items:</w:t>
      </w:r>
    </w:p>
    <w:p w14:paraId="0F5EAE6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object</w:t>
      </w:r>
    </w:p>
    <w:p w14:paraId="3E54713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properties:</w:t>
      </w:r>
    </w:p>
    <w:p w14:paraId="48882AB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idCuenta:            { type: string }</w:t>
      </w:r>
    </w:p>
    <w:p w14:paraId="2ADC73B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producto:            { type: string }</w:t>
      </w:r>
    </w:p>
    <w:p w14:paraId="66512D1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saldoDisponible:     { type: string }</w:t>
      </w:r>
    </w:p>
    <w:p w14:paraId="533CC3B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moneda:              { type: string }</w:t>
      </w:r>
    </w:p>
    <w:p w14:paraId="5D2D524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actualizadoEn:       { type: string, format: date-time }</w:t>
      </w:r>
    </w:p>
    <w:p w14:paraId="2EBAE90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origenSaldo:</w:t>
      </w:r>
    </w:p>
    <w:p w14:paraId="538A8CF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string</w:t>
      </w:r>
    </w:p>
    <w:p w14:paraId="054E5D9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enum: [proyeccion]</w:t>
      </w:r>
    </w:p>
    <w:p w14:paraId="2A68068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description: &gt;</w:t>
      </w:r>
    </w:p>
    <w:p w14:paraId="73CF18C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El saldo procede de una proyección eventualmente consistente</w:t>
      </w:r>
    </w:p>
    <w:p w14:paraId="6AF6327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y no constituye autorización de disponibilidad de fondos.</w:t>
      </w:r>
    </w:p>
    <w:p w14:paraId="01FA73C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 xml:space="preserve">El campo </w:t>
      </w:r>
      <w:r w:rsidRPr="000444D1">
        <w:rPr>
          <w:rFonts w:ascii="Courier New" w:eastAsia="Times New Roman" w:hAnsi="Courier New" w:cs="Courier New"/>
          <w:b/>
          <w:bCs/>
          <w:kern w:val="0"/>
          <w:sz w:val="20"/>
          <w:szCs w:val="20"/>
          <w14:ligatures w14:val="none"/>
        </w:rPr>
        <w:t>actualizadoEn</w:t>
      </w:r>
      <w:r w:rsidRPr="000444D1">
        <w:rPr>
          <w:rFonts w:ascii="Times New Roman" w:eastAsia="Times New Roman" w:hAnsi="Times New Roman" w:cs="Times New Roman"/>
          <w:b/>
          <w:bCs/>
          <w:kern w:val="0"/>
          <w14:ligatures w14:val="none"/>
        </w:rPr>
        <w:t xml:space="preserve"> y el enumerado </w:t>
      </w:r>
      <w:r w:rsidRPr="000444D1">
        <w:rPr>
          <w:rFonts w:ascii="Courier New" w:eastAsia="Times New Roman" w:hAnsi="Courier New" w:cs="Courier New"/>
          <w:b/>
          <w:bCs/>
          <w:kern w:val="0"/>
          <w:sz w:val="20"/>
          <w:szCs w:val="20"/>
          <w14:ligatures w14:val="none"/>
        </w:rPr>
        <w:t>origenSaldo</w:t>
      </w:r>
      <w:r w:rsidRPr="000444D1">
        <w:rPr>
          <w:rFonts w:ascii="Times New Roman" w:eastAsia="Times New Roman" w:hAnsi="Times New Roman" w:cs="Times New Roman"/>
          <w:b/>
          <w:bCs/>
          <w:kern w:val="0"/>
          <w14:ligatures w14:val="none"/>
        </w:rPr>
        <w:t xml:space="preserve"> son deliberados.</w:t>
      </w:r>
      <w:r w:rsidRPr="000444D1">
        <w:rPr>
          <w:rFonts w:ascii="Times New Roman" w:eastAsia="Times New Roman" w:hAnsi="Times New Roman" w:cs="Times New Roman"/>
          <w:kern w:val="0"/>
          <w14:ligatures w14:val="none"/>
        </w:rPr>
        <w:t xml:space="preserve"> Hacen explícito en el propio contrato que la respuesta es una proyección, no una fuente de verdad. Un consumidor </w:t>
      </w:r>
      <w:r w:rsidRPr="000444D1">
        <w:rPr>
          <w:rFonts w:ascii="Times New Roman" w:eastAsia="Times New Roman" w:hAnsi="Times New Roman" w:cs="Times New Roman"/>
          <w:kern w:val="0"/>
          <w14:ligatures w14:val="none"/>
        </w:rPr>
        <w:lastRenderedPageBreak/>
        <w:t>que intentara autorizar una operación con este dato estaría contradiciendo el contrato, no solo una convención interna. Es la forma de llevar el ADR-002 desde el diagrama hasta la interfaz.</w:t>
      </w:r>
    </w:p>
    <w:p w14:paraId="00380823"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API externa — Open Finance (gateway externo)</w:t>
      </w:r>
    </w:p>
    <w:p w14:paraId="009CE9B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paths:</w:t>
      </w:r>
    </w:p>
    <w:p w14:paraId="1EBE77B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/open-finance/v1/cuentas/{idCuenta}/saldos:</w:t>
      </w:r>
    </w:p>
    <w:p w14:paraId="0C02EB6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get:</w:t>
      </w:r>
    </w:p>
    <w:p w14:paraId="670D717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summary: Consulta de saldos por un tercero autorizado</w:t>
      </w:r>
    </w:p>
    <w:p w14:paraId="09C77C3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security:</w:t>
      </w:r>
    </w:p>
    <w:p w14:paraId="44F4049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 openFinance: [cuentas.saldos.lectura]</w:t>
      </w:r>
    </w:p>
    <w:p w14:paraId="606210A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parameters:</w:t>
      </w:r>
    </w:p>
    <w:p w14:paraId="2D263FD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 name: x-fapi-interaction-id</w:t>
      </w:r>
    </w:p>
    <w:p w14:paraId="2F6C258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in: header</w:t>
      </w:r>
    </w:p>
    <w:p w14:paraId="62E765C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true</w:t>
      </w:r>
    </w:p>
    <w:p w14:paraId="6238920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 { type: string, format: uuid }</w:t>
      </w:r>
    </w:p>
    <w:p w14:paraId="2F4717B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 name: x-consent-id</w:t>
      </w:r>
    </w:p>
    <w:p w14:paraId="5565CD6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in: header</w:t>
      </w:r>
    </w:p>
    <w:p w14:paraId="3D84CC6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true</w:t>
      </w:r>
    </w:p>
    <w:p w14:paraId="2AA2F7F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 { type: string }</w:t>
      </w:r>
    </w:p>
    <w:p w14:paraId="490FA96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responses:</w:t>
      </w:r>
    </w:p>
    <w:p w14:paraId="78E3AD9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"200": { description: Saldos de la cuenta autorizada }</w:t>
      </w:r>
    </w:p>
    <w:p w14:paraId="518832E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"403":</w:t>
      </w:r>
    </w:p>
    <w:p w14:paraId="7115C41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description: Consentimiento inexistente, revocado o fuera de alcance</w:t>
      </w:r>
    </w:p>
    <w:p w14:paraId="6B0FE5E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Diferencias respecto de la API interna equivalente.</w:t>
      </w:r>
      <w:r w:rsidRPr="000444D1">
        <w:rPr>
          <w:rFonts w:ascii="Times New Roman" w:eastAsia="Times New Roman" w:hAnsi="Times New Roman" w:cs="Times New Roman"/>
          <w:kern w:val="0"/>
          <w14:ligatures w14:val="none"/>
        </w:rPr>
        <w:t xml:space="preserve"> Alcance OAuth explícito por operación, identificador de consentimiento obligatorio en cada petición —no basta con el token—, e identificador de interacción FAPI para trazabilidad regulatoria. El </w:t>
      </w:r>
      <w:r w:rsidRPr="000444D1">
        <w:rPr>
          <w:rFonts w:ascii="Courier New" w:eastAsia="Times New Roman" w:hAnsi="Courier New" w:cs="Courier New"/>
          <w:kern w:val="0"/>
          <w:sz w:val="20"/>
          <w:szCs w:val="20"/>
          <w14:ligatures w14:val="none"/>
        </w:rPr>
        <w:t>403</w:t>
      </w:r>
      <w:r w:rsidRPr="000444D1">
        <w:rPr>
          <w:rFonts w:ascii="Times New Roman" w:eastAsia="Times New Roman" w:hAnsi="Times New Roman" w:cs="Times New Roman"/>
          <w:kern w:val="0"/>
          <w14:ligatures w14:val="none"/>
        </w:rPr>
        <w:t xml:space="preserve"> no distingue entre consentimiento inexistente y revocado: revelar esa diferencia daría información sobre la relación del titular con el banco a un tercero que ya no está autorizado.</w:t>
      </w:r>
    </w:p>
    <w:p w14:paraId="5BF43A1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12.5 Puertos canónicos</w:t>
      </w:r>
    </w:p>
    <w:p w14:paraId="4366715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son código de implementación: son la declaración de los contratos de la capa de aplicación de los que dependen los servicios de dominio. Se incluyen porque son el lugar donde la inversión de dependencias y la segregación de interfaces dejan de ser una afirmación y pasan a ser verificables.</w:t>
      </w:r>
    </w:p>
    <w:p w14:paraId="4C169AF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Implementado por: ACL core tradicional y Adaptador core digital.</w:t>
      </w:r>
    </w:p>
    <w:p w14:paraId="1A434AA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Consumido por: Orquestador de saga (D4), a través del Enrutador de core.</w:t>
      </w:r>
    </w:p>
    <w:p w14:paraId="22938B2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public interface IPaymentExecutionPort</w:t>
      </w:r>
    </w:p>
    <w:p w14:paraId="114D867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662C91B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Task&lt;ResultadoDebito&gt; DebitarAsync(SolicitudDebito solicitud, CancellationToken ct);</w:t>
      </w:r>
    </w:p>
    <w:p w14:paraId="56E0124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Task&lt;ResultadoAbono&gt;  AbonarAsync(SolicitudAbono solicitud, CancellationToken ct);</w:t>
      </w:r>
    </w:p>
    <w:p w14:paraId="6D2AB32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Task&lt;EstadoOperacion&gt; ConsultarEstadoAsync(string idOperacion, CancellationToken ct);</w:t>
      </w:r>
    </w:p>
    <w:p w14:paraId="1A275B8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72EDF4D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D7F1C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Implementado por: Cliente de evaluación de fraude (infraestructura de D4).</w:t>
      </w:r>
    </w:p>
    <w:p w14:paraId="5062D57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lastRenderedPageBreak/>
        <w:t>public interface IFraudEvaluationPort</w:t>
      </w:r>
    </w:p>
    <w:p w14:paraId="7AA48B0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15765FF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Task&lt;VeredictoFraude&gt; EvaluarAsync(ContextoOperacion contexto, CancellationToken ct);</w:t>
      </w:r>
    </w:p>
    <w:p w14:paraId="794D3BA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22F6989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47A1C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Implementado por: ACL core tradicional.</w:t>
      </w:r>
    </w:p>
    <w:p w14:paraId="7C173F5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Consumido por: D1 Datos de cliente.</w:t>
      </w:r>
    </w:p>
    <w:p w14:paraId="22E5CED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public interface IPartyReferenceDataPort</w:t>
      </w:r>
    </w:p>
    <w:p w14:paraId="653CC6A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679EBA0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Task&lt;ClienteCanonico&gt; ObtenerClienteAsync(string idCliente, CancellationToken ct);</w:t>
      </w:r>
    </w:p>
    <w:p w14:paraId="4F52AC6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31ADB94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Lectura de estas firmas.</w:t>
      </w:r>
    </w:p>
    <w:p w14:paraId="70AA816E" w14:textId="77777777" w:rsidR="000444D1" w:rsidRPr="000444D1" w:rsidRDefault="000444D1" w:rsidP="00C6468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IPaymentExecutionPort</w:t>
      </w:r>
      <w:r w:rsidRPr="000444D1">
        <w:rPr>
          <w:rFonts w:ascii="Times New Roman" w:eastAsia="Times New Roman" w:hAnsi="Times New Roman" w:cs="Times New Roman"/>
          <w:kern w:val="0"/>
          <w14:ligatures w14:val="none"/>
        </w:rPr>
        <w:t xml:space="preserve"> lo implementan </w:t>
      </w:r>
      <w:r w:rsidRPr="000444D1">
        <w:rPr>
          <w:rFonts w:ascii="Times New Roman" w:eastAsia="Times New Roman" w:hAnsi="Times New Roman" w:cs="Times New Roman"/>
          <w:b/>
          <w:bCs/>
          <w:kern w:val="0"/>
          <w14:ligatures w14:val="none"/>
        </w:rPr>
        <w:t>dos</w:t>
      </w:r>
      <w:r w:rsidRPr="000444D1">
        <w:rPr>
          <w:rFonts w:ascii="Times New Roman" w:eastAsia="Times New Roman" w:hAnsi="Times New Roman" w:cs="Times New Roman"/>
          <w:kern w:val="0"/>
          <w14:ligatures w14:val="none"/>
        </w:rPr>
        <w:t xml:space="preserve"> adaptadores distintos. El orquestador de saga depende de la interfaz y desconoce cuál de los dos cores atiende cada operación: la resolución la aporta el catálogo de productos en tiempo de ejecución. Es la materialización de LSP y el punto exacto donde la estrategia multicore deja de ser un diagrama.</w:t>
      </w:r>
    </w:p>
    <w:p w14:paraId="58345D95" w14:textId="77777777" w:rsidR="000444D1" w:rsidRPr="000444D1" w:rsidRDefault="000444D1" w:rsidP="00C6468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ConsultarEstadoAsync</w:t>
      </w:r>
      <w:r w:rsidRPr="000444D1">
        <w:rPr>
          <w:rFonts w:ascii="Times New Roman" w:eastAsia="Times New Roman" w:hAnsi="Times New Roman" w:cs="Times New Roman"/>
          <w:kern w:val="0"/>
          <w14:ligatures w14:val="none"/>
        </w:rPr>
        <w:t xml:space="preserve"> existe por una razón concreta: es el método que consume el proceso de reconciliación cuando una orden queda en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(sección 9.1). Sin él, el estado desconocido no tendría salida.</w:t>
      </w:r>
    </w:p>
    <w:p w14:paraId="6BF70A4C" w14:textId="77777777" w:rsidR="000444D1" w:rsidRPr="000444D1" w:rsidRDefault="000444D1" w:rsidP="00C6468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Los puertos están </w:t>
      </w:r>
      <w:r w:rsidRPr="000444D1">
        <w:rPr>
          <w:rFonts w:ascii="Times New Roman" w:eastAsia="Times New Roman" w:hAnsi="Times New Roman" w:cs="Times New Roman"/>
          <w:b/>
          <w:bCs/>
          <w:kern w:val="0"/>
          <w14:ligatures w14:val="none"/>
        </w:rPr>
        <w:t>segregados por capacidad, no agrupados por sistema</w:t>
      </w:r>
      <w:r w:rsidRPr="000444D1">
        <w:rPr>
          <w:rFonts w:ascii="Times New Roman" w:eastAsia="Times New Roman" w:hAnsi="Times New Roman" w:cs="Times New Roman"/>
          <w:kern w:val="0"/>
          <w14:ligatures w14:val="none"/>
        </w:rPr>
        <w:t xml:space="preserve">. No existe un </w:t>
      </w:r>
      <w:r w:rsidRPr="000444D1">
        <w:rPr>
          <w:rFonts w:ascii="Courier New" w:eastAsia="Times New Roman" w:hAnsi="Courier New" w:cs="Courier New"/>
          <w:kern w:val="0"/>
          <w:sz w:val="20"/>
          <w:szCs w:val="20"/>
          <w14:ligatures w14:val="none"/>
        </w:rPr>
        <w:t>ICoreBancarioPort</w:t>
      </w:r>
      <w:r w:rsidRPr="000444D1">
        <w:rPr>
          <w:rFonts w:ascii="Times New Roman" w:eastAsia="Times New Roman" w:hAnsi="Times New Roman" w:cs="Times New Roman"/>
          <w:kern w:val="0"/>
          <w14:ligatures w14:val="none"/>
        </w:rPr>
        <w:t xml:space="preserve"> que reúna pagos, clientes y posición: cada consumidor depende únicamente de lo que usa. Un cambio en el contrato de datos de cliente no recompila ni redespliega el orquestador de pagos.</w:t>
      </w:r>
    </w:p>
    <w:p w14:paraId="7F52F865" w14:textId="77777777" w:rsidR="000444D1" w:rsidRPr="000444D1" w:rsidRDefault="000444D1" w:rsidP="00C6468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Ningún puerto expone tipos del sistema legado. </w:t>
      </w:r>
      <w:r w:rsidRPr="000444D1">
        <w:rPr>
          <w:rFonts w:ascii="Courier New" w:eastAsia="Times New Roman" w:hAnsi="Courier New" w:cs="Courier New"/>
          <w:kern w:val="0"/>
          <w:sz w:val="20"/>
          <w:szCs w:val="20"/>
          <w14:ligatures w14:val="none"/>
        </w:rPr>
        <w:t>ClienteCanonico</w:t>
      </w:r>
      <w:r w:rsidRPr="000444D1">
        <w:rPr>
          <w:rFonts w:ascii="Times New Roman" w:eastAsia="Times New Roman" w:hAnsi="Times New Roman" w:cs="Times New Roman"/>
          <w:kern w:val="0"/>
          <w14:ligatures w14:val="none"/>
        </w:rPr>
        <w:t xml:space="preserve"> y </w:t>
      </w:r>
      <w:r w:rsidRPr="000444D1">
        <w:rPr>
          <w:rFonts w:ascii="Courier New" w:eastAsia="Times New Roman" w:hAnsi="Courier New" w:cs="Courier New"/>
          <w:kern w:val="0"/>
          <w:sz w:val="20"/>
          <w:szCs w:val="20"/>
          <w14:ligatures w14:val="none"/>
        </w:rPr>
        <w:t>SolicitudDebito</w:t>
      </w:r>
      <w:r w:rsidRPr="000444D1">
        <w:rPr>
          <w:rFonts w:ascii="Times New Roman" w:eastAsia="Times New Roman" w:hAnsi="Times New Roman" w:cs="Times New Roman"/>
          <w:kern w:val="0"/>
          <w14:ligatures w14:val="none"/>
        </w:rPr>
        <w:t xml:space="preserve"> pertenecen al modelo canónico; la traducción vive en el mapeador del ACL (sección 8.2).</w:t>
      </w:r>
    </w:p>
    <w:p w14:paraId="2D10456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12.6 Sobre común de eventos</w:t>
      </w:r>
    </w:p>
    <w:p w14:paraId="6442A2D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evento publicado en el bus comparte esta envoltura. Los campos no son decorativos: cada uno sostiene una capacidad operativa concreta del sistema de eventos.</w:t>
      </w:r>
    </w:p>
    <w:p w14:paraId="6B6DA43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6842905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"idEvento": "0f3c1b2a-9d4e-4f21-a8c7-1b5e6d7f8a90",</w:t>
      </w:r>
    </w:p>
    <w:p w14:paraId="5CA89E9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"tipo": "pago.ejecutado",</w:t>
      </w:r>
    </w:p>
    <w:p w14:paraId="4BD8F52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"version": "1.2",</w:t>
      </w:r>
    </w:p>
    <w:p w14:paraId="5D419B0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"ocurridoEn": "2026-07-25T14:32:07.412Z",</w:t>
      </w:r>
    </w:p>
    <w:p w14:paraId="38E54EC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"publicadoEn": "2026-07-25T14:32:07.489Z",</w:t>
      </w:r>
    </w:p>
    <w:p w14:paraId="500C366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"productor": "ordenes-pago",</w:t>
      </w:r>
    </w:p>
    <w:p w14:paraId="7F9109C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"claveParticion": "cli-88213",</w:t>
      </w:r>
    </w:p>
    <w:p w14:paraId="7A300B4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"idCorrelacion": "00-4bf92f3577b34da6a3ce929d0e0e4736-00f067aa0ba902b7-01",</w:t>
      </w:r>
    </w:p>
    <w:p w14:paraId="202C83D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"claveNegocio": "ORD-2026-0072311",</w:t>
      </w:r>
    </w:p>
    <w:p w14:paraId="66CBD1F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"datos": { }</w:t>
      </w:r>
    </w:p>
    <w:p w14:paraId="34429CF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7146"/>
      </w:tblGrid>
      <w:tr w:rsidR="000444D1" w:rsidRPr="000444D1" w14:paraId="7F8874F7" w14:textId="77777777">
        <w:trPr>
          <w:tblHeader/>
          <w:tblCellSpacing w:w="15" w:type="dxa"/>
        </w:trPr>
        <w:tc>
          <w:tcPr>
            <w:tcW w:w="0" w:type="auto"/>
            <w:vAlign w:val="center"/>
            <w:hideMark/>
          </w:tcPr>
          <w:p w14:paraId="7A8B837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Campo</w:t>
            </w:r>
          </w:p>
        </w:tc>
        <w:tc>
          <w:tcPr>
            <w:tcW w:w="0" w:type="auto"/>
            <w:vAlign w:val="center"/>
            <w:hideMark/>
          </w:tcPr>
          <w:p w14:paraId="553F7C1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Capacidad que sostiene</w:t>
            </w:r>
          </w:p>
        </w:tc>
      </w:tr>
      <w:tr w:rsidR="000444D1" w:rsidRPr="000444D1" w14:paraId="546C5270" w14:textId="77777777">
        <w:trPr>
          <w:tblCellSpacing w:w="15" w:type="dxa"/>
        </w:trPr>
        <w:tc>
          <w:tcPr>
            <w:tcW w:w="0" w:type="auto"/>
            <w:vAlign w:val="center"/>
            <w:hideMark/>
          </w:tcPr>
          <w:p w14:paraId="30FC16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idEvento</w:t>
            </w:r>
          </w:p>
        </w:tc>
        <w:tc>
          <w:tcPr>
            <w:tcW w:w="0" w:type="auto"/>
            <w:vAlign w:val="center"/>
            <w:hideMark/>
          </w:tcPr>
          <w:p w14:paraId="51EB8C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Deduplicación en el consumidor: idempotencia frente a entrega repetida</w:t>
            </w:r>
          </w:p>
        </w:tc>
      </w:tr>
      <w:tr w:rsidR="000444D1" w:rsidRPr="000444D1" w14:paraId="30E68071" w14:textId="77777777">
        <w:trPr>
          <w:tblCellSpacing w:w="15" w:type="dxa"/>
        </w:trPr>
        <w:tc>
          <w:tcPr>
            <w:tcW w:w="0" w:type="auto"/>
            <w:vAlign w:val="center"/>
            <w:hideMark/>
          </w:tcPr>
          <w:p w14:paraId="5AA37B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lastRenderedPageBreak/>
              <w:t>tipo</w:t>
            </w:r>
            <w:r w:rsidRPr="000444D1">
              <w:rPr>
                <w:rFonts w:ascii="Times New Roman" w:eastAsia="Times New Roman" w:hAnsi="Times New Roman" w:cs="Times New Roman"/>
                <w:kern w:val="0"/>
                <w14:ligatures w14:val="none"/>
              </w:rPr>
              <w:t xml:space="preserve"> + </w:t>
            </w:r>
            <w:r w:rsidRPr="000444D1">
              <w:rPr>
                <w:rFonts w:ascii="Courier New" w:eastAsia="Times New Roman" w:hAnsi="Courier New" w:cs="Courier New"/>
                <w:kern w:val="0"/>
                <w:sz w:val="20"/>
                <w:szCs w:val="20"/>
                <w14:ligatures w14:val="none"/>
              </w:rPr>
              <w:t>version</w:t>
            </w:r>
          </w:p>
        </w:tc>
        <w:tc>
          <w:tcPr>
            <w:tcW w:w="0" w:type="auto"/>
            <w:vAlign w:val="center"/>
            <w:hideMark/>
          </w:tcPr>
          <w:p w14:paraId="4CBAAF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Versionamiento y enrutamiento por tipo</w:t>
            </w:r>
          </w:p>
        </w:tc>
      </w:tr>
      <w:tr w:rsidR="000444D1" w:rsidRPr="000444D1" w14:paraId="4367CBA6" w14:textId="77777777">
        <w:trPr>
          <w:tblCellSpacing w:w="15" w:type="dxa"/>
        </w:trPr>
        <w:tc>
          <w:tcPr>
            <w:tcW w:w="0" w:type="auto"/>
            <w:vAlign w:val="center"/>
            <w:hideMark/>
          </w:tcPr>
          <w:p w14:paraId="15DA39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ocurridoEn</w:t>
            </w:r>
            <w:r w:rsidRPr="000444D1">
              <w:rPr>
                <w:rFonts w:ascii="Times New Roman" w:eastAsia="Times New Roman" w:hAnsi="Times New Roman" w:cs="Times New Roman"/>
                <w:kern w:val="0"/>
                <w14:ligatures w14:val="none"/>
              </w:rPr>
              <w:t xml:space="preserve"> vs </w:t>
            </w:r>
            <w:r w:rsidRPr="000444D1">
              <w:rPr>
                <w:rFonts w:ascii="Courier New" w:eastAsia="Times New Roman" w:hAnsi="Courier New" w:cs="Courier New"/>
                <w:kern w:val="0"/>
                <w:sz w:val="20"/>
                <w:szCs w:val="20"/>
                <w14:ligatures w14:val="none"/>
              </w:rPr>
              <w:t>publicadoEn</w:t>
            </w:r>
          </w:p>
        </w:tc>
        <w:tc>
          <w:tcPr>
            <w:tcW w:w="0" w:type="auto"/>
            <w:vAlign w:val="center"/>
            <w:hideMark/>
          </w:tcPr>
          <w:p w14:paraId="6FEF1E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Distingue el instante del hecho de negocio del instante de publicación. Es lo que permite reconstruir el orden real cuando el despachador outbox publica con retraso</w:t>
            </w:r>
          </w:p>
        </w:tc>
      </w:tr>
      <w:tr w:rsidR="000444D1" w:rsidRPr="000444D1" w14:paraId="0D72DDB4" w14:textId="77777777">
        <w:trPr>
          <w:tblCellSpacing w:w="15" w:type="dxa"/>
        </w:trPr>
        <w:tc>
          <w:tcPr>
            <w:tcW w:w="0" w:type="auto"/>
            <w:vAlign w:val="center"/>
            <w:hideMark/>
          </w:tcPr>
          <w:p w14:paraId="7FFC6F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claveParticion</w:t>
            </w:r>
          </w:p>
        </w:tc>
        <w:tc>
          <w:tcPr>
            <w:tcW w:w="0" w:type="auto"/>
            <w:vAlign w:val="center"/>
            <w:hideMark/>
          </w:tcPr>
          <w:p w14:paraId="125622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Ordenamiento garantizado </w:t>
            </w:r>
            <w:r w:rsidRPr="000444D1">
              <w:rPr>
                <w:rFonts w:ascii="Times New Roman" w:eastAsia="Times New Roman" w:hAnsi="Times New Roman" w:cs="Times New Roman"/>
                <w:b/>
                <w:bCs/>
                <w:kern w:val="0"/>
                <w14:ligatures w14:val="none"/>
              </w:rPr>
              <w:t>por cliente</w:t>
            </w:r>
            <w:r w:rsidRPr="000444D1">
              <w:rPr>
                <w:rFonts w:ascii="Times New Roman" w:eastAsia="Times New Roman" w:hAnsi="Times New Roman" w:cs="Times New Roman"/>
                <w:kern w:val="0"/>
                <w14:ligatures w14:val="none"/>
              </w:rPr>
              <w:t>, no global</w:t>
            </w:r>
          </w:p>
        </w:tc>
      </w:tr>
      <w:tr w:rsidR="000444D1" w:rsidRPr="000444D1" w14:paraId="5CE05A0C" w14:textId="77777777">
        <w:trPr>
          <w:tblCellSpacing w:w="15" w:type="dxa"/>
        </w:trPr>
        <w:tc>
          <w:tcPr>
            <w:tcW w:w="0" w:type="auto"/>
            <w:vAlign w:val="center"/>
            <w:hideMark/>
          </w:tcPr>
          <w:p w14:paraId="0AB007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idCorrelacion</w:t>
            </w:r>
          </w:p>
        </w:tc>
        <w:tc>
          <w:tcPr>
            <w:tcW w:w="0" w:type="auto"/>
            <w:vAlign w:val="center"/>
            <w:hideMark/>
          </w:tcPr>
          <w:p w14:paraId="1E27186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Trazabilidad extremo a extremo (formato W3C Trace Context)</w:t>
            </w:r>
          </w:p>
        </w:tc>
      </w:tr>
      <w:tr w:rsidR="000444D1" w:rsidRPr="000444D1" w14:paraId="0D2E122C" w14:textId="77777777">
        <w:trPr>
          <w:tblCellSpacing w:w="15" w:type="dxa"/>
        </w:trPr>
        <w:tc>
          <w:tcPr>
            <w:tcW w:w="0" w:type="auto"/>
            <w:vAlign w:val="center"/>
            <w:hideMark/>
          </w:tcPr>
          <w:p w14:paraId="25EB59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claveNegocio</w:t>
            </w:r>
          </w:p>
        </w:tc>
        <w:tc>
          <w:tcPr>
            <w:tcW w:w="0" w:type="auto"/>
            <w:vAlign w:val="center"/>
            <w:hideMark/>
          </w:tcPr>
          <w:p w14:paraId="50D16C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Deduplicación entre las dos fuentes del ADR-004: el mismo hecho reportado por el ACL y por el CDC comparte clave de negocio y distinto </w:t>
            </w:r>
            <w:r w:rsidRPr="000444D1">
              <w:rPr>
                <w:rFonts w:ascii="Courier New" w:eastAsia="Times New Roman" w:hAnsi="Courier New" w:cs="Courier New"/>
                <w:kern w:val="0"/>
                <w:sz w:val="20"/>
                <w:szCs w:val="20"/>
                <w14:ligatures w14:val="none"/>
              </w:rPr>
              <w:t>idEvento</w:t>
            </w:r>
          </w:p>
        </w:tc>
      </w:tr>
    </w:tbl>
    <w:p w14:paraId="3B7BCFD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b/>
          <w:bCs/>
          <w:kern w:val="0"/>
          <w:sz w:val="20"/>
          <w:szCs w:val="20"/>
          <w14:ligatures w14:val="none"/>
        </w:rPr>
        <w:t>claveNegocio</w:t>
      </w:r>
      <w:r w:rsidRPr="000444D1">
        <w:rPr>
          <w:rFonts w:ascii="Times New Roman" w:eastAsia="Times New Roman" w:hAnsi="Times New Roman" w:cs="Times New Roman"/>
          <w:b/>
          <w:bCs/>
          <w:kern w:val="0"/>
          <w14:ligatures w14:val="none"/>
        </w:rPr>
        <w:t xml:space="preserve"> es el campo que resuelve el costo aceptado en el ADR-004.</w:t>
      </w:r>
      <w:r w:rsidRPr="000444D1">
        <w:rPr>
          <w:rFonts w:ascii="Times New Roman" w:eastAsia="Times New Roman" w:hAnsi="Times New Roman" w:cs="Times New Roman"/>
          <w:kern w:val="0"/>
          <w14:ligatures w14:val="none"/>
        </w:rPr>
        <w:t xml:space="preserve"> Al existir dos mecanismos de ingesta, un mismo hecho puede llegar dos veces por caminos distintos. La deduplicación no puede basarse en </w:t>
      </w:r>
      <w:r w:rsidRPr="000444D1">
        <w:rPr>
          <w:rFonts w:ascii="Courier New" w:eastAsia="Times New Roman" w:hAnsi="Courier New" w:cs="Courier New"/>
          <w:kern w:val="0"/>
          <w:sz w:val="20"/>
          <w:szCs w:val="20"/>
          <w14:ligatures w14:val="none"/>
        </w:rPr>
        <w:t>idEvento</w:t>
      </w:r>
      <w:r w:rsidRPr="000444D1">
        <w:rPr>
          <w:rFonts w:ascii="Times New Roman" w:eastAsia="Times New Roman" w:hAnsi="Times New Roman" w:cs="Times New Roman"/>
          <w:kern w:val="0"/>
          <w14:ligatures w14:val="none"/>
        </w:rPr>
        <w:t>, que difiere; se basa en la clave de negocio, que es la misma. Sin este campo, el doble mecanismo produciría duplicados en la proyección y en la auditoría.</w:t>
      </w:r>
    </w:p>
    <w:p w14:paraId="17E14B3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12.7 Catálogo de eventos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0"/>
        <w:gridCol w:w="2204"/>
        <w:gridCol w:w="1630"/>
        <w:gridCol w:w="2596"/>
      </w:tblGrid>
      <w:tr w:rsidR="000444D1" w:rsidRPr="000444D1" w14:paraId="7794752F" w14:textId="77777777">
        <w:trPr>
          <w:tblHeader/>
          <w:tblCellSpacing w:w="15" w:type="dxa"/>
        </w:trPr>
        <w:tc>
          <w:tcPr>
            <w:tcW w:w="0" w:type="auto"/>
            <w:vAlign w:val="center"/>
            <w:hideMark/>
          </w:tcPr>
          <w:p w14:paraId="39103EB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Evento</w:t>
            </w:r>
          </w:p>
        </w:tc>
        <w:tc>
          <w:tcPr>
            <w:tcW w:w="0" w:type="auto"/>
            <w:vAlign w:val="center"/>
            <w:hideMark/>
          </w:tcPr>
          <w:p w14:paraId="3F4317B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Productor</w:t>
            </w:r>
          </w:p>
        </w:tc>
        <w:tc>
          <w:tcPr>
            <w:tcW w:w="0" w:type="auto"/>
            <w:vAlign w:val="center"/>
            <w:hideMark/>
          </w:tcPr>
          <w:p w14:paraId="0BF0F55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Consumidores</w:t>
            </w:r>
          </w:p>
        </w:tc>
        <w:tc>
          <w:tcPr>
            <w:tcW w:w="0" w:type="auto"/>
            <w:vAlign w:val="center"/>
            <w:hideMark/>
          </w:tcPr>
          <w:p w14:paraId="3601A14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Propósito</w:t>
            </w:r>
          </w:p>
        </w:tc>
      </w:tr>
      <w:tr w:rsidR="000444D1" w:rsidRPr="000444D1" w14:paraId="4A4FCCD0" w14:textId="77777777">
        <w:trPr>
          <w:tblCellSpacing w:w="15" w:type="dxa"/>
        </w:trPr>
        <w:tc>
          <w:tcPr>
            <w:tcW w:w="0" w:type="auto"/>
            <w:vAlign w:val="center"/>
            <w:hideMark/>
          </w:tcPr>
          <w:p w14:paraId="156070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pago.ejecutado</w:t>
            </w:r>
          </w:p>
        </w:tc>
        <w:tc>
          <w:tcPr>
            <w:tcW w:w="0" w:type="auto"/>
            <w:vAlign w:val="center"/>
            <w:hideMark/>
          </w:tcPr>
          <w:p w14:paraId="2FD640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498397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D8, D6, D5</w:t>
            </w:r>
          </w:p>
        </w:tc>
        <w:tc>
          <w:tcPr>
            <w:tcW w:w="0" w:type="auto"/>
            <w:vAlign w:val="center"/>
            <w:hideMark/>
          </w:tcPr>
          <w:p w14:paraId="585830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Pago confirmado por el core propietario</w:t>
            </w:r>
          </w:p>
        </w:tc>
      </w:tr>
      <w:tr w:rsidR="000444D1" w:rsidRPr="000444D1" w14:paraId="50FB6B03" w14:textId="77777777">
        <w:trPr>
          <w:tblCellSpacing w:w="15" w:type="dxa"/>
        </w:trPr>
        <w:tc>
          <w:tcPr>
            <w:tcW w:w="0" w:type="auto"/>
            <w:vAlign w:val="center"/>
            <w:hideMark/>
          </w:tcPr>
          <w:p w14:paraId="727126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pago.compensado</w:t>
            </w:r>
          </w:p>
        </w:tc>
        <w:tc>
          <w:tcPr>
            <w:tcW w:w="0" w:type="auto"/>
            <w:vAlign w:val="center"/>
            <w:hideMark/>
          </w:tcPr>
          <w:p w14:paraId="79D8F5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13511E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D8, D6</w:t>
            </w:r>
          </w:p>
        </w:tc>
        <w:tc>
          <w:tcPr>
            <w:tcW w:w="0" w:type="auto"/>
            <w:vAlign w:val="center"/>
            <w:hideMark/>
          </w:tcPr>
          <w:p w14:paraId="2A0D08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Reversión ejecutada tras fallo de saga</w:t>
            </w:r>
          </w:p>
        </w:tc>
      </w:tr>
      <w:tr w:rsidR="000444D1" w:rsidRPr="000444D1" w14:paraId="60A0235F" w14:textId="77777777">
        <w:trPr>
          <w:tblCellSpacing w:w="15" w:type="dxa"/>
        </w:trPr>
        <w:tc>
          <w:tcPr>
            <w:tcW w:w="0" w:type="auto"/>
            <w:vAlign w:val="center"/>
            <w:hideMark/>
          </w:tcPr>
          <w:p w14:paraId="58452F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pago.en-verificacion</w:t>
            </w:r>
          </w:p>
        </w:tc>
        <w:tc>
          <w:tcPr>
            <w:tcW w:w="0" w:type="auto"/>
            <w:vAlign w:val="center"/>
            <w:hideMark/>
          </w:tcPr>
          <w:p w14:paraId="712BD5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39B220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reconciliación</w:t>
            </w:r>
          </w:p>
        </w:tc>
        <w:tc>
          <w:tcPr>
            <w:tcW w:w="0" w:type="auto"/>
            <w:vAlign w:val="center"/>
            <w:hideMark/>
          </w:tcPr>
          <w:p w14:paraId="01882F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Desenlace desconocido pendiente de resolución</w:t>
            </w:r>
          </w:p>
        </w:tc>
      </w:tr>
      <w:tr w:rsidR="000444D1" w:rsidRPr="000444D1" w14:paraId="71BABCEB" w14:textId="77777777">
        <w:trPr>
          <w:tblCellSpacing w:w="15" w:type="dxa"/>
        </w:trPr>
        <w:tc>
          <w:tcPr>
            <w:tcW w:w="0" w:type="auto"/>
            <w:vAlign w:val="center"/>
            <w:hideMark/>
          </w:tcPr>
          <w:p w14:paraId="7A79CC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cuenta.movimiento-registrado</w:t>
            </w:r>
          </w:p>
        </w:tc>
        <w:tc>
          <w:tcPr>
            <w:tcW w:w="0" w:type="auto"/>
            <w:vAlign w:val="center"/>
            <w:hideMark/>
          </w:tcPr>
          <w:p w14:paraId="2D9F94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 / CDC del core tradicional</w:t>
            </w:r>
          </w:p>
        </w:tc>
        <w:tc>
          <w:tcPr>
            <w:tcW w:w="0" w:type="auto"/>
            <w:vAlign w:val="center"/>
            <w:hideMark/>
          </w:tcPr>
          <w:p w14:paraId="5E163C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D8, D5, D6</w:t>
            </w:r>
          </w:p>
        </w:tc>
        <w:tc>
          <w:tcPr>
            <w:tcW w:w="0" w:type="auto"/>
            <w:vAlign w:val="center"/>
            <w:hideMark/>
          </w:tcPr>
          <w:p w14:paraId="161654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Movimiento sobre cuenta del core tradicional, con independencia del canal que lo originó</w:t>
            </w:r>
          </w:p>
        </w:tc>
      </w:tr>
      <w:tr w:rsidR="000444D1" w:rsidRPr="000444D1" w14:paraId="1272DEF6" w14:textId="77777777">
        <w:trPr>
          <w:tblCellSpacing w:w="15" w:type="dxa"/>
        </w:trPr>
        <w:tc>
          <w:tcPr>
            <w:tcW w:w="0" w:type="auto"/>
            <w:vAlign w:val="center"/>
            <w:hideMark/>
          </w:tcPr>
          <w:p w14:paraId="23EE884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cliente.datos-actualizados</w:t>
            </w:r>
          </w:p>
        </w:tc>
        <w:tc>
          <w:tcPr>
            <w:tcW w:w="0" w:type="auto"/>
            <w:vAlign w:val="center"/>
            <w:hideMark/>
          </w:tcPr>
          <w:p w14:paraId="10EF87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 vía D1</w:t>
            </w:r>
          </w:p>
        </w:tc>
        <w:tc>
          <w:tcPr>
            <w:tcW w:w="0" w:type="auto"/>
            <w:vAlign w:val="center"/>
            <w:hideMark/>
          </w:tcPr>
          <w:p w14:paraId="503E71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D7, D9</w:t>
            </w:r>
          </w:p>
        </w:tc>
        <w:tc>
          <w:tcPr>
            <w:tcW w:w="0" w:type="auto"/>
            <w:vAlign w:val="center"/>
            <w:hideMark/>
          </w:tcPr>
          <w:p w14:paraId="069162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Cambio en datos maestros de cliente</w:t>
            </w:r>
          </w:p>
        </w:tc>
      </w:tr>
      <w:tr w:rsidR="000444D1" w:rsidRPr="000444D1" w14:paraId="3B5C2D68" w14:textId="77777777">
        <w:trPr>
          <w:tblCellSpacing w:w="15" w:type="dxa"/>
        </w:trPr>
        <w:tc>
          <w:tcPr>
            <w:tcW w:w="0" w:type="auto"/>
            <w:vAlign w:val="center"/>
            <w:hideMark/>
          </w:tcPr>
          <w:p w14:paraId="5BE02F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consentimiento.revocado</w:t>
            </w:r>
          </w:p>
        </w:tc>
        <w:tc>
          <w:tcPr>
            <w:tcW w:w="0" w:type="auto"/>
            <w:vAlign w:val="center"/>
            <w:hideMark/>
          </w:tcPr>
          <w:p w14:paraId="427F9B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Consentimientos</w:t>
            </w:r>
          </w:p>
        </w:tc>
        <w:tc>
          <w:tcPr>
            <w:tcW w:w="0" w:type="auto"/>
            <w:vAlign w:val="center"/>
            <w:hideMark/>
          </w:tcPr>
          <w:p w14:paraId="3476E3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 D8</w:t>
            </w:r>
          </w:p>
        </w:tc>
        <w:tc>
          <w:tcPr>
            <w:tcW w:w="0" w:type="auto"/>
            <w:vAlign w:val="center"/>
            <w:hideMark/>
          </w:tcPr>
          <w:p w14:paraId="5007192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Revocación por el titular; invalida accesos en curso</w:t>
            </w:r>
          </w:p>
        </w:tc>
      </w:tr>
    </w:tbl>
    <w:p w14:paraId="5A46B284"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 xml:space="preserve">Ejemplo — </w:t>
      </w:r>
      <w:r w:rsidRPr="000444D1">
        <w:rPr>
          <w:rFonts w:ascii="Courier New" w:eastAsia="Times New Roman" w:hAnsi="Courier New" w:cs="Courier New"/>
          <w:b/>
          <w:bCs/>
          <w:kern w:val="0"/>
          <w:sz w:val="20"/>
          <w:szCs w:val="20"/>
          <w14:ligatures w14:val="none"/>
        </w:rPr>
        <w:t>pago.ejecutado</w:t>
      </w:r>
    </w:p>
    <w:p w14:paraId="653B539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asyncapi: 3.0.0</w:t>
      </w:r>
    </w:p>
    <w:p w14:paraId="30026EF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channels:</w:t>
      </w:r>
    </w:p>
    <w:p w14:paraId="6867F2E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pagos:</w:t>
      </w:r>
    </w:p>
    <w:p w14:paraId="76DDE3A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address: banco.pagos.v1</w:t>
      </w:r>
    </w:p>
    <w:p w14:paraId="39735AC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messages:</w:t>
      </w:r>
    </w:p>
    <w:p w14:paraId="196F624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pagoEjecutado:</w:t>
      </w:r>
    </w:p>
    <w:p w14:paraId="611A4F0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name: pago.ejecutado</w:t>
      </w:r>
    </w:p>
    <w:p w14:paraId="4955B3F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payload:</w:t>
      </w:r>
    </w:p>
    <w:p w14:paraId="77E5624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lastRenderedPageBreak/>
        <w:t xml:space="preserve">          type: object</w:t>
      </w:r>
    </w:p>
    <w:p w14:paraId="35F7C79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[idOrden, cuentaOrigen, monto, moneda, coreEjecutor]</w:t>
      </w:r>
    </w:p>
    <w:p w14:paraId="7DB17DB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properties:</w:t>
      </w:r>
    </w:p>
    <w:p w14:paraId="1D30D1B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idOrden:       { type: string, format: uuid }</w:t>
      </w:r>
    </w:p>
    <w:p w14:paraId="74EA131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cuentaOrigen:  { type: string }</w:t>
      </w:r>
    </w:p>
    <w:p w14:paraId="52EB9A1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cuentaDestino: { type: string }</w:t>
      </w:r>
    </w:p>
    <w:p w14:paraId="3382854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monto:         { type: string }</w:t>
      </w:r>
    </w:p>
    <w:p w14:paraId="313F950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moneda:        { type: string }</w:t>
      </w:r>
    </w:p>
    <w:p w14:paraId="6F4471F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coreEjecutor:  { type: string, enum: [tradicional, digital] }</w:t>
      </w:r>
    </w:p>
    <w:p w14:paraId="2FD54E2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veredictoFraude:</w:t>
      </w:r>
    </w:p>
    <w:p w14:paraId="2523E8D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string</w:t>
      </w:r>
    </w:p>
    <w:p w14:paraId="6DA83C3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enum: [aprobado, aprobado_por_degradacion]</w:t>
      </w:r>
    </w:p>
    <w:p w14:paraId="6A1A3DE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operations:</w:t>
      </w:r>
    </w:p>
    <w:p w14:paraId="0BC69F5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publicarPagoEjecutado:</w:t>
      </w:r>
    </w:p>
    <w:p w14:paraId="5DDC8CB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action: send</w:t>
      </w:r>
    </w:p>
    <w:p w14:paraId="710E87A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channel: { $ref: "#/channels/pagos" }</w:t>
      </w:r>
    </w:p>
    <w:p w14:paraId="5577806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campo </w:t>
      </w:r>
      <w:r w:rsidRPr="000444D1">
        <w:rPr>
          <w:rFonts w:ascii="Courier New" w:eastAsia="Times New Roman" w:hAnsi="Courier New" w:cs="Courier New"/>
          <w:kern w:val="0"/>
          <w:sz w:val="20"/>
          <w:szCs w:val="20"/>
          <w14:ligatures w14:val="none"/>
        </w:rPr>
        <w:t>veredictoFraude</w:t>
      </w:r>
      <w:r w:rsidRPr="000444D1">
        <w:rPr>
          <w:rFonts w:ascii="Times New Roman" w:eastAsia="Times New Roman" w:hAnsi="Times New Roman" w:cs="Times New Roman"/>
          <w:kern w:val="0"/>
          <w14:ligatures w14:val="none"/>
        </w:rPr>
        <w:t xml:space="preserve"> distingue la aprobación normal de la aprobación por degradación del ADR-005. Es lo que permite al sistema de riesgos y a auditoría identificar después qué operaciones se autorizaron sin evaluación efectiva, sin necesidad de correlacionar con los registros del motor de fraude.</w:t>
      </w:r>
    </w:p>
    <w:p w14:paraId="64854AED"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 xml:space="preserve">Ejemplo — </w:t>
      </w:r>
      <w:r w:rsidRPr="000444D1">
        <w:rPr>
          <w:rFonts w:ascii="Courier New" w:eastAsia="Times New Roman" w:hAnsi="Courier New" w:cs="Courier New"/>
          <w:b/>
          <w:bCs/>
          <w:kern w:val="0"/>
          <w:sz w:val="20"/>
          <w:szCs w:val="20"/>
          <w14:ligatures w14:val="none"/>
        </w:rPr>
        <w:t>cuenta.movimiento-registrado</w:t>
      </w:r>
    </w:p>
    <w:p w14:paraId="689854B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payload:</w:t>
      </w:r>
    </w:p>
    <w:p w14:paraId="36F5E80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object</w:t>
      </w:r>
    </w:p>
    <w:p w14:paraId="12D3840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[idCuenta, tipoMovimiento, monto, moneda, origenCaptura]</w:t>
      </w:r>
    </w:p>
    <w:p w14:paraId="577CC37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properties:</w:t>
      </w:r>
    </w:p>
    <w:p w14:paraId="68631AD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idCuenta:       { type: string }</w:t>
      </w:r>
    </w:p>
    <w:p w14:paraId="3D09CB4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tipoMovimiento: { type: string, enum: [debito, credito] }</w:t>
      </w:r>
    </w:p>
    <w:p w14:paraId="3BC8317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monto:          { type: string }</w:t>
      </w:r>
    </w:p>
    <w:p w14:paraId="0A1E97C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moneda:         { type: string }</w:t>
      </w:r>
    </w:p>
    <w:p w14:paraId="52B2205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canalOrigen:    { type: string, enum: [digital, agencia, cajero, batch, back_office] }</w:t>
      </w:r>
    </w:p>
    <w:p w14:paraId="16904C8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origenCaptura:  { type: string, enum: [acl, cdc] }</w:t>
      </w:r>
    </w:p>
    <w:p w14:paraId="38D5A2F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origenCaptura</w:t>
      </w:r>
      <w:r w:rsidRPr="000444D1">
        <w:rPr>
          <w:rFonts w:ascii="Times New Roman" w:eastAsia="Times New Roman" w:hAnsi="Times New Roman" w:cs="Times New Roman"/>
          <w:kern w:val="0"/>
          <w14:ligatures w14:val="none"/>
        </w:rPr>
        <w:t xml:space="preserve"> declara cuál de los dos mecanismos del ADR-004 produjo el evento. Es un dato operativo: permite medir la cobertura de cada mecanismo y detectar si el CDC está reportando hechos que el ACL debería haber emitido, lo que indicaría una avería en la emisión de eventos.</w:t>
      </w:r>
    </w:p>
    <w:p w14:paraId="76DA1DE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12.8 Entrega, orden e idempotencia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2922"/>
        <w:gridCol w:w="4530"/>
      </w:tblGrid>
      <w:tr w:rsidR="000444D1" w:rsidRPr="000444D1" w14:paraId="0A6C1CF2" w14:textId="77777777">
        <w:trPr>
          <w:tblHeader/>
          <w:tblCellSpacing w:w="15" w:type="dxa"/>
        </w:trPr>
        <w:tc>
          <w:tcPr>
            <w:tcW w:w="0" w:type="auto"/>
            <w:vAlign w:val="center"/>
            <w:hideMark/>
          </w:tcPr>
          <w:p w14:paraId="28BABD0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Aspecto</w:t>
            </w:r>
          </w:p>
        </w:tc>
        <w:tc>
          <w:tcPr>
            <w:tcW w:w="0" w:type="auto"/>
            <w:vAlign w:val="center"/>
            <w:hideMark/>
          </w:tcPr>
          <w:p w14:paraId="1EF37F2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Decisión</w:t>
            </w:r>
          </w:p>
        </w:tc>
        <w:tc>
          <w:tcPr>
            <w:tcW w:w="0" w:type="auto"/>
            <w:vAlign w:val="center"/>
            <w:hideMark/>
          </w:tcPr>
          <w:p w14:paraId="7E61D66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Fundamento</w:t>
            </w:r>
          </w:p>
        </w:tc>
      </w:tr>
      <w:tr w:rsidR="000444D1" w:rsidRPr="000444D1" w14:paraId="629AE748" w14:textId="77777777">
        <w:trPr>
          <w:tblCellSpacing w:w="15" w:type="dxa"/>
        </w:trPr>
        <w:tc>
          <w:tcPr>
            <w:tcW w:w="0" w:type="auto"/>
            <w:vAlign w:val="center"/>
            <w:hideMark/>
          </w:tcPr>
          <w:p w14:paraId="709F21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Garantía de entrega</w:t>
            </w:r>
          </w:p>
        </w:tc>
        <w:tc>
          <w:tcPr>
            <w:tcW w:w="0" w:type="auto"/>
            <w:vAlign w:val="center"/>
            <w:hideMark/>
          </w:tcPr>
          <w:p w14:paraId="23D2C8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 menos una vez</w:t>
            </w:r>
          </w:p>
        </w:tc>
        <w:tc>
          <w:tcPr>
            <w:tcW w:w="0" w:type="auto"/>
            <w:vAlign w:val="center"/>
            <w:hideMark/>
          </w:tcPr>
          <w:p w14:paraId="685D69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Combinada con outbox, evita la pérdida. Exigir exactamente-una-vez de extremo a extremo obligaría a coordinación distribuida sin beneficio real, dado que los consumidores ya son idempotentes</w:t>
            </w:r>
          </w:p>
        </w:tc>
      </w:tr>
      <w:tr w:rsidR="000444D1" w:rsidRPr="000444D1" w14:paraId="4952609C" w14:textId="77777777">
        <w:trPr>
          <w:tblCellSpacing w:w="15" w:type="dxa"/>
        </w:trPr>
        <w:tc>
          <w:tcPr>
            <w:tcW w:w="0" w:type="auto"/>
            <w:vAlign w:val="center"/>
            <w:hideMark/>
          </w:tcPr>
          <w:p w14:paraId="6BA78F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Idempotencia en el consumidor</w:t>
            </w:r>
          </w:p>
        </w:tc>
        <w:tc>
          <w:tcPr>
            <w:tcW w:w="0" w:type="auto"/>
            <w:vAlign w:val="center"/>
            <w:hideMark/>
          </w:tcPr>
          <w:p w14:paraId="16425D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Obligatoria, por </w:t>
            </w:r>
            <w:r w:rsidRPr="000444D1">
              <w:rPr>
                <w:rFonts w:ascii="Courier New" w:eastAsia="Times New Roman" w:hAnsi="Courier New" w:cs="Courier New"/>
                <w:kern w:val="0"/>
                <w:sz w:val="20"/>
                <w:szCs w:val="20"/>
                <w14:ligatures w14:val="none"/>
              </w:rPr>
              <w:t>idEvento</w:t>
            </w:r>
            <w:r w:rsidRPr="000444D1">
              <w:rPr>
                <w:rFonts w:ascii="Times New Roman" w:eastAsia="Times New Roman" w:hAnsi="Times New Roman" w:cs="Times New Roman"/>
                <w:kern w:val="0"/>
                <w14:ligatures w14:val="none"/>
              </w:rPr>
              <w:t xml:space="preserve"> y por </w:t>
            </w:r>
            <w:r w:rsidRPr="000444D1">
              <w:rPr>
                <w:rFonts w:ascii="Courier New" w:eastAsia="Times New Roman" w:hAnsi="Courier New" w:cs="Courier New"/>
                <w:kern w:val="0"/>
                <w:sz w:val="20"/>
                <w:szCs w:val="20"/>
                <w14:ligatures w14:val="none"/>
              </w:rPr>
              <w:t>claveNegocio</w:t>
            </w:r>
          </w:p>
        </w:tc>
        <w:tc>
          <w:tcPr>
            <w:tcW w:w="0" w:type="auto"/>
            <w:vAlign w:val="center"/>
            <w:hideMark/>
          </w:tcPr>
          <w:p w14:paraId="0AF739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Absorbe la reentrega y la duplicación entre mecanismos de ingesta</w:t>
            </w:r>
          </w:p>
        </w:tc>
      </w:tr>
      <w:tr w:rsidR="000444D1" w:rsidRPr="000444D1" w14:paraId="28EC5A8E" w14:textId="77777777">
        <w:trPr>
          <w:tblCellSpacing w:w="15" w:type="dxa"/>
        </w:trPr>
        <w:tc>
          <w:tcPr>
            <w:tcW w:w="0" w:type="auto"/>
            <w:vAlign w:val="center"/>
            <w:hideMark/>
          </w:tcPr>
          <w:p w14:paraId="78510F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Orden</w:t>
            </w:r>
          </w:p>
        </w:tc>
        <w:tc>
          <w:tcPr>
            <w:tcW w:w="0" w:type="auto"/>
            <w:vAlign w:val="center"/>
            <w:hideMark/>
          </w:tcPr>
          <w:p w14:paraId="58CF38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Garantizado por partición, con </w:t>
            </w:r>
            <w:r w:rsidRPr="000444D1">
              <w:rPr>
                <w:rFonts w:ascii="Courier New" w:eastAsia="Times New Roman" w:hAnsi="Courier New" w:cs="Courier New"/>
                <w:kern w:val="0"/>
                <w:sz w:val="20"/>
                <w:szCs w:val="20"/>
                <w14:ligatures w14:val="none"/>
              </w:rPr>
              <w:t>claveParticion</w:t>
            </w:r>
            <w:r w:rsidRPr="000444D1">
              <w:rPr>
                <w:rFonts w:ascii="Times New Roman" w:eastAsia="Times New Roman" w:hAnsi="Times New Roman" w:cs="Times New Roman"/>
                <w:kern w:val="0"/>
                <w14:ligatures w14:val="none"/>
              </w:rPr>
              <w:t xml:space="preserve"> = identificador de cliente</w:t>
            </w:r>
          </w:p>
        </w:tc>
        <w:tc>
          <w:tcPr>
            <w:tcW w:w="0" w:type="auto"/>
            <w:vAlign w:val="center"/>
            <w:hideMark/>
          </w:tcPr>
          <w:p w14:paraId="20A9B0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orden global no es necesario: las invariantes de negocio son por cliente. Exigir orden global limitaría el paralelismo sin beneficio</w:t>
            </w:r>
          </w:p>
        </w:tc>
      </w:tr>
      <w:tr w:rsidR="000444D1" w:rsidRPr="000444D1" w14:paraId="2D552861" w14:textId="77777777">
        <w:trPr>
          <w:tblCellSpacing w:w="15" w:type="dxa"/>
        </w:trPr>
        <w:tc>
          <w:tcPr>
            <w:tcW w:w="0" w:type="auto"/>
            <w:vAlign w:val="center"/>
            <w:hideMark/>
          </w:tcPr>
          <w:p w14:paraId="0E5AD4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Reintentos</w:t>
            </w:r>
          </w:p>
        </w:tc>
        <w:tc>
          <w:tcPr>
            <w:tcW w:w="0" w:type="auto"/>
            <w:vAlign w:val="center"/>
            <w:hideMark/>
          </w:tcPr>
          <w:p w14:paraId="4DA18BF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Retroceso exponencial con dispersión aleatoria, tope de 5 intentos</w:t>
            </w:r>
          </w:p>
        </w:tc>
        <w:tc>
          <w:tcPr>
            <w:tcW w:w="0" w:type="auto"/>
            <w:vAlign w:val="center"/>
            <w:hideMark/>
          </w:tcPr>
          <w:p w14:paraId="498278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dispersión evita que múltiples consumidores reintenten sincronizadamente tras una caída</w:t>
            </w:r>
          </w:p>
        </w:tc>
      </w:tr>
      <w:tr w:rsidR="000444D1" w:rsidRPr="000444D1" w14:paraId="013C50F8" w14:textId="77777777">
        <w:trPr>
          <w:tblCellSpacing w:w="15" w:type="dxa"/>
        </w:trPr>
        <w:tc>
          <w:tcPr>
            <w:tcW w:w="0" w:type="auto"/>
            <w:vAlign w:val="center"/>
            <w:hideMark/>
          </w:tcPr>
          <w:p w14:paraId="36FAEA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Cola de fallidos (DLQ)</w:t>
            </w:r>
          </w:p>
        </w:tc>
        <w:tc>
          <w:tcPr>
            <w:tcW w:w="0" w:type="auto"/>
            <w:vAlign w:val="center"/>
            <w:hideMark/>
          </w:tcPr>
          <w:p w14:paraId="52FC71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por consumidor y tipo de evento, nunca compartida</w:t>
            </w:r>
          </w:p>
        </w:tc>
        <w:tc>
          <w:tcPr>
            <w:tcW w:w="0" w:type="auto"/>
            <w:vAlign w:val="center"/>
            <w:hideMark/>
          </w:tcPr>
          <w:p w14:paraId="3990C0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DLQ compartida impide reprocesar selectivamente y diluye la responsabilidad del equipo propietario</w:t>
            </w:r>
          </w:p>
        </w:tc>
      </w:tr>
      <w:tr w:rsidR="000444D1" w:rsidRPr="000444D1" w14:paraId="1C2D05F7" w14:textId="77777777">
        <w:trPr>
          <w:tblCellSpacing w:w="15" w:type="dxa"/>
        </w:trPr>
        <w:tc>
          <w:tcPr>
            <w:tcW w:w="0" w:type="auto"/>
            <w:vAlign w:val="center"/>
            <w:hideMark/>
          </w:tcPr>
          <w:p w14:paraId="01FADC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Reproceso</w:t>
            </w:r>
          </w:p>
        </w:tc>
        <w:tc>
          <w:tcPr>
            <w:tcW w:w="0" w:type="auto"/>
            <w:vAlign w:val="center"/>
            <w:hideMark/>
          </w:tcPr>
          <w:p w14:paraId="0FE3A9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Desde la DLQ, tras corrección; los consumidores idempotentes lo toleran sin efectos duplicados</w:t>
            </w:r>
          </w:p>
        </w:tc>
        <w:tc>
          <w:tcPr>
            <w:tcW w:w="0" w:type="auto"/>
            <w:vAlign w:val="center"/>
            <w:hideMark/>
          </w:tcPr>
          <w:p w14:paraId="2BE8C7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r>
      <w:tr w:rsidR="000444D1" w:rsidRPr="000444D1" w14:paraId="242F33F7" w14:textId="77777777">
        <w:trPr>
          <w:tblCellSpacing w:w="15" w:type="dxa"/>
        </w:trPr>
        <w:tc>
          <w:tcPr>
            <w:tcW w:w="0" w:type="auto"/>
            <w:vAlign w:val="center"/>
            <w:hideMark/>
          </w:tcPr>
          <w:p w14:paraId="064A87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Envenenamiento</w:t>
            </w:r>
          </w:p>
        </w:tc>
        <w:tc>
          <w:tcPr>
            <w:tcW w:w="0" w:type="auto"/>
            <w:vAlign w:val="center"/>
            <w:hideMark/>
          </w:tcPr>
          <w:p w14:paraId="744E1B6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Un mensaje que agota reintentos va a la DLQ y </w:t>
            </w:r>
            <w:r w:rsidRPr="000444D1">
              <w:rPr>
                <w:rFonts w:ascii="Times New Roman" w:eastAsia="Times New Roman" w:hAnsi="Times New Roman" w:cs="Times New Roman"/>
                <w:b/>
                <w:bCs/>
                <w:kern w:val="0"/>
                <w14:ligatures w14:val="none"/>
              </w:rPr>
              <w:t>no bloquea</w:t>
            </w:r>
            <w:r w:rsidRPr="000444D1">
              <w:rPr>
                <w:rFonts w:ascii="Times New Roman" w:eastAsia="Times New Roman" w:hAnsi="Times New Roman" w:cs="Times New Roman"/>
                <w:kern w:val="0"/>
                <w14:ligatures w14:val="none"/>
              </w:rPr>
              <w:t xml:space="preserve"> su partición</w:t>
            </w:r>
          </w:p>
        </w:tc>
        <w:tc>
          <w:tcPr>
            <w:tcW w:w="0" w:type="auto"/>
            <w:vAlign w:val="center"/>
            <w:hideMark/>
          </w:tcPr>
          <w:p w14:paraId="737D2C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esta regla, un solo mensaje defectuoso detendría todos los eventos de ese cliente</w:t>
            </w:r>
          </w:p>
        </w:tc>
      </w:tr>
    </w:tbl>
    <w:p w14:paraId="41E95330"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12.9 Versionamiento de eventos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gridCol w:w="5694"/>
      </w:tblGrid>
      <w:tr w:rsidR="000444D1" w:rsidRPr="000444D1" w14:paraId="357B9369" w14:textId="77777777">
        <w:trPr>
          <w:tblHeader/>
          <w:tblCellSpacing w:w="15" w:type="dxa"/>
        </w:trPr>
        <w:tc>
          <w:tcPr>
            <w:tcW w:w="0" w:type="auto"/>
            <w:vAlign w:val="center"/>
            <w:hideMark/>
          </w:tcPr>
          <w:p w14:paraId="2F2924B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 de cambio</w:t>
            </w:r>
          </w:p>
        </w:tc>
        <w:tc>
          <w:tcPr>
            <w:tcW w:w="0" w:type="auto"/>
            <w:vAlign w:val="center"/>
            <w:hideMark/>
          </w:tcPr>
          <w:p w14:paraId="587256D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w:t>
            </w:r>
          </w:p>
        </w:tc>
      </w:tr>
      <w:tr w:rsidR="000444D1" w:rsidRPr="000444D1" w14:paraId="4A6056AB" w14:textId="77777777">
        <w:trPr>
          <w:tblCellSpacing w:w="15" w:type="dxa"/>
        </w:trPr>
        <w:tc>
          <w:tcPr>
            <w:tcW w:w="0" w:type="auto"/>
            <w:vAlign w:val="center"/>
            <w:hideMark/>
          </w:tcPr>
          <w:p w14:paraId="60D2FA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Añadir campo opcional</w:t>
            </w:r>
          </w:p>
        </w:tc>
        <w:tc>
          <w:tcPr>
            <w:tcW w:w="0" w:type="auto"/>
            <w:vAlign w:val="center"/>
            <w:hideMark/>
          </w:tcPr>
          <w:p w14:paraId="18D8A5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Incremento de versión menor. Los consumidores existentes lo ignoran</w:t>
            </w:r>
          </w:p>
        </w:tc>
      </w:tr>
      <w:tr w:rsidR="000444D1" w:rsidRPr="000444D1" w14:paraId="335FD1BF" w14:textId="77777777">
        <w:trPr>
          <w:tblCellSpacing w:w="15" w:type="dxa"/>
        </w:trPr>
        <w:tc>
          <w:tcPr>
            <w:tcW w:w="0" w:type="auto"/>
            <w:vAlign w:val="center"/>
            <w:hideMark/>
          </w:tcPr>
          <w:p w14:paraId="6CE9C5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Añadir campo obligatorio, eliminar o cambiar el significado de un campo</w:t>
            </w:r>
          </w:p>
        </w:tc>
        <w:tc>
          <w:tcPr>
            <w:tcW w:w="0" w:type="auto"/>
            <w:vAlign w:val="center"/>
            <w:hideMark/>
          </w:tcPr>
          <w:p w14:paraId="5F3FF3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Nuevo tipo de evento con versión mayor, publicado </w:t>
            </w:r>
            <w:r w:rsidRPr="000444D1">
              <w:rPr>
                <w:rFonts w:ascii="Times New Roman" w:eastAsia="Times New Roman" w:hAnsi="Times New Roman" w:cs="Times New Roman"/>
                <w:b/>
                <w:bCs/>
                <w:kern w:val="0"/>
                <w14:ligatures w14:val="none"/>
              </w:rPr>
              <w:t>en paralelo</w:t>
            </w:r>
            <w:r w:rsidRPr="000444D1">
              <w:rPr>
                <w:rFonts w:ascii="Times New Roman" w:eastAsia="Times New Roman" w:hAnsi="Times New Roman" w:cs="Times New Roman"/>
                <w:kern w:val="0"/>
                <w14:ligatures w14:val="none"/>
              </w:rPr>
              <w:t xml:space="preserve"> al anterior</w:t>
            </w:r>
          </w:p>
        </w:tc>
      </w:tr>
      <w:tr w:rsidR="000444D1" w:rsidRPr="000444D1" w14:paraId="66087E76" w14:textId="77777777">
        <w:trPr>
          <w:tblCellSpacing w:w="15" w:type="dxa"/>
        </w:trPr>
        <w:tc>
          <w:tcPr>
            <w:tcW w:w="0" w:type="auto"/>
            <w:vAlign w:val="center"/>
            <w:hideMark/>
          </w:tcPr>
          <w:p w14:paraId="7DFE572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Retirada de la versión anterior</w:t>
            </w:r>
          </w:p>
        </w:tc>
        <w:tc>
          <w:tcPr>
            <w:tcW w:w="0" w:type="auto"/>
            <w:vAlign w:val="center"/>
            <w:hideMark/>
          </w:tcPr>
          <w:p w14:paraId="2162CA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Solo cuando la telemetría del bus confirma que ningún consumidor la consume, con el periodo de gracia de la sección 16</w:t>
            </w:r>
          </w:p>
        </w:tc>
      </w:tr>
    </w:tbl>
    <w:p w14:paraId="6EE871D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regla operativa es que </w:t>
      </w:r>
      <w:r w:rsidRPr="000444D1">
        <w:rPr>
          <w:rFonts w:ascii="Times New Roman" w:eastAsia="Times New Roman" w:hAnsi="Times New Roman" w:cs="Times New Roman"/>
          <w:b/>
          <w:bCs/>
          <w:kern w:val="0"/>
          <w14:ligatures w14:val="none"/>
        </w:rPr>
        <w:t>el productor nunca rompe a un consumidor</w:t>
      </w:r>
      <w:r w:rsidRPr="000444D1">
        <w:rPr>
          <w:rFonts w:ascii="Times New Roman" w:eastAsia="Times New Roman" w:hAnsi="Times New Roman" w:cs="Times New Roman"/>
          <w:kern w:val="0"/>
          <w14:ligatures w14:val="none"/>
        </w:rPr>
        <w:t>: durante la transición se publican ambas versiones y el costo de la duplicación temporal se asume conscientemente, porque es menor que el de coordinar despliegues entre equipos. Esta es la aplicación del principio de abierto/ cerrado al nivel de contratos de evento.</w:t>
      </w:r>
    </w:p>
    <w:p w14:paraId="66646AC5"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24298165">
          <v:rect id="Horizontal Line 446"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60F8C9"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13. Seguridad, cumplimiento normativo y LOPDP</w:t>
      </w:r>
    </w:p>
    <w:p w14:paraId="6434FC1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estructura de esta sección obedece a un criterio: no basta con enumerar controles, hay que precisar </w:t>
      </w:r>
      <w:r w:rsidRPr="000444D1">
        <w:rPr>
          <w:rFonts w:ascii="Times New Roman" w:eastAsia="Times New Roman" w:hAnsi="Times New Roman" w:cs="Times New Roman"/>
          <w:b/>
          <w:bCs/>
          <w:kern w:val="0"/>
          <w14:ligatures w14:val="none"/>
        </w:rPr>
        <w:t>dónde están presentes en la solución</w:t>
      </w:r>
      <w:r w:rsidRPr="000444D1">
        <w:rPr>
          <w:rFonts w:ascii="Times New Roman" w:eastAsia="Times New Roman" w:hAnsi="Times New Roman" w:cs="Times New Roman"/>
          <w:kern w:val="0"/>
          <w14:ligatures w14:val="none"/>
        </w:rPr>
        <w:t>. Por eso cada control declarado aquí lleva asociado el componente concreto de las secciones 7 y 8 en el que reside. Un control sin ubicación es una intención, no un control.</w:t>
      </w:r>
    </w:p>
    <w:p w14:paraId="5FB85D6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lastRenderedPageBreak/>
        <w:t>13.1 Marco normativo aplicable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4"/>
        <w:gridCol w:w="6066"/>
      </w:tblGrid>
      <w:tr w:rsidR="000444D1" w:rsidRPr="000444D1" w14:paraId="46E68D18" w14:textId="77777777">
        <w:trPr>
          <w:tblHeader/>
          <w:tblCellSpacing w:w="15" w:type="dxa"/>
        </w:trPr>
        <w:tc>
          <w:tcPr>
            <w:tcW w:w="0" w:type="auto"/>
            <w:vAlign w:val="center"/>
            <w:hideMark/>
          </w:tcPr>
          <w:p w14:paraId="3EE4A1E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Marco</w:t>
            </w:r>
          </w:p>
        </w:tc>
        <w:tc>
          <w:tcPr>
            <w:tcW w:w="0" w:type="auto"/>
            <w:vAlign w:val="center"/>
            <w:hideMark/>
          </w:tcPr>
          <w:p w14:paraId="6423A7B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Alcance en este diseño</w:t>
            </w:r>
          </w:p>
        </w:tc>
      </w:tr>
      <w:tr w:rsidR="000444D1" w:rsidRPr="000444D1" w14:paraId="648857C0" w14:textId="77777777">
        <w:trPr>
          <w:tblCellSpacing w:w="15" w:type="dxa"/>
        </w:trPr>
        <w:tc>
          <w:tcPr>
            <w:tcW w:w="0" w:type="auto"/>
            <w:vAlign w:val="center"/>
            <w:hideMark/>
          </w:tcPr>
          <w:p w14:paraId="15BFBB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LOPDP</w:t>
            </w:r>
            <w:r w:rsidRPr="000444D1">
              <w:rPr>
                <w:rFonts w:ascii="Times New Roman" w:eastAsia="Times New Roman" w:hAnsi="Times New Roman" w:cs="Times New Roman"/>
                <w:kern w:val="0"/>
                <w14:ligatures w14:val="none"/>
              </w:rPr>
              <w:t xml:space="preserve"> — Ley Orgánica de Protección de Datos Personales (Ecuador)</w:t>
            </w:r>
          </w:p>
        </w:tc>
        <w:tc>
          <w:tcPr>
            <w:tcW w:w="0" w:type="auto"/>
            <w:vAlign w:val="center"/>
            <w:hideMark/>
          </w:tcPr>
          <w:p w14:paraId="778C82F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tratamiento de datos de clientes y de terceros vinculados. Determina bases de licitud, derechos del titular y obligaciones del responsable</w:t>
            </w:r>
          </w:p>
        </w:tc>
      </w:tr>
      <w:tr w:rsidR="000444D1" w:rsidRPr="000444D1" w14:paraId="1FBF2443" w14:textId="77777777">
        <w:trPr>
          <w:tblCellSpacing w:w="15" w:type="dxa"/>
        </w:trPr>
        <w:tc>
          <w:tcPr>
            <w:tcW w:w="0" w:type="auto"/>
            <w:vAlign w:val="center"/>
            <w:hideMark/>
          </w:tcPr>
          <w:p w14:paraId="5D9B58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Normativa del organismo de supervisión bancaria</w:t>
            </w:r>
          </w:p>
        </w:tc>
        <w:tc>
          <w:tcPr>
            <w:tcW w:w="0" w:type="auto"/>
            <w:vAlign w:val="center"/>
            <w:hideMark/>
          </w:tcPr>
          <w:p w14:paraId="2BACD0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Continuidad del negocio, trazabilidad de operaciones, reportería regulatoria, gestión de riesgo operativo y tecnológico</w:t>
            </w:r>
          </w:p>
        </w:tc>
      </w:tr>
      <w:tr w:rsidR="000444D1" w:rsidRPr="000444D1" w14:paraId="701BAD00" w14:textId="77777777">
        <w:trPr>
          <w:tblCellSpacing w:w="15" w:type="dxa"/>
        </w:trPr>
        <w:tc>
          <w:tcPr>
            <w:tcW w:w="0" w:type="auto"/>
            <w:vAlign w:val="center"/>
            <w:hideMark/>
          </w:tcPr>
          <w:p w14:paraId="02DEEA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Normativa de banca abierta / Open Finance</w:t>
            </w:r>
          </w:p>
        </w:tc>
        <w:tc>
          <w:tcPr>
            <w:tcW w:w="0" w:type="auto"/>
            <w:vAlign w:val="center"/>
            <w:hideMark/>
          </w:tcPr>
          <w:p w14:paraId="3CD5C6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 explícito, granular y revocable; perfil de seguridad de las APIs externas</w:t>
            </w:r>
          </w:p>
        </w:tc>
      </w:tr>
      <w:tr w:rsidR="000444D1" w:rsidRPr="000444D1" w14:paraId="1EA4A839" w14:textId="77777777">
        <w:trPr>
          <w:tblCellSpacing w:w="15" w:type="dxa"/>
        </w:trPr>
        <w:tc>
          <w:tcPr>
            <w:tcW w:w="0" w:type="auto"/>
            <w:vAlign w:val="center"/>
            <w:hideMark/>
          </w:tcPr>
          <w:p w14:paraId="70C8C6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PCI DSS</w:t>
            </w:r>
          </w:p>
        </w:tc>
        <w:tc>
          <w:tcPr>
            <w:tcW w:w="0" w:type="auto"/>
            <w:vAlign w:val="center"/>
            <w:hideMark/>
          </w:tcPr>
          <w:p w14:paraId="616FF2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Aplicable al ámbito de tarjetas. El diseño reduce deliberadamente el alcance mediante tokenización (13.7)</w:t>
            </w:r>
          </w:p>
        </w:tc>
      </w:tr>
      <w:tr w:rsidR="000444D1" w:rsidRPr="000444D1" w14:paraId="232FF0D5" w14:textId="77777777">
        <w:trPr>
          <w:tblCellSpacing w:w="15" w:type="dxa"/>
        </w:trPr>
        <w:tc>
          <w:tcPr>
            <w:tcW w:w="0" w:type="auto"/>
            <w:vAlign w:val="center"/>
            <w:hideMark/>
          </w:tcPr>
          <w:p w14:paraId="2DD656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ISO/IEC 27001 como marco de referencia</w:t>
            </w:r>
          </w:p>
        </w:tc>
        <w:tc>
          <w:tcPr>
            <w:tcW w:w="0" w:type="auto"/>
            <w:vAlign w:val="center"/>
            <w:hideMark/>
          </w:tcPr>
          <w:p w14:paraId="12C4CE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Estructura del sistema de gestión de seguridad; no es requisito normativo sino práctica adoptada</w:t>
            </w:r>
          </w:p>
        </w:tc>
      </w:tr>
    </w:tbl>
    <w:p w14:paraId="0136EEE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13.2 Principios de la LOPDP y su materialización</w:t>
      </w:r>
    </w:p>
    <w:p w14:paraId="3378C1E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ley enuncia principios que rigen todo tratamiento. La tabla los recorre y señala el elemento del diseño que los hace efectivos. Los principios sin correlato arquitectónico se declaran como organizacionales, en lugar de forzar una atribución técnica.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6"/>
        <w:gridCol w:w="6754"/>
      </w:tblGrid>
      <w:tr w:rsidR="000444D1" w:rsidRPr="000444D1" w14:paraId="12CE9A9C" w14:textId="77777777">
        <w:trPr>
          <w:tblHeader/>
          <w:tblCellSpacing w:w="15" w:type="dxa"/>
        </w:trPr>
        <w:tc>
          <w:tcPr>
            <w:tcW w:w="0" w:type="auto"/>
            <w:vAlign w:val="center"/>
            <w:hideMark/>
          </w:tcPr>
          <w:p w14:paraId="3AB2AF0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Principio</w:t>
            </w:r>
          </w:p>
        </w:tc>
        <w:tc>
          <w:tcPr>
            <w:tcW w:w="0" w:type="auto"/>
            <w:vAlign w:val="center"/>
            <w:hideMark/>
          </w:tcPr>
          <w:p w14:paraId="73F1802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Materialización en el diseño</w:t>
            </w:r>
          </w:p>
        </w:tc>
      </w:tr>
      <w:tr w:rsidR="000444D1" w:rsidRPr="000444D1" w14:paraId="05578A98" w14:textId="77777777">
        <w:trPr>
          <w:tblCellSpacing w:w="15" w:type="dxa"/>
        </w:trPr>
        <w:tc>
          <w:tcPr>
            <w:tcW w:w="0" w:type="auto"/>
            <w:vAlign w:val="center"/>
            <w:hideMark/>
          </w:tcPr>
          <w:p w14:paraId="1B0E13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Juridicidad</w:t>
            </w:r>
          </w:p>
        </w:tc>
        <w:tc>
          <w:tcPr>
            <w:tcW w:w="0" w:type="auto"/>
            <w:vAlign w:val="center"/>
            <w:hideMark/>
          </w:tcPr>
          <w:p w14:paraId="061F99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operación de tratamiento se ampara en una base de licitud declarada en 13.3</w:t>
            </w:r>
          </w:p>
        </w:tc>
      </w:tr>
      <w:tr w:rsidR="000444D1" w:rsidRPr="000444D1" w14:paraId="132FA4F9" w14:textId="77777777">
        <w:trPr>
          <w:tblCellSpacing w:w="15" w:type="dxa"/>
        </w:trPr>
        <w:tc>
          <w:tcPr>
            <w:tcW w:w="0" w:type="auto"/>
            <w:vAlign w:val="center"/>
            <w:hideMark/>
          </w:tcPr>
          <w:p w14:paraId="0A6CAF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Lealtad y transparencia</w:t>
            </w:r>
          </w:p>
        </w:tc>
        <w:tc>
          <w:tcPr>
            <w:tcW w:w="0" w:type="auto"/>
            <w:vAlign w:val="center"/>
            <w:hideMark/>
          </w:tcPr>
          <w:p w14:paraId="069B69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registro de consentimientos (D7) conserva el texto y la versión del aviso presentado al titular en el momento de otorgarlo</w:t>
            </w:r>
          </w:p>
        </w:tc>
      </w:tr>
      <w:tr w:rsidR="000444D1" w:rsidRPr="000444D1" w14:paraId="0707DD21" w14:textId="77777777">
        <w:trPr>
          <w:tblCellSpacing w:w="15" w:type="dxa"/>
        </w:trPr>
        <w:tc>
          <w:tcPr>
            <w:tcW w:w="0" w:type="auto"/>
            <w:vAlign w:val="center"/>
            <w:hideMark/>
          </w:tcPr>
          <w:p w14:paraId="25D89E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Finalidad</w:t>
            </w:r>
          </w:p>
        </w:tc>
        <w:tc>
          <w:tcPr>
            <w:tcW w:w="0" w:type="auto"/>
            <w:vAlign w:val="center"/>
            <w:hideMark/>
          </w:tcPr>
          <w:p w14:paraId="0240B2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alcance del consentimiento (</w:t>
            </w:r>
            <w:r w:rsidRPr="000444D1">
              <w:rPr>
                <w:rFonts w:ascii="Courier New" w:eastAsia="Times New Roman" w:hAnsi="Courier New" w:cs="Courier New"/>
                <w:kern w:val="0"/>
                <w:sz w:val="20"/>
                <w:szCs w:val="20"/>
                <w14:ligatures w14:val="none"/>
              </w:rPr>
              <w:t>alcanceRevocado</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scopes</w:t>
            </w:r>
            <w:r w:rsidRPr="000444D1">
              <w:rPr>
                <w:rFonts w:ascii="Times New Roman" w:eastAsia="Times New Roman" w:hAnsi="Times New Roman" w:cs="Times New Roman"/>
                <w:kern w:val="0"/>
                <w14:ligatures w14:val="none"/>
              </w:rPr>
              <w:t xml:space="preserve"> OAuth) delimita para qué puede usarse cada dato; el gateway externo lo verifica en cada petición</w:t>
            </w:r>
          </w:p>
        </w:tc>
      </w:tr>
      <w:tr w:rsidR="000444D1" w:rsidRPr="000444D1" w14:paraId="3FB2B781" w14:textId="77777777">
        <w:trPr>
          <w:tblCellSpacing w:w="15" w:type="dxa"/>
        </w:trPr>
        <w:tc>
          <w:tcPr>
            <w:tcW w:w="0" w:type="auto"/>
            <w:vAlign w:val="center"/>
            <w:hideMark/>
          </w:tcPr>
          <w:p w14:paraId="53BADC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Pertinencia y minimización</w:t>
            </w:r>
          </w:p>
        </w:tc>
        <w:tc>
          <w:tcPr>
            <w:tcW w:w="0" w:type="auto"/>
            <w:vAlign w:val="center"/>
            <w:hideMark/>
          </w:tcPr>
          <w:p w14:paraId="42B1F2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API externa devuelve un subconjunto estricto de campos frente a la interna equivalente (sección 12.4). Los payloads de eventos transportan identificadores, no perfiles completos</w:t>
            </w:r>
          </w:p>
        </w:tc>
      </w:tr>
      <w:tr w:rsidR="000444D1" w:rsidRPr="000444D1" w14:paraId="0E91B9A2" w14:textId="77777777">
        <w:trPr>
          <w:tblCellSpacing w:w="15" w:type="dxa"/>
        </w:trPr>
        <w:tc>
          <w:tcPr>
            <w:tcW w:w="0" w:type="auto"/>
            <w:vAlign w:val="center"/>
            <w:hideMark/>
          </w:tcPr>
          <w:p w14:paraId="4636B7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Proporcionalidad</w:t>
            </w:r>
          </w:p>
        </w:tc>
        <w:tc>
          <w:tcPr>
            <w:tcW w:w="0" w:type="auto"/>
            <w:vAlign w:val="center"/>
            <w:hideMark/>
          </w:tcPr>
          <w:p w14:paraId="3C1BB8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evaluación de fraude recibe el contexto de la operación, no el histórico completo del cliente</w:t>
            </w:r>
          </w:p>
        </w:tc>
      </w:tr>
      <w:tr w:rsidR="000444D1" w:rsidRPr="000444D1" w14:paraId="2E7008E6" w14:textId="77777777">
        <w:trPr>
          <w:tblCellSpacing w:w="15" w:type="dxa"/>
        </w:trPr>
        <w:tc>
          <w:tcPr>
            <w:tcW w:w="0" w:type="auto"/>
            <w:vAlign w:val="center"/>
            <w:hideMark/>
          </w:tcPr>
          <w:p w14:paraId="078B406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Confidencialidad</w:t>
            </w:r>
          </w:p>
        </w:tc>
        <w:tc>
          <w:tcPr>
            <w:tcW w:w="0" w:type="auto"/>
            <w:vAlign w:val="center"/>
            <w:hideMark/>
          </w:tcPr>
          <w:p w14:paraId="0432DD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Controles C-05 a C-09 de la tabla 13.6</w:t>
            </w:r>
          </w:p>
        </w:tc>
      </w:tr>
      <w:tr w:rsidR="000444D1" w:rsidRPr="000444D1" w14:paraId="0A240C71" w14:textId="77777777">
        <w:trPr>
          <w:tblCellSpacing w:w="15" w:type="dxa"/>
        </w:trPr>
        <w:tc>
          <w:tcPr>
            <w:tcW w:w="0" w:type="auto"/>
            <w:vAlign w:val="center"/>
            <w:hideMark/>
          </w:tcPr>
          <w:p w14:paraId="1B1236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Calidad y exactitud</w:t>
            </w:r>
          </w:p>
        </w:tc>
        <w:tc>
          <w:tcPr>
            <w:tcW w:w="0" w:type="auto"/>
            <w:vAlign w:val="center"/>
            <w:hideMark/>
          </w:tcPr>
          <w:p w14:paraId="24C08E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único system of record por entidad (sección 5.3) elimina las copias divergentes, que son la causa habitual de datos inexactos</w:t>
            </w:r>
          </w:p>
        </w:tc>
      </w:tr>
      <w:tr w:rsidR="000444D1" w:rsidRPr="000444D1" w14:paraId="6F731228" w14:textId="77777777">
        <w:trPr>
          <w:tblCellSpacing w:w="15" w:type="dxa"/>
        </w:trPr>
        <w:tc>
          <w:tcPr>
            <w:tcW w:w="0" w:type="auto"/>
            <w:vAlign w:val="center"/>
            <w:hideMark/>
          </w:tcPr>
          <w:p w14:paraId="23FE0AA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Conservación</w:t>
            </w:r>
          </w:p>
        </w:tc>
        <w:tc>
          <w:tcPr>
            <w:tcW w:w="0" w:type="auto"/>
            <w:vAlign w:val="center"/>
            <w:hideMark/>
          </w:tcPr>
          <w:p w14:paraId="63EBFD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Política de retención diferenciada por tipo de dato (13.8)</w:t>
            </w:r>
          </w:p>
        </w:tc>
      </w:tr>
      <w:tr w:rsidR="000444D1" w:rsidRPr="000444D1" w14:paraId="4DE412D4" w14:textId="77777777">
        <w:trPr>
          <w:tblCellSpacing w:w="15" w:type="dxa"/>
        </w:trPr>
        <w:tc>
          <w:tcPr>
            <w:tcW w:w="0" w:type="auto"/>
            <w:vAlign w:val="center"/>
            <w:hideMark/>
          </w:tcPr>
          <w:p w14:paraId="2C8C6D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Seguridad de datos personales</w:t>
            </w:r>
          </w:p>
        </w:tc>
        <w:tc>
          <w:tcPr>
            <w:tcW w:w="0" w:type="auto"/>
            <w:vAlign w:val="center"/>
            <w:hideMark/>
          </w:tcPr>
          <w:p w14:paraId="2241B5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Tabla completa de controles 13.6</w:t>
            </w:r>
          </w:p>
        </w:tc>
      </w:tr>
      <w:tr w:rsidR="000444D1" w:rsidRPr="000444D1" w14:paraId="20422A94" w14:textId="77777777">
        <w:trPr>
          <w:tblCellSpacing w:w="15" w:type="dxa"/>
        </w:trPr>
        <w:tc>
          <w:tcPr>
            <w:tcW w:w="0" w:type="auto"/>
            <w:vAlign w:val="center"/>
            <w:hideMark/>
          </w:tcPr>
          <w:p w14:paraId="41B32C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Responsabilidad proactiva y demostrada</w:t>
            </w:r>
          </w:p>
        </w:tc>
        <w:tc>
          <w:tcPr>
            <w:tcW w:w="0" w:type="auto"/>
            <w:vAlign w:val="center"/>
            <w:hideMark/>
          </w:tcPr>
          <w:p w14:paraId="11BD250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actividades de tratamiento (13.9) y trazabilidad de accesos en D8: la demostración del cumplimiento es consultable, no declarativa</w:t>
            </w:r>
          </w:p>
        </w:tc>
      </w:tr>
    </w:tbl>
    <w:p w14:paraId="2568299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Sobre el principio de calidad y exactitud.</w:t>
      </w:r>
      <w:r w:rsidRPr="000444D1">
        <w:rPr>
          <w:rFonts w:ascii="Times New Roman" w:eastAsia="Times New Roman" w:hAnsi="Times New Roman" w:cs="Times New Roman"/>
          <w:kern w:val="0"/>
          <w14:ligatures w14:val="none"/>
        </w:rPr>
        <w:t xml:space="preserve"> Merece atención porque es donde la arquitectura aporta más de lo evidente. La decisión del ADR-001 de no duplicar los datos maestros de cliente entre cores no se tomó por motivos de protección de datos, sino de consistencia; pero su efecto es directamente un cumplimiento del principio: no puede haber dos versiones divergentes de un dato personal si solo existe un propietario. Es un caso donde una decisión técnica satisface una obligación legal sin haber sido diseñada para ello, y conviene señalarlo explícitamente.</w:t>
      </w:r>
    </w:p>
    <w:p w14:paraId="2811283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13.3 Bases de licitud por tipo de tratamiento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4"/>
        <w:gridCol w:w="3776"/>
        <w:gridCol w:w="2080"/>
      </w:tblGrid>
      <w:tr w:rsidR="000444D1" w:rsidRPr="000444D1" w14:paraId="34BE5474" w14:textId="77777777">
        <w:trPr>
          <w:tblHeader/>
          <w:tblCellSpacing w:w="15" w:type="dxa"/>
        </w:trPr>
        <w:tc>
          <w:tcPr>
            <w:tcW w:w="0" w:type="auto"/>
            <w:vAlign w:val="center"/>
            <w:hideMark/>
          </w:tcPr>
          <w:p w14:paraId="3540274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w:t>
            </w:r>
          </w:p>
        </w:tc>
        <w:tc>
          <w:tcPr>
            <w:tcW w:w="0" w:type="auto"/>
            <w:vAlign w:val="center"/>
            <w:hideMark/>
          </w:tcPr>
          <w:p w14:paraId="792EFD0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Base de licitud</w:t>
            </w:r>
          </w:p>
        </w:tc>
        <w:tc>
          <w:tcPr>
            <w:tcW w:w="0" w:type="auto"/>
            <w:vAlign w:val="center"/>
            <w:hideMark/>
          </w:tcPr>
          <w:p w14:paraId="1AAE88A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 que la registra</w:t>
            </w:r>
          </w:p>
        </w:tc>
      </w:tr>
      <w:tr w:rsidR="000444D1" w:rsidRPr="000444D1" w14:paraId="6F093E5B" w14:textId="77777777">
        <w:trPr>
          <w:tblCellSpacing w:w="15" w:type="dxa"/>
        </w:trPr>
        <w:tc>
          <w:tcPr>
            <w:tcW w:w="0" w:type="auto"/>
            <w:vAlign w:val="center"/>
            <w:hideMark/>
          </w:tcPr>
          <w:p w14:paraId="04BAA6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Ejecución de pagos y operaciones sobre productos contratados</w:t>
            </w:r>
          </w:p>
        </w:tc>
        <w:tc>
          <w:tcPr>
            <w:tcW w:w="0" w:type="auto"/>
            <w:vAlign w:val="center"/>
            <w:hideMark/>
          </w:tcPr>
          <w:p w14:paraId="078F9D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Ejecución de contrato</w:t>
            </w:r>
          </w:p>
        </w:tc>
        <w:tc>
          <w:tcPr>
            <w:tcW w:w="0" w:type="auto"/>
            <w:vAlign w:val="center"/>
            <w:hideMark/>
          </w:tcPr>
          <w:p w14:paraId="2BAB8B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cores</w:t>
            </w:r>
          </w:p>
        </w:tc>
      </w:tr>
      <w:tr w:rsidR="000444D1" w:rsidRPr="000444D1" w14:paraId="131F0B38" w14:textId="77777777">
        <w:trPr>
          <w:tblCellSpacing w:w="15" w:type="dxa"/>
        </w:trPr>
        <w:tc>
          <w:tcPr>
            <w:tcW w:w="0" w:type="auto"/>
            <w:vAlign w:val="center"/>
            <w:hideMark/>
          </w:tcPr>
          <w:p w14:paraId="50AA26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de fraude sobre operaciones propias</w:t>
            </w:r>
          </w:p>
        </w:tc>
        <w:tc>
          <w:tcPr>
            <w:tcW w:w="0" w:type="auto"/>
            <w:vAlign w:val="center"/>
            <w:hideMark/>
          </w:tcPr>
          <w:p w14:paraId="2A9EE5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Interés legítimo del responsable y obligación legal de prevención</w:t>
            </w:r>
          </w:p>
        </w:tc>
        <w:tc>
          <w:tcPr>
            <w:tcW w:w="0" w:type="auto"/>
            <w:vAlign w:val="center"/>
            <w:hideMark/>
          </w:tcPr>
          <w:p w14:paraId="2CCEC3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 con constancia en D8</w:t>
            </w:r>
          </w:p>
        </w:tc>
      </w:tr>
      <w:tr w:rsidR="000444D1" w:rsidRPr="000444D1" w14:paraId="2A1BF271" w14:textId="77777777">
        <w:trPr>
          <w:tblCellSpacing w:w="15" w:type="dxa"/>
        </w:trPr>
        <w:tc>
          <w:tcPr>
            <w:tcW w:w="0" w:type="auto"/>
            <w:vAlign w:val="center"/>
            <w:hideMark/>
          </w:tcPr>
          <w:p w14:paraId="28FE30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Reportería regulatoria y prevención de lavado de activos</w:t>
            </w:r>
          </w:p>
        </w:tc>
        <w:tc>
          <w:tcPr>
            <w:tcW w:w="0" w:type="auto"/>
            <w:vAlign w:val="center"/>
            <w:hideMark/>
          </w:tcPr>
          <w:p w14:paraId="3A8CBC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Cumplimiento de obligación legal</w:t>
            </w:r>
          </w:p>
        </w:tc>
        <w:tc>
          <w:tcPr>
            <w:tcW w:w="0" w:type="auto"/>
            <w:vAlign w:val="center"/>
            <w:hideMark/>
          </w:tcPr>
          <w:p w14:paraId="4419BA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procesos de reportería</w:t>
            </w:r>
          </w:p>
        </w:tc>
      </w:tr>
      <w:tr w:rsidR="000444D1" w:rsidRPr="000444D1" w14:paraId="1094D791" w14:textId="77777777">
        <w:trPr>
          <w:tblCellSpacing w:w="15" w:type="dxa"/>
        </w:trPr>
        <w:tc>
          <w:tcPr>
            <w:tcW w:w="0" w:type="auto"/>
            <w:vAlign w:val="center"/>
            <w:hideMark/>
          </w:tcPr>
          <w:p w14:paraId="0D30A0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Cesión de datos a un tercero Open Finance</w:t>
            </w:r>
          </w:p>
        </w:tc>
        <w:tc>
          <w:tcPr>
            <w:tcW w:w="0" w:type="auto"/>
            <w:vAlign w:val="center"/>
            <w:hideMark/>
          </w:tcPr>
          <w:p w14:paraId="1D7FE6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Consentimiento</w:t>
            </w:r>
            <w:r w:rsidRPr="000444D1">
              <w:rPr>
                <w:rFonts w:ascii="Times New Roman" w:eastAsia="Times New Roman" w:hAnsi="Times New Roman" w:cs="Times New Roman"/>
                <w:kern w:val="0"/>
                <w14:ligatures w14:val="none"/>
              </w:rPr>
              <w:t xml:space="preserve"> explícito, granular y revocable</w:t>
            </w:r>
          </w:p>
        </w:tc>
        <w:tc>
          <w:tcPr>
            <w:tcW w:w="0" w:type="auto"/>
            <w:vAlign w:val="center"/>
            <w:hideMark/>
          </w:tcPr>
          <w:p w14:paraId="4EC257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w:t>
            </w:r>
          </w:p>
        </w:tc>
      </w:tr>
      <w:tr w:rsidR="000444D1" w:rsidRPr="000444D1" w14:paraId="69E40441" w14:textId="77777777">
        <w:trPr>
          <w:tblCellSpacing w:w="15" w:type="dxa"/>
        </w:trPr>
        <w:tc>
          <w:tcPr>
            <w:tcW w:w="0" w:type="auto"/>
            <w:vAlign w:val="center"/>
            <w:hideMark/>
          </w:tcPr>
          <w:p w14:paraId="391E9B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de riesgo crediticio para originación</w:t>
            </w:r>
          </w:p>
        </w:tc>
        <w:tc>
          <w:tcPr>
            <w:tcW w:w="0" w:type="auto"/>
            <w:vAlign w:val="center"/>
            <w:hideMark/>
          </w:tcPr>
          <w:p w14:paraId="6651EE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Ejecución precontractual a solicitud del titular</w:t>
            </w:r>
          </w:p>
        </w:tc>
        <w:tc>
          <w:tcPr>
            <w:tcW w:w="0" w:type="auto"/>
            <w:vAlign w:val="center"/>
            <w:hideMark/>
          </w:tcPr>
          <w:p w14:paraId="7032DA0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D6</w:t>
            </w:r>
          </w:p>
        </w:tc>
      </w:tr>
      <w:tr w:rsidR="000444D1" w:rsidRPr="000444D1" w14:paraId="63EF5281" w14:textId="77777777">
        <w:trPr>
          <w:tblCellSpacing w:w="15" w:type="dxa"/>
        </w:trPr>
        <w:tc>
          <w:tcPr>
            <w:tcW w:w="0" w:type="auto"/>
            <w:vAlign w:val="center"/>
            <w:hideMark/>
          </w:tcPr>
          <w:p w14:paraId="6B8422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Analítica y mejora de modelos</w:t>
            </w:r>
          </w:p>
        </w:tc>
        <w:tc>
          <w:tcPr>
            <w:tcW w:w="0" w:type="auto"/>
            <w:vAlign w:val="center"/>
            <w:hideMark/>
          </w:tcPr>
          <w:p w14:paraId="47220B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Interés legítimo, sobre datos seudonimizados</w:t>
            </w:r>
          </w:p>
        </w:tc>
        <w:tc>
          <w:tcPr>
            <w:tcW w:w="0" w:type="auto"/>
            <w:vAlign w:val="center"/>
            <w:hideMark/>
          </w:tcPr>
          <w:p w14:paraId="001FED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Canalización analítica</w:t>
            </w:r>
          </w:p>
        </w:tc>
      </w:tr>
    </w:tbl>
    <w:p w14:paraId="6F3D149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distinción importa en el diseño: </w:t>
      </w:r>
      <w:r w:rsidRPr="000444D1">
        <w:rPr>
          <w:rFonts w:ascii="Times New Roman" w:eastAsia="Times New Roman" w:hAnsi="Times New Roman" w:cs="Times New Roman"/>
          <w:b/>
          <w:bCs/>
          <w:kern w:val="0"/>
          <w14:ligatures w14:val="none"/>
        </w:rPr>
        <w:t>el único tratamiento que depende de consentimiento es la cesión a terceros</w:t>
      </w:r>
      <w:r w:rsidRPr="000444D1">
        <w:rPr>
          <w:rFonts w:ascii="Times New Roman" w:eastAsia="Times New Roman" w:hAnsi="Times New Roman" w:cs="Times New Roman"/>
          <w:kern w:val="0"/>
          <w14:ligatures w14:val="none"/>
        </w:rPr>
        <w:t>. Confundir esto y pedir consentimiento para ejecutar un pago sería un error jurídico y operativo, porque implicaría que el titular puede revocar la base que sostiene su propio contrato. Por eso D7 gobierna exclusivamente el ámbito Open Finance y no interviene en la operativa propia.</w:t>
      </w:r>
    </w:p>
    <w:p w14:paraId="154B415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13.4 Derechos del titular y su ejercicio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4605"/>
        <w:gridCol w:w="2437"/>
      </w:tblGrid>
      <w:tr w:rsidR="000444D1" w:rsidRPr="000444D1" w14:paraId="0B053AB2" w14:textId="77777777">
        <w:trPr>
          <w:tblHeader/>
          <w:tblCellSpacing w:w="15" w:type="dxa"/>
        </w:trPr>
        <w:tc>
          <w:tcPr>
            <w:tcW w:w="0" w:type="auto"/>
            <w:vAlign w:val="center"/>
            <w:hideMark/>
          </w:tcPr>
          <w:p w14:paraId="03167CB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Derecho</w:t>
            </w:r>
          </w:p>
        </w:tc>
        <w:tc>
          <w:tcPr>
            <w:tcW w:w="0" w:type="auto"/>
            <w:vAlign w:val="center"/>
            <w:hideMark/>
          </w:tcPr>
          <w:p w14:paraId="10BAAD8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Cómo se satisface</w:t>
            </w:r>
          </w:p>
        </w:tc>
        <w:tc>
          <w:tcPr>
            <w:tcW w:w="0" w:type="auto"/>
            <w:vAlign w:val="center"/>
            <w:hideMark/>
          </w:tcPr>
          <w:p w14:paraId="64A0E1D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r>
      <w:tr w:rsidR="000444D1" w:rsidRPr="000444D1" w14:paraId="513E64E2" w14:textId="77777777">
        <w:trPr>
          <w:tblCellSpacing w:w="15" w:type="dxa"/>
        </w:trPr>
        <w:tc>
          <w:tcPr>
            <w:tcW w:w="0" w:type="auto"/>
            <w:vAlign w:val="center"/>
            <w:hideMark/>
          </w:tcPr>
          <w:p w14:paraId="62A971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Información</w:t>
            </w:r>
          </w:p>
        </w:tc>
        <w:tc>
          <w:tcPr>
            <w:tcW w:w="0" w:type="auto"/>
            <w:vAlign w:val="center"/>
            <w:hideMark/>
          </w:tcPr>
          <w:p w14:paraId="197881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Aviso de privacidad versionado, conservado con cada consentimiento</w:t>
            </w:r>
          </w:p>
        </w:tc>
        <w:tc>
          <w:tcPr>
            <w:tcW w:w="0" w:type="auto"/>
            <w:vAlign w:val="center"/>
            <w:hideMark/>
          </w:tcPr>
          <w:p w14:paraId="3F12D9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w:t>
            </w:r>
          </w:p>
        </w:tc>
      </w:tr>
      <w:tr w:rsidR="000444D1" w:rsidRPr="000444D1" w14:paraId="04A1EBE7" w14:textId="77777777">
        <w:trPr>
          <w:tblCellSpacing w:w="15" w:type="dxa"/>
        </w:trPr>
        <w:tc>
          <w:tcPr>
            <w:tcW w:w="0" w:type="auto"/>
            <w:vAlign w:val="center"/>
            <w:hideMark/>
          </w:tcPr>
          <w:p w14:paraId="61B116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Acceso</w:t>
            </w:r>
          </w:p>
        </w:tc>
        <w:tc>
          <w:tcPr>
            <w:tcW w:w="0" w:type="auto"/>
            <w:vAlign w:val="center"/>
            <w:hideMark/>
          </w:tcPr>
          <w:p w14:paraId="61B93B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datos tratados y del registro de quién accedió a ellos, incluidos los terceros</w:t>
            </w:r>
          </w:p>
        </w:tc>
        <w:tc>
          <w:tcPr>
            <w:tcW w:w="0" w:type="auto"/>
            <w:vAlign w:val="center"/>
            <w:hideMark/>
          </w:tcPr>
          <w:p w14:paraId="1A3F2C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y D8</w:t>
            </w:r>
          </w:p>
        </w:tc>
      </w:tr>
      <w:tr w:rsidR="000444D1" w:rsidRPr="000444D1" w14:paraId="6947C555" w14:textId="77777777">
        <w:trPr>
          <w:tblCellSpacing w:w="15" w:type="dxa"/>
        </w:trPr>
        <w:tc>
          <w:tcPr>
            <w:tcW w:w="0" w:type="auto"/>
            <w:vAlign w:val="center"/>
            <w:hideMark/>
          </w:tcPr>
          <w:p w14:paraId="52E3A4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Rectificación y actualización</w:t>
            </w:r>
          </w:p>
        </w:tc>
        <w:tc>
          <w:tcPr>
            <w:tcW w:w="0" w:type="auto"/>
            <w:vAlign w:val="center"/>
            <w:hideMark/>
          </w:tcPr>
          <w:p w14:paraId="0229D8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Solicitud sobre el system of record correspondiente; se propaga por evento </w:t>
            </w:r>
            <w:r w:rsidRPr="000444D1">
              <w:rPr>
                <w:rFonts w:ascii="Courier New" w:eastAsia="Times New Roman" w:hAnsi="Courier New" w:cs="Courier New"/>
                <w:kern w:val="0"/>
                <w:sz w:val="20"/>
                <w:szCs w:val="20"/>
                <w14:ligatures w14:val="none"/>
              </w:rPr>
              <w:t>cliente.datos-actualizados</w:t>
            </w:r>
          </w:p>
        </w:tc>
        <w:tc>
          <w:tcPr>
            <w:tcW w:w="0" w:type="auto"/>
            <w:vAlign w:val="center"/>
            <w:hideMark/>
          </w:tcPr>
          <w:p w14:paraId="1A73D8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 y core propietario</w:t>
            </w:r>
          </w:p>
        </w:tc>
      </w:tr>
      <w:tr w:rsidR="000444D1" w:rsidRPr="000444D1" w14:paraId="1F54A3A2" w14:textId="77777777">
        <w:trPr>
          <w:tblCellSpacing w:w="15" w:type="dxa"/>
        </w:trPr>
        <w:tc>
          <w:tcPr>
            <w:tcW w:w="0" w:type="auto"/>
            <w:vAlign w:val="center"/>
            <w:hideMark/>
          </w:tcPr>
          <w:p w14:paraId="016A47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Eliminación</w:t>
            </w:r>
          </w:p>
        </w:tc>
        <w:tc>
          <w:tcPr>
            <w:tcW w:w="0" w:type="auto"/>
            <w:vAlign w:val="center"/>
            <w:hideMark/>
          </w:tcPr>
          <w:p w14:paraId="654558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Supresión sujeta a los plazos de retención regulatoria: los datos con obligación legal de conservación no se eliminan, se bloquean</w:t>
            </w:r>
          </w:p>
        </w:tc>
        <w:tc>
          <w:tcPr>
            <w:tcW w:w="0" w:type="auto"/>
            <w:vAlign w:val="center"/>
            <w:hideMark/>
          </w:tcPr>
          <w:p w14:paraId="3067F5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 D8</w:t>
            </w:r>
          </w:p>
        </w:tc>
      </w:tr>
      <w:tr w:rsidR="000444D1" w:rsidRPr="000444D1" w14:paraId="55FE565A" w14:textId="77777777">
        <w:trPr>
          <w:tblCellSpacing w:w="15" w:type="dxa"/>
        </w:trPr>
        <w:tc>
          <w:tcPr>
            <w:tcW w:w="0" w:type="auto"/>
            <w:vAlign w:val="center"/>
            <w:hideMark/>
          </w:tcPr>
          <w:p w14:paraId="0D1644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Oposición</w:t>
            </w:r>
          </w:p>
        </w:tc>
        <w:tc>
          <w:tcPr>
            <w:tcW w:w="0" w:type="auto"/>
            <w:vAlign w:val="center"/>
            <w:hideMark/>
          </w:tcPr>
          <w:p w14:paraId="2A51F3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Cese del tratamiento basado en interés legítimo, cuando procede</w:t>
            </w:r>
          </w:p>
        </w:tc>
        <w:tc>
          <w:tcPr>
            <w:tcW w:w="0" w:type="auto"/>
            <w:vAlign w:val="center"/>
            <w:hideMark/>
          </w:tcPr>
          <w:p w14:paraId="250899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D6, canalización analítica</w:t>
            </w:r>
          </w:p>
        </w:tc>
      </w:tr>
      <w:tr w:rsidR="000444D1" w:rsidRPr="000444D1" w14:paraId="3EB7BE89" w14:textId="77777777">
        <w:trPr>
          <w:tblCellSpacing w:w="15" w:type="dxa"/>
        </w:trPr>
        <w:tc>
          <w:tcPr>
            <w:tcW w:w="0" w:type="auto"/>
            <w:vAlign w:val="center"/>
            <w:hideMark/>
          </w:tcPr>
          <w:p w14:paraId="194396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Portabilidad</w:t>
            </w:r>
          </w:p>
        </w:tc>
        <w:tc>
          <w:tcPr>
            <w:tcW w:w="0" w:type="auto"/>
            <w:vAlign w:val="center"/>
            <w:hideMark/>
          </w:tcPr>
          <w:p w14:paraId="50E27A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Entrega en formato estructurado e interoperable</w:t>
            </w:r>
          </w:p>
        </w:tc>
        <w:tc>
          <w:tcPr>
            <w:tcW w:w="0" w:type="auto"/>
            <w:vAlign w:val="center"/>
            <w:hideMark/>
          </w:tcPr>
          <w:p w14:paraId="1B8B01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reutilizando los esquemas de la API Open Finance</w:t>
            </w:r>
          </w:p>
        </w:tc>
      </w:tr>
      <w:tr w:rsidR="000444D1" w:rsidRPr="000444D1" w14:paraId="251AD308" w14:textId="77777777">
        <w:trPr>
          <w:tblCellSpacing w:w="15" w:type="dxa"/>
        </w:trPr>
        <w:tc>
          <w:tcPr>
            <w:tcW w:w="0" w:type="auto"/>
            <w:vAlign w:val="center"/>
            <w:hideMark/>
          </w:tcPr>
          <w:p w14:paraId="2A155C4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Suspensión del tratamiento</w:t>
            </w:r>
          </w:p>
        </w:tc>
        <w:tc>
          <w:tcPr>
            <w:tcW w:w="0" w:type="auto"/>
            <w:vAlign w:val="center"/>
            <w:hideMark/>
          </w:tcPr>
          <w:p w14:paraId="108290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Marca de suspensión propagada por evento a los consumidores</w:t>
            </w:r>
          </w:p>
        </w:tc>
        <w:tc>
          <w:tcPr>
            <w:tcW w:w="0" w:type="auto"/>
            <w:vAlign w:val="center"/>
            <w:hideMark/>
          </w:tcPr>
          <w:p w14:paraId="7BFC9C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w:t>
            </w:r>
          </w:p>
        </w:tc>
      </w:tr>
      <w:tr w:rsidR="000444D1" w:rsidRPr="000444D1" w14:paraId="6FB82204" w14:textId="77777777">
        <w:trPr>
          <w:tblCellSpacing w:w="15" w:type="dxa"/>
        </w:trPr>
        <w:tc>
          <w:tcPr>
            <w:tcW w:w="0" w:type="auto"/>
            <w:vAlign w:val="center"/>
            <w:hideMark/>
          </w:tcPr>
          <w:p w14:paraId="111EA0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 ser objeto de decisiones automatizadas</w:t>
            </w:r>
          </w:p>
        </w:tc>
        <w:tc>
          <w:tcPr>
            <w:tcW w:w="0" w:type="auto"/>
            <w:vAlign w:val="center"/>
            <w:hideMark/>
          </w:tcPr>
          <w:p w14:paraId="5EFCD9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 13.5</w:t>
            </w:r>
          </w:p>
        </w:tc>
        <w:tc>
          <w:tcPr>
            <w:tcW w:w="0" w:type="auto"/>
            <w:vAlign w:val="center"/>
            <w:hideMark/>
          </w:tcPr>
          <w:p w14:paraId="252DF9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w:t>
            </w:r>
          </w:p>
        </w:tc>
      </w:tr>
    </w:tbl>
    <w:p w14:paraId="05FDD96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La tensión entre eliminación y retención regulatoria es real y hay que declararla.</w:t>
      </w:r>
      <w:r w:rsidRPr="000444D1">
        <w:rPr>
          <w:rFonts w:ascii="Times New Roman" w:eastAsia="Times New Roman" w:hAnsi="Times New Roman" w:cs="Times New Roman"/>
          <w:kern w:val="0"/>
          <w14:ligatures w14:val="none"/>
        </w:rPr>
        <w:t xml:space="preserve"> El titular puede solicitar la eliminación de sus datos, y el banco tiene obligación de conservar registros de operaciones durante años. La resolución no es elegir una obligación sobre la otra, sino distinguir </w:t>
      </w:r>
      <w:r w:rsidRPr="000444D1">
        <w:rPr>
          <w:rFonts w:ascii="Times New Roman" w:eastAsia="Times New Roman" w:hAnsi="Times New Roman" w:cs="Times New Roman"/>
          <w:b/>
          <w:bCs/>
          <w:kern w:val="0"/>
          <w14:ligatures w14:val="none"/>
        </w:rPr>
        <w:t>eliminación</w:t>
      </w:r>
      <w:r w:rsidRPr="000444D1">
        <w:rPr>
          <w:rFonts w:ascii="Times New Roman" w:eastAsia="Times New Roman" w:hAnsi="Times New Roman" w:cs="Times New Roman"/>
          <w:kern w:val="0"/>
          <w14:ligatures w14:val="none"/>
        </w:rPr>
        <w:t xml:space="preserve"> de </w:t>
      </w:r>
      <w:r w:rsidRPr="000444D1">
        <w:rPr>
          <w:rFonts w:ascii="Times New Roman" w:eastAsia="Times New Roman" w:hAnsi="Times New Roman" w:cs="Times New Roman"/>
          <w:b/>
          <w:bCs/>
          <w:kern w:val="0"/>
          <w14:ligatures w14:val="none"/>
        </w:rPr>
        <w:t>bloqueo</w:t>
      </w:r>
      <w:r w:rsidRPr="000444D1">
        <w:rPr>
          <w:rFonts w:ascii="Times New Roman" w:eastAsia="Times New Roman" w:hAnsi="Times New Roman" w:cs="Times New Roman"/>
          <w:kern w:val="0"/>
          <w14:ligatures w14:val="none"/>
        </w:rPr>
        <w:t>: los datos sujetos a conservación legal dejan de ser accesibles para cualquier finalidad operativa y quedan reservados exclusivamente a requerimiento de autoridad. En el diseño, esto se implementa como un estado del dato en D1 que los consumidores respetan, no como un borrado físico en D8, cuyo almacén es de escritura única por diseño.</w:t>
      </w:r>
    </w:p>
    <w:p w14:paraId="768B330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13.5 Decisiones automatizadas: el motor de fraude</w:t>
      </w:r>
    </w:p>
    <w:p w14:paraId="5531FDE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LOPDP reconoce al titular el derecho a no ser objeto de decisiones basadas únicamente en tratamientos automatizados que produzcan efectos jurídicos o le afecten significativamente. </w:t>
      </w:r>
      <w:r w:rsidRPr="000444D1">
        <w:rPr>
          <w:rFonts w:ascii="Times New Roman" w:eastAsia="Times New Roman" w:hAnsi="Times New Roman" w:cs="Times New Roman"/>
          <w:b/>
          <w:bCs/>
          <w:kern w:val="0"/>
          <w14:ligatures w14:val="none"/>
        </w:rPr>
        <w:t>El motor de fraude del ADR-005 es exactamente eso</w:t>
      </w:r>
      <w:r w:rsidRPr="000444D1">
        <w:rPr>
          <w:rFonts w:ascii="Times New Roman" w:eastAsia="Times New Roman" w:hAnsi="Times New Roman" w:cs="Times New Roman"/>
          <w:kern w:val="0"/>
          <w14:ligatures w14:val="none"/>
        </w:rPr>
        <w:t>: rechaza operaciones de forma automática, sin intervención humana, y el rechazo afecta significativamente al titular.</w:t>
      </w:r>
    </w:p>
    <w:p w14:paraId="79E700C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Este punto suele pasarse por alto en diseños de este tipo, y sin embargo es una de las intersecciones más claras entre arquitectura y normativa en el escenario planteado. El diseño lo aborda con tres elementos: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7445"/>
      </w:tblGrid>
      <w:tr w:rsidR="000444D1" w:rsidRPr="000444D1" w14:paraId="0FE7E080" w14:textId="77777777">
        <w:trPr>
          <w:tblHeader/>
          <w:tblCellSpacing w:w="15" w:type="dxa"/>
        </w:trPr>
        <w:tc>
          <w:tcPr>
            <w:tcW w:w="0" w:type="auto"/>
            <w:vAlign w:val="center"/>
            <w:hideMark/>
          </w:tcPr>
          <w:p w14:paraId="2E16AFE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Elemento</w:t>
            </w:r>
          </w:p>
        </w:tc>
        <w:tc>
          <w:tcPr>
            <w:tcW w:w="0" w:type="auto"/>
            <w:vAlign w:val="center"/>
            <w:hideMark/>
          </w:tcPr>
          <w:p w14:paraId="376745A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Implementación</w:t>
            </w:r>
          </w:p>
        </w:tc>
      </w:tr>
      <w:tr w:rsidR="000444D1" w:rsidRPr="000444D1" w14:paraId="13DD651D" w14:textId="77777777">
        <w:trPr>
          <w:tblCellSpacing w:w="15" w:type="dxa"/>
        </w:trPr>
        <w:tc>
          <w:tcPr>
            <w:tcW w:w="0" w:type="auto"/>
            <w:vAlign w:val="center"/>
            <w:hideMark/>
          </w:tcPr>
          <w:p w14:paraId="4D9C57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Trazabilidad de la decisión</w:t>
            </w:r>
          </w:p>
        </w:tc>
        <w:tc>
          <w:tcPr>
            <w:tcW w:w="0" w:type="auto"/>
            <w:vAlign w:val="center"/>
            <w:hideMark/>
          </w:tcPr>
          <w:p w14:paraId="01CC40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rechazo automático se registra en D8 con el veredicto, el puntaje y la versión del modelo aplicada. Sin esto, la decisión es inexplicable e indefendible</w:t>
            </w:r>
          </w:p>
        </w:tc>
      </w:tr>
      <w:tr w:rsidR="000444D1" w:rsidRPr="000444D1" w14:paraId="1E49532E" w14:textId="77777777">
        <w:trPr>
          <w:tblCellSpacing w:w="15" w:type="dxa"/>
        </w:trPr>
        <w:tc>
          <w:tcPr>
            <w:tcW w:w="0" w:type="auto"/>
            <w:vAlign w:val="center"/>
            <w:hideMark/>
          </w:tcPr>
          <w:p w14:paraId="2F7CCF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Vía de revisión humana</w:t>
            </w:r>
          </w:p>
        </w:tc>
        <w:tc>
          <w:tcPr>
            <w:tcW w:w="0" w:type="auto"/>
            <w:vAlign w:val="center"/>
            <w:hideMark/>
          </w:tcPr>
          <w:p w14:paraId="6220C5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rechazo por fraude genera un caso revisable por un analista, y el titular puede solicitar esa revisión. La decisión automática es reversible, no definitiva</w:t>
            </w:r>
          </w:p>
        </w:tc>
      </w:tr>
      <w:tr w:rsidR="000444D1" w:rsidRPr="000444D1" w14:paraId="44D66797" w14:textId="77777777">
        <w:trPr>
          <w:tblCellSpacing w:w="15" w:type="dxa"/>
        </w:trPr>
        <w:tc>
          <w:tcPr>
            <w:tcW w:w="0" w:type="auto"/>
            <w:vAlign w:val="center"/>
            <w:hideMark/>
          </w:tcPr>
          <w:p w14:paraId="7E08C1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Información al titular</w:t>
            </w:r>
          </w:p>
        </w:tc>
        <w:tc>
          <w:tcPr>
            <w:tcW w:w="0" w:type="auto"/>
            <w:vAlign w:val="center"/>
            <w:hideMark/>
          </w:tcPr>
          <w:p w14:paraId="3105C1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mensaje de rechazo indica que la operación fue detenida por un control de seguridad y cómo solicitar revisión, sin revelar las reglas del modelo — cuya divulgación facilitaría eludirlo</w:t>
            </w:r>
          </w:p>
        </w:tc>
      </w:tr>
    </w:tbl>
    <w:p w14:paraId="7050EEE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campo </w:t>
      </w:r>
      <w:r w:rsidRPr="000444D1">
        <w:rPr>
          <w:rFonts w:ascii="Courier New" w:eastAsia="Times New Roman" w:hAnsi="Courier New" w:cs="Courier New"/>
          <w:kern w:val="0"/>
          <w:sz w:val="20"/>
          <w:szCs w:val="20"/>
          <w14:ligatures w14:val="none"/>
        </w:rPr>
        <w:t>veredictoFraude</w:t>
      </w:r>
      <w:r w:rsidRPr="000444D1">
        <w:rPr>
          <w:rFonts w:ascii="Times New Roman" w:eastAsia="Times New Roman" w:hAnsi="Times New Roman" w:cs="Times New Roman"/>
          <w:kern w:val="0"/>
          <w14:ligatures w14:val="none"/>
        </w:rPr>
        <w:t xml:space="preserve"> del evento </w:t>
      </w:r>
      <w:r w:rsidRPr="000444D1">
        <w:rPr>
          <w:rFonts w:ascii="Courier New" w:eastAsia="Times New Roman" w:hAnsi="Courier New" w:cs="Courier New"/>
          <w:kern w:val="0"/>
          <w:sz w:val="20"/>
          <w:szCs w:val="20"/>
          <w14:ligatures w14:val="none"/>
        </w:rPr>
        <w:t>pago.ejecutado</w:t>
      </w:r>
      <w:r w:rsidRPr="000444D1">
        <w:rPr>
          <w:rFonts w:ascii="Times New Roman" w:eastAsia="Times New Roman" w:hAnsi="Times New Roman" w:cs="Times New Roman"/>
          <w:kern w:val="0"/>
          <w14:ligatures w14:val="none"/>
        </w:rPr>
        <w:t xml:space="preserve">, que distingue </w:t>
      </w:r>
      <w:r w:rsidRPr="000444D1">
        <w:rPr>
          <w:rFonts w:ascii="Courier New" w:eastAsia="Times New Roman" w:hAnsi="Courier New" w:cs="Courier New"/>
          <w:kern w:val="0"/>
          <w:sz w:val="20"/>
          <w:szCs w:val="20"/>
          <w14:ligatures w14:val="none"/>
        </w:rPr>
        <w:t>aprobado</w:t>
      </w:r>
      <w:r w:rsidRPr="000444D1">
        <w:rPr>
          <w:rFonts w:ascii="Times New Roman" w:eastAsia="Times New Roman" w:hAnsi="Times New Roman" w:cs="Times New Roman"/>
          <w:kern w:val="0"/>
          <w14:ligatures w14:val="none"/>
        </w:rPr>
        <w:t xml:space="preserve"> de </w:t>
      </w:r>
      <w:r w:rsidRPr="000444D1">
        <w:rPr>
          <w:rFonts w:ascii="Courier New" w:eastAsia="Times New Roman" w:hAnsi="Courier New" w:cs="Courier New"/>
          <w:kern w:val="0"/>
          <w:sz w:val="20"/>
          <w:szCs w:val="20"/>
          <w14:ligatures w14:val="none"/>
        </w:rPr>
        <w:t>aprobado_por_degradacion</w:t>
      </w:r>
      <w:r w:rsidRPr="000444D1">
        <w:rPr>
          <w:rFonts w:ascii="Times New Roman" w:eastAsia="Times New Roman" w:hAnsi="Times New Roman" w:cs="Times New Roman"/>
          <w:kern w:val="0"/>
          <w14:ligatures w14:val="none"/>
        </w:rPr>
        <w:t xml:space="preserve"> (sección 12.7), cumple aquí una segunda función además de la operativa: permite identificar qué operaciones se autorizaron sin evaluación efectiva durante una indisponibilidad del motor, lo que es información relevante tanto para riesgos como para una eventual auditoría de cumplimiento.</w:t>
      </w:r>
    </w:p>
    <w:p w14:paraId="6BEA3F6D"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13.6 Tabla de controles de seguridad</w:t>
      </w:r>
    </w:p>
    <w:p w14:paraId="1490304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Cada control indica la amenaza que mitiga y </w:t>
      </w:r>
      <w:r w:rsidRPr="000444D1">
        <w:rPr>
          <w:rFonts w:ascii="Times New Roman" w:eastAsia="Times New Roman" w:hAnsi="Times New Roman" w:cs="Times New Roman"/>
          <w:b/>
          <w:bCs/>
          <w:kern w:val="0"/>
          <w14:ligatures w14:val="none"/>
        </w:rPr>
        <w:t>el componente en el que reside</w:t>
      </w:r>
      <w:r w:rsidRPr="000444D1">
        <w:rPr>
          <w:rFonts w:ascii="Times New Roman" w:eastAsia="Times New Roman" w:hAnsi="Times New Roman" w:cs="Times New Roman"/>
          <w:kern w:val="0"/>
          <w14:ligatures w14:val="none"/>
        </w:rPr>
        <w:t>. La columna de ubicación es lo que convierte esta tabla en un elemento de arquitectura y no en una lista genérica.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
        <w:gridCol w:w="3540"/>
        <w:gridCol w:w="2751"/>
        <w:gridCol w:w="2685"/>
      </w:tblGrid>
      <w:tr w:rsidR="000444D1" w:rsidRPr="000444D1" w14:paraId="420422D3" w14:textId="77777777">
        <w:trPr>
          <w:tblHeader/>
          <w:tblCellSpacing w:w="15" w:type="dxa"/>
        </w:trPr>
        <w:tc>
          <w:tcPr>
            <w:tcW w:w="0" w:type="auto"/>
            <w:vAlign w:val="center"/>
            <w:hideMark/>
          </w:tcPr>
          <w:p w14:paraId="7A9830F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3B9B372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Control</w:t>
            </w:r>
          </w:p>
        </w:tc>
        <w:tc>
          <w:tcPr>
            <w:tcW w:w="0" w:type="auto"/>
            <w:vAlign w:val="center"/>
            <w:hideMark/>
          </w:tcPr>
          <w:p w14:paraId="4CA0326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Amenaza mitigada</w:t>
            </w:r>
          </w:p>
        </w:tc>
        <w:tc>
          <w:tcPr>
            <w:tcW w:w="0" w:type="auto"/>
            <w:vAlign w:val="center"/>
            <w:hideMark/>
          </w:tcPr>
          <w:p w14:paraId="38B9913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Ubicación en la arquitectura</w:t>
            </w:r>
          </w:p>
        </w:tc>
      </w:tr>
      <w:tr w:rsidR="000444D1" w:rsidRPr="000444D1" w14:paraId="256B57B2" w14:textId="77777777">
        <w:trPr>
          <w:tblCellSpacing w:w="15" w:type="dxa"/>
        </w:trPr>
        <w:tc>
          <w:tcPr>
            <w:tcW w:w="0" w:type="auto"/>
            <w:vAlign w:val="center"/>
            <w:hideMark/>
          </w:tcPr>
          <w:p w14:paraId="33B8D5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C-01</w:t>
            </w:r>
          </w:p>
        </w:tc>
        <w:tc>
          <w:tcPr>
            <w:tcW w:w="0" w:type="auto"/>
            <w:vAlign w:val="center"/>
            <w:hideMark/>
          </w:tcPr>
          <w:p w14:paraId="54E5D8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Autenticación mutua TLS y token vinculado al certificado</w:t>
            </w:r>
          </w:p>
        </w:tc>
        <w:tc>
          <w:tcPr>
            <w:tcW w:w="0" w:type="auto"/>
            <w:vAlign w:val="center"/>
            <w:hideMark/>
          </w:tcPr>
          <w:p w14:paraId="10A1CD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Suplantación de un tercero autorizado</w:t>
            </w:r>
          </w:p>
        </w:tc>
        <w:tc>
          <w:tcPr>
            <w:tcW w:w="0" w:type="auto"/>
            <w:vAlign w:val="center"/>
            <w:hideMark/>
          </w:tcPr>
          <w:p w14:paraId="2A4EA06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w:t>
            </w:r>
          </w:p>
        </w:tc>
      </w:tr>
      <w:tr w:rsidR="000444D1" w:rsidRPr="000444D1" w14:paraId="6275ABB0" w14:textId="77777777">
        <w:trPr>
          <w:tblCellSpacing w:w="15" w:type="dxa"/>
        </w:trPr>
        <w:tc>
          <w:tcPr>
            <w:tcW w:w="0" w:type="auto"/>
            <w:vAlign w:val="center"/>
            <w:hideMark/>
          </w:tcPr>
          <w:p w14:paraId="221012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C-02</w:t>
            </w:r>
          </w:p>
        </w:tc>
        <w:tc>
          <w:tcPr>
            <w:tcW w:w="0" w:type="auto"/>
            <w:vAlign w:val="center"/>
            <w:hideMark/>
          </w:tcPr>
          <w:p w14:paraId="5DAEBCE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Perfil FAPI: alcances OAuth por operación, identificador de interacción</w:t>
            </w:r>
          </w:p>
        </w:tc>
        <w:tc>
          <w:tcPr>
            <w:tcW w:w="0" w:type="auto"/>
            <w:vAlign w:val="center"/>
            <w:hideMark/>
          </w:tcPr>
          <w:p w14:paraId="139105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Uso del token fuera del alcance consentido</w:t>
            </w:r>
          </w:p>
        </w:tc>
        <w:tc>
          <w:tcPr>
            <w:tcW w:w="0" w:type="auto"/>
            <w:vAlign w:val="center"/>
            <w:hideMark/>
          </w:tcPr>
          <w:p w14:paraId="3D9043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 + IdP</w:t>
            </w:r>
          </w:p>
        </w:tc>
      </w:tr>
      <w:tr w:rsidR="000444D1" w:rsidRPr="000444D1" w14:paraId="39E5BB7C" w14:textId="77777777">
        <w:trPr>
          <w:tblCellSpacing w:w="15" w:type="dxa"/>
        </w:trPr>
        <w:tc>
          <w:tcPr>
            <w:tcW w:w="0" w:type="auto"/>
            <w:vAlign w:val="center"/>
            <w:hideMark/>
          </w:tcPr>
          <w:p w14:paraId="57487B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C-03</w:t>
            </w:r>
          </w:p>
        </w:tc>
        <w:tc>
          <w:tcPr>
            <w:tcW w:w="0" w:type="auto"/>
            <w:vAlign w:val="center"/>
            <w:hideMark/>
          </w:tcPr>
          <w:p w14:paraId="12C0FF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Validación de consentimiento vigente en cada petición</w:t>
            </w:r>
          </w:p>
        </w:tc>
        <w:tc>
          <w:tcPr>
            <w:tcW w:w="0" w:type="auto"/>
            <w:vAlign w:val="center"/>
            <w:hideMark/>
          </w:tcPr>
          <w:p w14:paraId="111957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con consentimiento revocado y token aún válido</w:t>
            </w:r>
          </w:p>
        </w:tc>
        <w:tc>
          <w:tcPr>
            <w:tcW w:w="0" w:type="auto"/>
            <w:vAlign w:val="center"/>
            <w:hideMark/>
          </w:tcPr>
          <w:p w14:paraId="142DBE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 → D7</w:t>
            </w:r>
          </w:p>
        </w:tc>
      </w:tr>
      <w:tr w:rsidR="000444D1" w:rsidRPr="000444D1" w14:paraId="5FEAD7DC" w14:textId="77777777">
        <w:trPr>
          <w:tblCellSpacing w:w="15" w:type="dxa"/>
        </w:trPr>
        <w:tc>
          <w:tcPr>
            <w:tcW w:w="0" w:type="auto"/>
            <w:vAlign w:val="center"/>
            <w:hideMark/>
          </w:tcPr>
          <w:p w14:paraId="3D5656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C-04</w:t>
            </w:r>
          </w:p>
        </w:tc>
        <w:tc>
          <w:tcPr>
            <w:tcW w:w="0" w:type="auto"/>
            <w:vAlign w:val="center"/>
            <w:hideMark/>
          </w:tcPr>
          <w:p w14:paraId="3442EB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Autorización por entitlement previa a toda operación sobre cuenta</w:t>
            </w:r>
          </w:p>
        </w:tc>
        <w:tc>
          <w:tcPr>
            <w:tcW w:w="0" w:type="auto"/>
            <w:vAlign w:val="center"/>
            <w:hideMark/>
          </w:tcPr>
          <w:p w14:paraId="065D51D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a cuentas ajenas dentro de una sesión legítima</w:t>
            </w:r>
          </w:p>
        </w:tc>
        <w:tc>
          <w:tcPr>
            <w:tcW w:w="0" w:type="auto"/>
            <w:vAlign w:val="center"/>
            <w:hideMark/>
          </w:tcPr>
          <w:p w14:paraId="4518B5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interno y externo → D9</w:t>
            </w:r>
          </w:p>
        </w:tc>
      </w:tr>
      <w:tr w:rsidR="000444D1" w:rsidRPr="000444D1" w14:paraId="2CE5ADED" w14:textId="77777777">
        <w:trPr>
          <w:tblCellSpacing w:w="15" w:type="dxa"/>
        </w:trPr>
        <w:tc>
          <w:tcPr>
            <w:tcW w:w="0" w:type="auto"/>
            <w:vAlign w:val="center"/>
            <w:hideMark/>
          </w:tcPr>
          <w:p w14:paraId="4F67F7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C-05</w:t>
            </w:r>
          </w:p>
        </w:tc>
        <w:tc>
          <w:tcPr>
            <w:tcW w:w="0" w:type="auto"/>
            <w:vAlign w:val="center"/>
            <w:hideMark/>
          </w:tcPr>
          <w:p w14:paraId="628814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Autenticación multifactor y verificación reforzada en operaciones sensibles</w:t>
            </w:r>
          </w:p>
        </w:tc>
        <w:tc>
          <w:tcPr>
            <w:tcW w:w="0" w:type="auto"/>
            <w:vAlign w:val="center"/>
            <w:hideMark/>
          </w:tcPr>
          <w:p w14:paraId="197EBB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Toma de control de la cuenta</w:t>
            </w:r>
          </w:p>
        </w:tc>
        <w:tc>
          <w:tcPr>
            <w:tcW w:w="0" w:type="auto"/>
            <w:vAlign w:val="center"/>
            <w:hideMark/>
          </w:tcPr>
          <w:p w14:paraId="2DEE60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IdP, invocado desde los BFF</w:t>
            </w:r>
          </w:p>
        </w:tc>
      </w:tr>
      <w:tr w:rsidR="000444D1" w:rsidRPr="000444D1" w14:paraId="15937336" w14:textId="77777777">
        <w:trPr>
          <w:tblCellSpacing w:w="15" w:type="dxa"/>
        </w:trPr>
        <w:tc>
          <w:tcPr>
            <w:tcW w:w="0" w:type="auto"/>
            <w:vAlign w:val="center"/>
            <w:hideMark/>
          </w:tcPr>
          <w:p w14:paraId="024E33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C-06</w:t>
            </w:r>
          </w:p>
        </w:tc>
        <w:tc>
          <w:tcPr>
            <w:tcW w:w="0" w:type="auto"/>
            <w:vAlign w:val="center"/>
            <w:hideMark/>
          </w:tcPr>
          <w:p w14:paraId="0D146D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Identidad de carga de trabajo con certificados de corta duración</w:t>
            </w:r>
          </w:p>
        </w:tc>
        <w:tc>
          <w:tcPr>
            <w:tcW w:w="0" w:type="auto"/>
            <w:vAlign w:val="center"/>
            <w:hideMark/>
          </w:tcPr>
          <w:p w14:paraId="63A9048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Movimiento lateral entre servicios comprometidos</w:t>
            </w:r>
          </w:p>
        </w:tc>
        <w:tc>
          <w:tcPr>
            <w:tcW w:w="0" w:type="auto"/>
            <w:vAlign w:val="center"/>
            <w:hideMark/>
          </w:tcPr>
          <w:p w14:paraId="6620DB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Malla de servicios / IdP de cargas</w:t>
            </w:r>
          </w:p>
        </w:tc>
      </w:tr>
      <w:tr w:rsidR="000444D1" w:rsidRPr="000444D1" w14:paraId="5560CF5A" w14:textId="77777777">
        <w:trPr>
          <w:tblCellSpacing w:w="15" w:type="dxa"/>
        </w:trPr>
        <w:tc>
          <w:tcPr>
            <w:tcW w:w="0" w:type="auto"/>
            <w:vAlign w:val="center"/>
            <w:hideMark/>
          </w:tcPr>
          <w:p w14:paraId="54B7A0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C-07</w:t>
            </w:r>
          </w:p>
        </w:tc>
        <w:tc>
          <w:tcPr>
            <w:tcW w:w="0" w:type="auto"/>
            <w:vAlign w:val="center"/>
            <w:hideMark/>
          </w:tcPr>
          <w:p w14:paraId="23A59A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Cifrado en tránsito TLS 1.3 en todo enlace, incluido el interno</w:t>
            </w:r>
          </w:p>
        </w:tc>
        <w:tc>
          <w:tcPr>
            <w:tcW w:w="0" w:type="auto"/>
            <w:vAlign w:val="center"/>
            <w:hideMark/>
          </w:tcPr>
          <w:p w14:paraId="232FE0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Interceptación en la red interna</w:t>
            </w:r>
          </w:p>
        </w:tc>
        <w:tc>
          <w:tcPr>
            <w:tcW w:w="0" w:type="auto"/>
            <w:vAlign w:val="center"/>
            <w:hideMark/>
          </w:tcPr>
          <w:p w14:paraId="7EB3DE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Todos los enlaces del diagrama 7</w:t>
            </w:r>
          </w:p>
        </w:tc>
      </w:tr>
      <w:tr w:rsidR="000444D1" w:rsidRPr="000444D1" w14:paraId="7E27E7E4" w14:textId="77777777">
        <w:trPr>
          <w:tblCellSpacing w:w="15" w:type="dxa"/>
        </w:trPr>
        <w:tc>
          <w:tcPr>
            <w:tcW w:w="0" w:type="auto"/>
            <w:vAlign w:val="center"/>
            <w:hideMark/>
          </w:tcPr>
          <w:p w14:paraId="7DFF94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C-08</w:t>
            </w:r>
          </w:p>
        </w:tc>
        <w:tc>
          <w:tcPr>
            <w:tcW w:w="0" w:type="auto"/>
            <w:vAlign w:val="center"/>
            <w:hideMark/>
          </w:tcPr>
          <w:p w14:paraId="50FB4B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Cifrado en reposo con claves gestionadas en módulo de seguridad</w:t>
            </w:r>
          </w:p>
        </w:tc>
        <w:tc>
          <w:tcPr>
            <w:tcW w:w="0" w:type="auto"/>
            <w:vAlign w:val="center"/>
            <w:hideMark/>
          </w:tcPr>
          <w:p w14:paraId="537ABA0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Exfiltración desde el almacenamiento</w:t>
            </w:r>
          </w:p>
        </w:tc>
        <w:tc>
          <w:tcPr>
            <w:tcW w:w="0" w:type="auto"/>
            <w:vAlign w:val="center"/>
            <w:hideMark/>
          </w:tcPr>
          <w:p w14:paraId="263FF1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Almacenes de D2, D4, D7, D8, D9 y bus de eventos</w:t>
            </w:r>
          </w:p>
        </w:tc>
      </w:tr>
      <w:tr w:rsidR="000444D1" w:rsidRPr="000444D1" w14:paraId="00FAA3E3" w14:textId="77777777">
        <w:trPr>
          <w:tblCellSpacing w:w="15" w:type="dxa"/>
        </w:trPr>
        <w:tc>
          <w:tcPr>
            <w:tcW w:w="0" w:type="auto"/>
            <w:vAlign w:val="center"/>
            <w:hideMark/>
          </w:tcPr>
          <w:p w14:paraId="5BF818C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C-09</w:t>
            </w:r>
          </w:p>
        </w:tc>
        <w:tc>
          <w:tcPr>
            <w:tcW w:w="0" w:type="auto"/>
            <w:vAlign w:val="center"/>
            <w:hideMark/>
          </w:tcPr>
          <w:p w14:paraId="57DC5DC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Tokenización de números de tarjeta</w:t>
            </w:r>
          </w:p>
        </w:tc>
        <w:tc>
          <w:tcPr>
            <w:tcW w:w="0" w:type="auto"/>
            <w:vAlign w:val="center"/>
            <w:hideMark/>
          </w:tcPr>
          <w:p w14:paraId="3C070F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Exposición de datos de tarjeta; reducción del alcance PCI</w:t>
            </w:r>
          </w:p>
        </w:tc>
        <w:tc>
          <w:tcPr>
            <w:tcW w:w="0" w:type="auto"/>
            <w:vAlign w:val="center"/>
            <w:hideMark/>
          </w:tcPr>
          <w:p w14:paraId="75DB81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Adaptador de redes de pago</w:t>
            </w:r>
          </w:p>
        </w:tc>
      </w:tr>
      <w:tr w:rsidR="000444D1" w:rsidRPr="000444D1" w14:paraId="71AC5252" w14:textId="77777777">
        <w:trPr>
          <w:tblCellSpacing w:w="15" w:type="dxa"/>
        </w:trPr>
        <w:tc>
          <w:tcPr>
            <w:tcW w:w="0" w:type="auto"/>
            <w:vAlign w:val="center"/>
            <w:hideMark/>
          </w:tcPr>
          <w:p w14:paraId="2A6DE5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C-10</w:t>
            </w:r>
          </w:p>
        </w:tc>
        <w:tc>
          <w:tcPr>
            <w:tcW w:w="0" w:type="auto"/>
            <w:vAlign w:val="center"/>
            <w:hideMark/>
          </w:tcPr>
          <w:p w14:paraId="551B74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Enmascaramiento de datos personales en registros y trazas</w:t>
            </w:r>
          </w:p>
        </w:tc>
        <w:tc>
          <w:tcPr>
            <w:tcW w:w="0" w:type="auto"/>
            <w:vAlign w:val="center"/>
            <w:hideMark/>
          </w:tcPr>
          <w:p w14:paraId="195A7D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Fuga por telemetría y por acceso de personal técnico</w:t>
            </w:r>
          </w:p>
        </w:tc>
        <w:tc>
          <w:tcPr>
            <w:tcW w:w="0" w:type="auto"/>
            <w:vAlign w:val="center"/>
            <w:hideMark/>
          </w:tcPr>
          <w:p w14:paraId="3F95D22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Biblioteca compartida de observabilidad (sección 18)</w:t>
            </w:r>
          </w:p>
        </w:tc>
      </w:tr>
      <w:tr w:rsidR="000444D1" w:rsidRPr="000444D1" w14:paraId="6C7538F7" w14:textId="77777777">
        <w:trPr>
          <w:tblCellSpacing w:w="15" w:type="dxa"/>
        </w:trPr>
        <w:tc>
          <w:tcPr>
            <w:tcW w:w="0" w:type="auto"/>
            <w:vAlign w:val="center"/>
            <w:hideMark/>
          </w:tcPr>
          <w:p w14:paraId="7ADF15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C-11</w:t>
            </w:r>
          </w:p>
        </w:tc>
        <w:tc>
          <w:tcPr>
            <w:tcW w:w="0" w:type="auto"/>
            <w:vAlign w:val="center"/>
            <w:hideMark/>
          </w:tcPr>
          <w:p w14:paraId="5B4566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Validación de esquema de todo evento antes de su publicación</w:t>
            </w:r>
          </w:p>
        </w:tc>
        <w:tc>
          <w:tcPr>
            <w:tcW w:w="0" w:type="auto"/>
            <w:vAlign w:val="center"/>
            <w:hideMark/>
          </w:tcPr>
          <w:p w14:paraId="1079A14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Inyección de payload malformado en el bus</w:t>
            </w:r>
          </w:p>
        </w:tc>
        <w:tc>
          <w:tcPr>
            <w:tcW w:w="0" w:type="auto"/>
            <w:vAlign w:val="center"/>
            <w:hideMark/>
          </w:tcPr>
          <w:p w14:paraId="252DE3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Publicador outbox de cada servicio</w:t>
            </w:r>
          </w:p>
        </w:tc>
      </w:tr>
      <w:tr w:rsidR="000444D1" w:rsidRPr="000444D1" w14:paraId="7DB3C1A7" w14:textId="77777777">
        <w:trPr>
          <w:tblCellSpacing w:w="15" w:type="dxa"/>
        </w:trPr>
        <w:tc>
          <w:tcPr>
            <w:tcW w:w="0" w:type="auto"/>
            <w:vAlign w:val="center"/>
            <w:hideMark/>
          </w:tcPr>
          <w:p w14:paraId="681746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C-12</w:t>
            </w:r>
          </w:p>
        </w:tc>
        <w:tc>
          <w:tcPr>
            <w:tcW w:w="0" w:type="auto"/>
            <w:vAlign w:val="center"/>
            <w:hideMark/>
          </w:tcPr>
          <w:p w14:paraId="5FFB76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Clave de idempotencia obligatoria en operaciones de escritura</w:t>
            </w:r>
          </w:p>
        </w:tc>
        <w:tc>
          <w:tcPr>
            <w:tcW w:w="0" w:type="auto"/>
            <w:vAlign w:val="center"/>
            <w:hideMark/>
          </w:tcPr>
          <w:p w14:paraId="4CF84B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Reejecución maliciosa o accidental de una operación</w:t>
            </w:r>
          </w:p>
        </w:tc>
        <w:tc>
          <w:tcPr>
            <w:tcW w:w="0" w:type="auto"/>
            <w:vAlign w:val="center"/>
            <w:hideMark/>
          </w:tcPr>
          <w:p w14:paraId="6C7C75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Middleware de idempotencia de D4</w:t>
            </w:r>
          </w:p>
        </w:tc>
      </w:tr>
      <w:tr w:rsidR="000444D1" w:rsidRPr="000444D1" w14:paraId="03814DFC" w14:textId="77777777">
        <w:trPr>
          <w:tblCellSpacing w:w="15" w:type="dxa"/>
        </w:trPr>
        <w:tc>
          <w:tcPr>
            <w:tcW w:w="0" w:type="auto"/>
            <w:vAlign w:val="center"/>
            <w:hideMark/>
          </w:tcPr>
          <w:p w14:paraId="741918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C-13</w:t>
            </w:r>
          </w:p>
        </w:tc>
        <w:tc>
          <w:tcPr>
            <w:tcW w:w="0" w:type="auto"/>
            <w:vAlign w:val="center"/>
            <w:hideMark/>
          </w:tcPr>
          <w:p w14:paraId="01DE46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Límite de tasa y cuota diferenciada por tercero</w:t>
            </w:r>
          </w:p>
        </w:tc>
        <w:tc>
          <w:tcPr>
            <w:tcW w:w="0" w:type="auto"/>
            <w:vAlign w:val="center"/>
            <w:hideMark/>
          </w:tcPr>
          <w:p w14:paraId="4748D5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Abuso, extracción masiva, denegación de servicio</w:t>
            </w:r>
          </w:p>
        </w:tc>
        <w:tc>
          <w:tcPr>
            <w:tcW w:w="0" w:type="auto"/>
            <w:vAlign w:val="center"/>
            <w:hideMark/>
          </w:tcPr>
          <w:p w14:paraId="5041B3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w:t>
            </w:r>
          </w:p>
        </w:tc>
      </w:tr>
      <w:tr w:rsidR="000444D1" w:rsidRPr="000444D1" w14:paraId="273A7227" w14:textId="77777777">
        <w:trPr>
          <w:tblCellSpacing w:w="15" w:type="dxa"/>
        </w:trPr>
        <w:tc>
          <w:tcPr>
            <w:tcW w:w="0" w:type="auto"/>
            <w:vAlign w:val="center"/>
            <w:hideMark/>
          </w:tcPr>
          <w:p w14:paraId="129965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C-14</w:t>
            </w:r>
          </w:p>
        </w:tc>
        <w:tc>
          <w:tcPr>
            <w:tcW w:w="0" w:type="auto"/>
            <w:vAlign w:val="center"/>
            <w:hideMark/>
          </w:tcPr>
          <w:p w14:paraId="21EA39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Cortafuegos de aplicación web ante ambos gateways</w:t>
            </w:r>
          </w:p>
        </w:tc>
        <w:tc>
          <w:tcPr>
            <w:tcW w:w="0" w:type="auto"/>
            <w:vAlign w:val="center"/>
            <w:hideMark/>
          </w:tcPr>
          <w:p w14:paraId="31A082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Ataques de inyección y explotación de la capa 7</w:t>
            </w:r>
          </w:p>
        </w:tc>
        <w:tc>
          <w:tcPr>
            <w:tcW w:w="0" w:type="auto"/>
            <w:vAlign w:val="center"/>
            <w:hideMark/>
          </w:tcPr>
          <w:p w14:paraId="75B120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Borde de red</w:t>
            </w:r>
          </w:p>
        </w:tc>
      </w:tr>
      <w:tr w:rsidR="000444D1" w:rsidRPr="000444D1" w14:paraId="49E36745" w14:textId="77777777">
        <w:trPr>
          <w:tblCellSpacing w:w="15" w:type="dxa"/>
        </w:trPr>
        <w:tc>
          <w:tcPr>
            <w:tcW w:w="0" w:type="auto"/>
            <w:vAlign w:val="center"/>
            <w:hideMark/>
          </w:tcPr>
          <w:p w14:paraId="083A0D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C-15</w:t>
            </w:r>
          </w:p>
        </w:tc>
        <w:tc>
          <w:tcPr>
            <w:tcW w:w="0" w:type="auto"/>
            <w:vAlign w:val="center"/>
            <w:hideMark/>
          </w:tcPr>
          <w:p w14:paraId="3618240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Segmentación de red: el core tradicional no es alcanzable desde internet</w:t>
            </w:r>
          </w:p>
        </w:tc>
        <w:tc>
          <w:tcPr>
            <w:tcW w:w="0" w:type="auto"/>
            <w:vAlign w:val="center"/>
            <w:hideMark/>
          </w:tcPr>
          <w:p w14:paraId="572A1E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Ataque directo al sistema legado</w:t>
            </w:r>
          </w:p>
        </w:tc>
        <w:tc>
          <w:tcPr>
            <w:tcW w:w="0" w:type="auto"/>
            <w:vAlign w:val="center"/>
            <w:hideMark/>
          </w:tcPr>
          <w:p w14:paraId="05D14F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Topología híbrida; solo el ACL y el CDC tienen ruta</w:t>
            </w:r>
          </w:p>
        </w:tc>
      </w:tr>
      <w:tr w:rsidR="000444D1" w:rsidRPr="000444D1" w14:paraId="1EB50B86" w14:textId="77777777">
        <w:trPr>
          <w:tblCellSpacing w:w="15" w:type="dxa"/>
        </w:trPr>
        <w:tc>
          <w:tcPr>
            <w:tcW w:w="0" w:type="auto"/>
            <w:vAlign w:val="center"/>
            <w:hideMark/>
          </w:tcPr>
          <w:p w14:paraId="33FD9B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C-16</w:t>
            </w:r>
          </w:p>
        </w:tc>
        <w:tc>
          <w:tcPr>
            <w:tcW w:w="0" w:type="auto"/>
            <w:vAlign w:val="center"/>
            <w:hideMark/>
          </w:tcPr>
          <w:p w14:paraId="233EC5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Gestión centralizada de secretos con rotación</w:t>
            </w:r>
          </w:p>
        </w:tc>
        <w:tc>
          <w:tcPr>
            <w:tcW w:w="0" w:type="auto"/>
            <w:vAlign w:val="center"/>
            <w:hideMark/>
          </w:tcPr>
          <w:p w14:paraId="3A3958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Credenciales estáticas en configuración o código</w:t>
            </w:r>
          </w:p>
        </w:tc>
        <w:tc>
          <w:tcPr>
            <w:tcW w:w="0" w:type="auto"/>
            <w:vAlign w:val="center"/>
            <w:hideMark/>
          </w:tcPr>
          <w:p w14:paraId="451055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Almacén de secretos; ningún servicio persiste credenciales</w:t>
            </w:r>
          </w:p>
        </w:tc>
      </w:tr>
      <w:tr w:rsidR="000444D1" w:rsidRPr="000444D1" w14:paraId="737A9DA0" w14:textId="77777777">
        <w:trPr>
          <w:tblCellSpacing w:w="15" w:type="dxa"/>
        </w:trPr>
        <w:tc>
          <w:tcPr>
            <w:tcW w:w="0" w:type="auto"/>
            <w:vAlign w:val="center"/>
            <w:hideMark/>
          </w:tcPr>
          <w:p w14:paraId="2287D6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C-17</w:t>
            </w:r>
          </w:p>
        </w:tc>
        <w:tc>
          <w:tcPr>
            <w:tcW w:w="0" w:type="auto"/>
            <w:vAlign w:val="center"/>
            <w:hideMark/>
          </w:tcPr>
          <w:p w14:paraId="503A80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auditoría inmutable de escritura única</w:t>
            </w:r>
          </w:p>
        </w:tc>
        <w:tc>
          <w:tcPr>
            <w:tcW w:w="0" w:type="auto"/>
            <w:vAlign w:val="center"/>
            <w:hideMark/>
          </w:tcPr>
          <w:p w14:paraId="6F6CD4F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Alteración o borrado de evidencia</w:t>
            </w:r>
          </w:p>
        </w:tc>
        <w:tc>
          <w:tcPr>
            <w:tcW w:w="0" w:type="auto"/>
            <w:vAlign w:val="center"/>
            <w:hideMark/>
          </w:tcPr>
          <w:p w14:paraId="3D3348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Historial de eventos</w:t>
            </w:r>
          </w:p>
        </w:tc>
      </w:tr>
      <w:tr w:rsidR="000444D1" w:rsidRPr="000444D1" w14:paraId="10894432" w14:textId="77777777">
        <w:trPr>
          <w:tblCellSpacing w:w="15" w:type="dxa"/>
        </w:trPr>
        <w:tc>
          <w:tcPr>
            <w:tcW w:w="0" w:type="auto"/>
            <w:vAlign w:val="center"/>
            <w:hideMark/>
          </w:tcPr>
          <w:p w14:paraId="41FE05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C-18</w:t>
            </w:r>
          </w:p>
        </w:tc>
        <w:tc>
          <w:tcPr>
            <w:tcW w:w="0" w:type="auto"/>
            <w:vAlign w:val="center"/>
            <w:hideMark/>
          </w:tcPr>
          <w:p w14:paraId="49371A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todo acceso de terceros con identificación del consentimiento aplicado</w:t>
            </w:r>
          </w:p>
        </w:tc>
        <w:tc>
          <w:tcPr>
            <w:tcW w:w="0" w:type="auto"/>
            <w:vAlign w:val="center"/>
            <w:hideMark/>
          </w:tcPr>
          <w:p w14:paraId="6206A8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Imposibilidad de acreditar el uso de datos ante el titular</w:t>
            </w:r>
          </w:p>
        </w:tc>
        <w:tc>
          <w:tcPr>
            <w:tcW w:w="0" w:type="auto"/>
            <w:vAlign w:val="center"/>
            <w:hideMark/>
          </w:tcPr>
          <w:p w14:paraId="3467E3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alimentado por el gateway externo</w:t>
            </w:r>
          </w:p>
        </w:tc>
      </w:tr>
      <w:tr w:rsidR="000444D1" w:rsidRPr="000444D1" w14:paraId="77CBA933" w14:textId="77777777">
        <w:trPr>
          <w:tblCellSpacing w:w="15" w:type="dxa"/>
        </w:trPr>
        <w:tc>
          <w:tcPr>
            <w:tcW w:w="0" w:type="auto"/>
            <w:vAlign w:val="center"/>
            <w:hideMark/>
          </w:tcPr>
          <w:p w14:paraId="7D09DF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C-19</w:t>
            </w:r>
          </w:p>
        </w:tc>
        <w:tc>
          <w:tcPr>
            <w:tcW w:w="0" w:type="auto"/>
            <w:vAlign w:val="center"/>
            <w:hideMark/>
          </w:tcPr>
          <w:p w14:paraId="7ECFE0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Separación de funciones: quien despliega no accede a datos productivos</w:t>
            </w:r>
          </w:p>
        </w:tc>
        <w:tc>
          <w:tcPr>
            <w:tcW w:w="0" w:type="auto"/>
            <w:vAlign w:val="center"/>
            <w:hideMark/>
          </w:tcPr>
          <w:p w14:paraId="07F2039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Abuso de privilegio interno</w:t>
            </w:r>
          </w:p>
        </w:tc>
        <w:tc>
          <w:tcPr>
            <w:tcW w:w="0" w:type="auto"/>
            <w:vAlign w:val="center"/>
            <w:hideMark/>
          </w:tcPr>
          <w:p w14:paraId="6A8127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Controles de la plataforma de despliegue</w:t>
            </w:r>
          </w:p>
        </w:tc>
      </w:tr>
      <w:tr w:rsidR="000444D1" w:rsidRPr="000444D1" w14:paraId="3B527298" w14:textId="77777777">
        <w:trPr>
          <w:tblCellSpacing w:w="15" w:type="dxa"/>
        </w:trPr>
        <w:tc>
          <w:tcPr>
            <w:tcW w:w="0" w:type="auto"/>
            <w:vAlign w:val="center"/>
            <w:hideMark/>
          </w:tcPr>
          <w:p w14:paraId="5B26F9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C-20</w:t>
            </w:r>
          </w:p>
        </w:tc>
        <w:tc>
          <w:tcPr>
            <w:tcW w:w="0" w:type="auto"/>
            <w:vAlign w:val="center"/>
            <w:hideMark/>
          </w:tcPr>
          <w:p w14:paraId="013A78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Análisis de dependencias y firma de artefactos</w:t>
            </w:r>
          </w:p>
        </w:tc>
        <w:tc>
          <w:tcPr>
            <w:tcW w:w="0" w:type="auto"/>
            <w:vAlign w:val="center"/>
            <w:hideMark/>
          </w:tcPr>
          <w:p w14:paraId="3B3BF36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Compromiso de la cadena de suministro</w:t>
            </w:r>
          </w:p>
        </w:tc>
        <w:tc>
          <w:tcPr>
            <w:tcW w:w="0" w:type="auto"/>
            <w:vAlign w:val="center"/>
            <w:hideMark/>
          </w:tcPr>
          <w:p w14:paraId="05F5A1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Canalización de integración continua</w:t>
            </w:r>
          </w:p>
        </w:tc>
      </w:tr>
    </w:tbl>
    <w:p w14:paraId="6502F51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Concentración de controles en las fronteras.</w:t>
      </w:r>
      <w:r w:rsidRPr="000444D1">
        <w:rPr>
          <w:rFonts w:ascii="Times New Roman" w:eastAsia="Times New Roman" w:hAnsi="Times New Roman" w:cs="Times New Roman"/>
          <w:kern w:val="0"/>
          <w14:ligatures w14:val="none"/>
        </w:rPr>
        <w:t xml:space="preserve"> La tabla admite lectura inversa: dado un componente del diagrama de contenedores, qué controles residen en él. El gateway externo concentra C-01, C-02, C-03, C-04 y C-13; el ACL concentra C-15; D8 concentra C-17 y C-18. Esa concentración es una consecuencia del diseño: los controles se agrupan en los puntos donde el sistema limita con lo que no controla —internet, terceros, el sistema legado—, que es donde el riesgo se materializa.</w:t>
      </w:r>
    </w:p>
    <w:p w14:paraId="3D81D60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13.7 Clasificación y tratamiento del dato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487"/>
        <w:gridCol w:w="5044"/>
      </w:tblGrid>
      <w:tr w:rsidR="000444D1" w:rsidRPr="000444D1" w14:paraId="1373A24F" w14:textId="77777777">
        <w:trPr>
          <w:tblHeader/>
          <w:tblCellSpacing w:w="15" w:type="dxa"/>
        </w:trPr>
        <w:tc>
          <w:tcPr>
            <w:tcW w:w="0" w:type="auto"/>
            <w:vAlign w:val="center"/>
            <w:hideMark/>
          </w:tcPr>
          <w:p w14:paraId="38FC1CB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Clase</w:t>
            </w:r>
          </w:p>
        </w:tc>
        <w:tc>
          <w:tcPr>
            <w:tcW w:w="0" w:type="auto"/>
            <w:vAlign w:val="center"/>
            <w:hideMark/>
          </w:tcPr>
          <w:p w14:paraId="3AE55F7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Ejemplos</w:t>
            </w:r>
          </w:p>
        </w:tc>
        <w:tc>
          <w:tcPr>
            <w:tcW w:w="0" w:type="auto"/>
            <w:vAlign w:val="center"/>
            <w:hideMark/>
          </w:tcPr>
          <w:p w14:paraId="0C8CDFD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 en el diseño</w:t>
            </w:r>
          </w:p>
        </w:tc>
      </w:tr>
      <w:tr w:rsidR="000444D1" w:rsidRPr="000444D1" w14:paraId="607F9BB4" w14:textId="77777777">
        <w:trPr>
          <w:tblCellSpacing w:w="15" w:type="dxa"/>
        </w:trPr>
        <w:tc>
          <w:tcPr>
            <w:tcW w:w="0" w:type="auto"/>
            <w:vAlign w:val="center"/>
            <w:hideMark/>
          </w:tcPr>
          <w:p w14:paraId="56265F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Identificador directo</w:t>
            </w:r>
          </w:p>
        </w:tc>
        <w:tc>
          <w:tcPr>
            <w:tcW w:w="0" w:type="auto"/>
            <w:vAlign w:val="center"/>
            <w:hideMark/>
          </w:tcPr>
          <w:p w14:paraId="1928CC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Documento de identidad, nombre, dirección</w:t>
            </w:r>
          </w:p>
        </w:tc>
        <w:tc>
          <w:tcPr>
            <w:tcW w:w="0" w:type="auto"/>
            <w:vAlign w:val="center"/>
            <w:hideMark/>
          </w:tcPr>
          <w:p w14:paraId="4D2D5E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Reside únicamente en el SoR (core tradicional vía D1). No se replica en proyecciones ni en payloads de eventos</w:t>
            </w:r>
          </w:p>
        </w:tc>
      </w:tr>
      <w:tr w:rsidR="000444D1" w:rsidRPr="000444D1" w14:paraId="16A4B9F2" w14:textId="77777777">
        <w:trPr>
          <w:tblCellSpacing w:w="15" w:type="dxa"/>
        </w:trPr>
        <w:tc>
          <w:tcPr>
            <w:tcW w:w="0" w:type="auto"/>
            <w:vAlign w:val="center"/>
            <w:hideMark/>
          </w:tcPr>
          <w:p w14:paraId="1A8532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Dato financiero</w:t>
            </w:r>
          </w:p>
        </w:tc>
        <w:tc>
          <w:tcPr>
            <w:tcW w:w="0" w:type="auto"/>
            <w:vAlign w:val="center"/>
            <w:hideMark/>
          </w:tcPr>
          <w:p w14:paraId="02E347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Saldos, movimientos, órdenes</w:t>
            </w:r>
          </w:p>
        </w:tc>
        <w:tc>
          <w:tcPr>
            <w:tcW w:w="0" w:type="auto"/>
            <w:vAlign w:val="center"/>
            <w:hideMark/>
          </w:tcPr>
          <w:p w14:paraId="643D16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 proyecciones y eventos, siempre asociado a identificadores internos, nunca a identificadores directos</w:t>
            </w:r>
          </w:p>
        </w:tc>
      </w:tr>
      <w:tr w:rsidR="000444D1" w:rsidRPr="000444D1" w14:paraId="157B401E" w14:textId="77777777">
        <w:trPr>
          <w:tblCellSpacing w:w="15" w:type="dxa"/>
        </w:trPr>
        <w:tc>
          <w:tcPr>
            <w:tcW w:w="0" w:type="auto"/>
            <w:vAlign w:val="center"/>
            <w:hideMark/>
          </w:tcPr>
          <w:p w14:paraId="487E46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Dato de tarjeta</w:t>
            </w:r>
          </w:p>
        </w:tc>
        <w:tc>
          <w:tcPr>
            <w:tcW w:w="0" w:type="auto"/>
            <w:vAlign w:val="center"/>
            <w:hideMark/>
          </w:tcPr>
          <w:p w14:paraId="2F621C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Número de tarjeta</w:t>
            </w:r>
          </w:p>
        </w:tc>
        <w:tc>
          <w:tcPr>
            <w:tcW w:w="0" w:type="auto"/>
            <w:vAlign w:val="center"/>
            <w:hideMark/>
          </w:tcPr>
          <w:p w14:paraId="61FF2D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Tokenizado</w:t>
            </w:r>
            <w:r w:rsidRPr="000444D1">
              <w:rPr>
                <w:rFonts w:ascii="Times New Roman" w:eastAsia="Times New Roman" w:hAnsi="Times New Roman" w:cs="Times New Roman"/>
                <w:kern w:val="0"/>
                <w14:ligatures w14:val="none"/>
              </w:rPr>
              <w:t xml:space="preserve"> en la frontera. El número real nunca entra en el perímetro de los servicios de dominio</w:t>
            </w:r>
          </w:p>
        </w:tc>
      </w:tr>
      <w:tr w:rsidR="000444D1" w:rsidRPr="000444D1" w14:paraId="7B4BBED8" w14:textId="77777777">
        <w:trPr>
          <w:tblCellSpacing w:w="15" w:type="dxa"/>
        </w:trPr>
        <w:tc>
          <w:tcPr>
            <w:tcW w:w="0" w:type="auto"/>
            <w:vAlign w:val="center"/>
            <w:hideMark/>
          </w:tcPr>
          <w:p w14:paraId="34578C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Dato derivado</w:t>
            </w:r>
          </w:p>
        </w:tc>
        <w:tc>
          <w:tcPr>
            <w:tcW w:w="0" w:type="auto"/>
            <w:vAlign w:val="center"/>
            <w:hideMark/>
          </w:tcPr>
          <w:p w14:paraId="1DBF710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Puntaje de fraude, calificación de riesgo</w:t>
            </w:r>
          </w:p>
        </w:tc>
        <w:tc>
          <w:tcPr>
            <w:tcW w:w="0" w:type="auto"/>
            <w:vAlign w:val="center"/>
            <w:hideMark/>
          </w:tcPr>
          <w:p w14:paraId="545FD3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Conservado con la versión del modelo que lo produjo, por exigencia de explicabilidad (13.5)</w:t>
            </w:r>
          </w:p>
        </w:tc>
      </w:tr>
      <w:tr w:rsidR="000444D1" w:rsidRPr="000444D1" w14:paraId="553C5E1A" w14:textId="77777777">
        <w:trPr>
          <w:tblCellSpacing w:w="15" w:type="dxa"/>
        </w:trPr>
        <w:tc>
          <w:tcPr>
            <w:tcW w:w="0" w:type="auto"/>
            <w:vAlign w:val="center"/>
            <w:hideMark/>
          </w:tcPr>
          <w:p w14:paraId="23E570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Dato seudonimizado</w:t>
            </w:r>
          </w:p>
        </w:tc>
        <w:tc>
          <w:tcPr>
            <w:tcW w:w="0" w:type="auto"/>
            <w:vAlign w:val="center"/>
            <w:hideMark/>
          </w:tcPr>
          <w:p w14:paraId="342B57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Conjuntos para analítica y entrenamiento</w:t>
            </w:r>
          </w:p>
        </w:tc>
        <w:tc>
          <w:tcPr>
            <w:tcW w:w="0" w:type="auto"/>
            <w:vAlign w:val="center"/>
            <w:hideMark/>
          </w:tcPr>
          <w:p w14:paraId="7DB649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Identificador sustituido; la tabla de correspondencia reside separada y con acceso restringido</w:t>
            </w:r>
          </w:p>
        </w:tc>
      </w:tr>
    </w:tbl>
    <w:p w14:paraId="07F2FBE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Regla transversal de eventos.</w:t>
      </w:r>
      <w:r w:rsidRPr="000444D1">
        <w:rPr>
          <w:rFonts w:ascii="Times New Roman" w:eastAsia="Times New Roman" w:hAnsi="Times New Roman" w:cs="Times New Roman"/>
          <w:kern w:val="0"/>
          <w14:ligatures w14:val="none"/>
        </w:rPr>
        <w:t xml:space="preserve"> Los payloads de la sección 12 transportan identificadores internos (</w:t>
      </w:r>
      <w:r w:rsidRPr="000444D1">
        <w:rPr>
          <w:rFonts w:ascii="Courier New" w:eastAsia="Times New Roman" w:hAnsi="Courier New" w:cs="Courier New"/>
          <w:kern w:val="0"/>
          <w:sz w:val="20"/>
          <w:szCs w:val="20"/>
          <w14:ligatures w14:val="none"/>
        </w:rPr>
        <w:t>cli-448291</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acc-tradicional-77120</w:t>
      </w:r>
      <w:r w:rsidRPr="000444D1">
        <w:rPr>
          <w:rFonts w:ascii="Times New Roman" w:eastAsia="Times New Roman" w:hAnsi="Times New Roman" w:cs="Times New Roman"/>
          <w:kern w:val="0"/>
          <w14:ligatures w14:val="none"/>
        </w:rPr>
        <w:t>), nunca identificadores directos del titular. Es la aplicación de la minimización en la capa de mensajería: un evento que circula por el bus y se retiene siete días no debe contener datos que permitan identificar directamente a una persona.</w:t>
      </w:r>
    </w:p>
    <w:p w14:paraId="0FB70C2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13.8 Retención, conservación y notificación de vulneraciones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gridCol w:w="2309"/>
        <w:gridCol w:w="4348"/>
      </w:tblGrid>
      <w:tr w:rsidR="000444D1" w:rsidRPr="000444D1" w14:paraId="62DCC354" w14:textId="77777777">
        <w:trPr>
          <w:tblHeader/>
          <w:tblCellSpacing w:w="15" w:type="dxa"/>
        </w:trPr>
        <w:tc>
          <w:tcPr>
            <w:tcW w:w="0" w:type="auto"/>
            <w:vAlign w:val="center"/>
            <w:hideMark/>
          </w:tcPr>
          <w:p w14:paraId="7C59632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 de dato</w:t>
            </w:r>
          </w:p>
        </w:tc>
        <w:tc>
          <w:tcPr>
            <w:tcW w:w="0" w:type="auto"/>
            <w:vAlign w:val="center"/>
            <w:hideMark/>
          </w:tcPr>
          <w:p w14:paraId="0C3E5B4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Retención</w:t>
            </w:r>
          </w:p>
        </w:tc>
        <w:tc>
          <w:tcPr>
            <w:tcW w:w="0" w:type="auto"/>
            <w:vAlign w:val="center"/>
            <w:hideMark/>
          </w:tcPr>
          <w:p w14:paraId="4F3FEFB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Fundamento</w:t>
            </w:r>
          </w:p>
        </w:tc>
      </w:tr>
      <w:tr w:rsidR="000444D1" w:rsidRPr="000444D1" w14:paraId="2709D8E5" w14:textId="77777777">
        <w:trPr>
          <w:tblCellSpacing w:w="15" w:type="dxa"/>
        </w:trPr>
        <w:tc>
          <w:tcPr>
            <w:tcW w:w="0" w:type="auto"/>
            <w:vAlign w:val="center"/>
            <w:hideMark/>
          </w:tcPr>
          <w:p w14:paraId="4A3E6B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Traza de auditoría de operaciones (D8)</w:t>
            </w:r>
          </w:p>
        </w:tc>
        <w:tc>
          <w:tcPr>
            <w:tcW w:w="0" w:type="auto"/>
            <w:vAlign w:val="center"/>
            <w:hideMark/>
          </w:tcPr>
          <w:p w14:paraId="579C82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 años</w:t>
            </w:r>
          </w:p>
        </w:tc>
        <w:tc>
          <w:tcPr>
            <w:tcW w:w="0" w:type="auto"/>
            <w:vAlign w:val="center"/>
            <w:hideMark/>
          </w:tcPr>
          <w:p w14:paraId="2A3AA6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Obligación de conservación regulatoria</w:t>
            </w:r>
          </w:p>
        </w:tc>
      </w:tr>
      <w:tr w:rsidR="000444D1" w:rsidRPr="000444D1" w14:paraId="7AB6A444" w14:textId="77777777">
        <w:trPr>
          <w:tblCellSpacing w:w="15" w:type="dxa"/>
        </w:trPr>
        <w:tc>
          <w:tcPr>
            <w:tcW w:w="0" w:type="auto"/>
            <w:vAlign w:val="center"/>
            <w:hideMark/>
          </w:tcPr>
          <w:p w14:paraId="3FD2A0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accesos de terceros (D8)</w:t>
            </w:r>
          </w:p>
        </w:tc>
        <w:tc>
          <w:tcPr>
            <w:tcW w:w="0" w:type="auto"/>
            <w:vAlign w:val="center"/>
            <w:hideMark/>
          </w:tcPr>
          <w:p w14:paraId="0E693F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 años</w:t>
            </w:r>
          </w:p>
        </w:tc>
        <w:tc>
          <w:tcPr>
            <w:tcW w:w="0" w:type="auto"/>
            <w:vAlign w:val="center"/>
            <w:hideMark/>
          </w:tcPr>
          <w:p w14:paraId="76BE39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Acreditación ante el titular y ante el ente de control</w:t>
            </w:r>
          </w:p>
        </w:tc>
      </w:tr>
      <w:tr w:rsidR="000444D1" w:rsidRPr="000444D1" w14:paraId="6ED7D169" w14:textId="77777777">
        <w:trPr>
          <w:tblCellSpacing w:w="15" w:type="dxa"/>
        </w:trPr>
        <w:tc>
          <w:tcPr>
            <w:tcW w:w="0" w:type="auto"/>
            <w:vAlign w:val="center"/>
            <w:hideMark/>
          </w:tcPr>
          <w:p w14:paraId="4BC8B4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Eventos en el bus</w:t>
            </w:r>
          </w:p>
        </w:tc>
        <w:tc>
          <w:tcPr>
            <w:tcW w:w="0" w:type="auto"/>
            <w:vAlign w:val="center"/>
            <w:hideMark/>
          </w:tcPr>
          <w:p w14:paraId="6DBE66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 días</w:t>
            </w:r>
          </w:p>
        </w:tc>
        <w:tc>
          <w:tcPr>
            <w:tcW w:w="0" w:type="auto"/>
            <w:vAlign w:val="center"/>
            <w:hideMark/>
          </w:tcPr>
          <w:p w14:paraId="3C6E4E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Solo para reconstrucción de proyecciones; el registro permanente vive en D8</w:t>
            </w:r>
          </w:p>
        </w:tc>
      </w:tr>
      <w:tr w:rsidR="000444D1" w:rsidRPr="000444D1" w14:paraId="1BC81184" w14:textId="77777777">
        <w:trPr>
          <w:tblCellSpacing w:w="15" w:type="dxa"/>
        </w:trPr>
        <w:tc>
          <w:tcPr>
            <w:tcW w:w="0" w:type="auto"/>
            <w:vAlign w:val="center"/>
            <w:hideMark/>
          </w:tcPr>
          <w:p w14:paraId="6889A3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Registros técnicos y trazas distribuidas</w:t>
            </w:r>
          </w:p>
        </w:tc>
        <w:tc>
          <w:tcPr>
            <w:tcW w:w="0" w:type="auto"/>
            <w:vAlign w:val="center"/>
            <w:hideMark/>
          </w:tcPr>
          <w:p w14:paraId="0343F7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90 días</w:t>
            </w:r>
          </w:p>
        </w:tc>
        <w:tc>
          <w:tcPr>
            <w:tcW w:w="0" w:type="auto"/>
            <w:vAlign w:val="center"/>
            <w:hideMark/>
          </w:tcPr>
          <w:p w14:paraId="6183E3D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Diagnóstico operativo; contienen datos enmascarados</w:t>
            </w:r>
          </w:p>
        </w:tc>
      </w:tr>
      <w:tr w:rsidR="000444D1" w:rsidRPr="000444D1" w14:paraId="746CA669" w14:textId="77777777">
        <w:trPr>
          <w:tblCellSpacing w:w="15" w:type="dxa"/>
        </w:trPr>
        <w:tc>
          <w:tcPr>
            <w:tcW w:w="0" w:type="auto"/>
            <w:vAlign w:val="center"/>
            <w:hideMark/>
          </w:tcPr>
          <w:p w14:paraId="6554A2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Consentimientos revocados</w:t>
            </w:r>
          </w:p>
        </w:tc>
        <w:tc>
          <w:tcPr>
            <w:tcW w:w="0" w:type="auto"/>
            <w:vAlign w:val="center"/>
            <w:hideMark/>
          </w:tcPr>
          <w:p w14:paraId="7AF3DF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Vigencia más plazo de prescripción</w:t>
            </w:r>
          </w:p>
        </w:tc>
        <w:tc>
          <w:tcPr>
            <w:tcW w:w="0" w:type="auto"/>
            <w:vAlign w:val="center"/>
            <w:hideMark/>
          </w:tcPr>
          <w:p w14:paraId="78D091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Acreditar bajo qué consentimiento ocurrió cada acceso pasado</w:t>
            </w:r>
          </w:p>
        </w:tc>
      </w:tr>
    </w:tbl>
    <w:p w14:paraId="0739026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Notificación de vulneraciones.</w:t>
      </w:r>
      <w:r w:rsidRPr="000444D1">
        <w:rPr>
          <w:rFonts w:ascii="Times New Roman" w:eastAsia="Times New Roman" w:hAnsi="Times New Roman" w:cs="Times New Roman"/>
          <w:kern w:val="0"/>
          <w14:ligatures w14:val="none"/>
        </w:rPr>
        <w:t xml:space="preserve"> La LOPDP obliga a comunicar al ente de control las vulneraciones de seguridad dentro del plazo legal, y al titular cuando exista riesgo para sus derechos. El diseño lo sostiene con dos elementos concretos: la detección se apoya en la telemetría y el alertado de la sección 18, y la determinación del alcance —qué datos y de qué titulares se vieron afectados— se apoya en el registro de accesos de D8. Sin ese registro, delimitar el alcance de una brecha sería una estimación, y una notificación con alcance estimado es una notificación deficiente.</w:t>
      </w:r>
    </w:p>
    <w:p w14:paraId="311E17C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13.9 Registro de actividades, evaluación de impacto y transferencias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7395"/>
      </w:tblGrid>
      <w:tr w:rsidR="000444D1" w:rsidRPr="000444D1" w14:paraId="0D62B373" w14:textId="77777777">
        <w:trPr>
          <w:tblHeader/>
          <w:tblCellSpacing w:w="15" w:type="dxa"/>
        </w:trPr>
        <w:tc>
          <w:tcPr>
            <w:tcW w:w="0" w:type="auto"/>
            <w:vAlign w:val="center"/>
            <w:hideMark/>
          </w:tcPr>
          <w:p w14:paraId="6A83693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Obligación</w:t>
            </w:r>
          </w:p>
        </w:tc>
        <w:tc>
          <w:tcPr>
            <w:tcW w:w="0" w:type="auto"/>
            <w:vAlign w:val="center"/>
            <w:hideMark/>
          </w:tcPr>
          <w:p w14:paraId="4E682BB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Cómo la sostiene el diseño</w:t>
            </w:r>
          </w:p>
        </w:tc>
      </w:tr>
      <w:tr w:rsidR="000444D1" w:rsidRPr="000444D1" w14:paraId="5FE6A403" w14:textId="77777777">
        <w:trPr>
          <w:tblCellSpacing w:w="15" w:type="dxa"/>
        </w:trPr>
        <w:tc>
          <w:tcPr>
            <w:tcW w:w="0" w:type="auto"/>
            <w:vAlign w:val="center"/>
            <w:hideMark/>
          </w:tcPr>
          <w:p w14:paraId="1E8B08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Registro de actividades de tratamiento</w:t>
            </w:r>
          </w:p>
        </w:tc>
        <w:tc>
          <w:tcPr>
            <w:tcW w:w="0" w:type="auto"/>
            <w:vAlign w:val="center"/>
            <w:hideMark/>
          </w:tcPr>
          <w:p w14:paraId="56D90D7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deriva de las secciones 5.3 y 13.3: la matriz de systems of record identifica qué dato existe y quién lo trata; las bases de licitud, con qué amparo. El registro no es un documento paralelo, sino una vista de la arquitectura documentada</w:t>
            </w:r>
          </w:p>
        </w:tc>
      </w:tr>
      <w:tr w:rsidR="000444D1" w:rsidRPr="000444D1" w14:paraId="244BF62B" w14:textId="77777777">
        <w:trPr>
          <w:tblCellSpacing w:w="15" w:type="dxa"/>
        </w:trPr>
        <w:tc>
          <w:tcPr>
            <w:tcW w:w="0" w:type="auto"/>
            <w:vAlign w:val="center"/>
            <w:hideMark/>
          </w:tcPr>
          <w:p w14:paraId="2E2EE4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Evaluación de impacto</w:t>
            </w:r>
          </w:p>
        </w:tc>
        <w:tc>
          <w:tcPr>
            <w:tcW w:w="0" w:type="auto"/>
            <w:vAlign w:val="center"/>
            <w:hideMark/>
          </w:tcPr>
          <w:p w14:paraId="580A75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Exigible al menos para el tratamiento automatizado de fraude y para la cesión a terceros, por tratarse de tratamiento sistemático con efectos significativos</w:t>
            </w:r>
          </w:p>
        </w:tc>
      </w:tr>
      <w:tr w:rsidR="000444D1" w:rsidRPr="000444D1" w14:paraId="48144D92" w14:textId="77777777">
        <w:trPr>
          <w:tblCellSpacing w:w="15" w:type="dxa"/>
        </w:trPr>
        <w:tc>
          <w:tcPr>
            <w:tcW w:w="0" w:type="auto"/>
            <w:vAlign w:val="center"/>
            <w:hideMark/>
          </w:tcPr>
          <w:p w14:paraId="112F8A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Delegado de protección de datos</w:t>
            </w:r>
          </w:p>
        </w:tc>
        <w:tc>
          <w:tcPr>
            <w:tcW w:w="0" w:type="auto"/>
            <w:vAlign w:val="center"/>
            <w:hideMark/>
          </w:tcPr>
          <w:p w14:paraId="67E49A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Figura organizacional. El diseño le provee las herramientas de consulta: D8 para trazabilidad y D7 para consentimientos</w:t>
            </w:r>
          </w:p>
        </w:tc>
      </w:tr>
      <w:tr w:rsidR="000444D1" w:rsidRPr="000444D1" w14:paraId="668ED1CB" w14:textId="77777777">
        <w:trPr>
          <w:tblCellSpacing w:w="15" w:type="dxa"/>
        </w:trPr>
        <w:tc>
          <w:tcPr>
            <w:tcW w:w="0" w:type="auto"/>
            <w:vAlign w:val="center"/>
            <w:hideMark/>
          </w:tcPr>
          <w:p w14:paraId="4DF0A7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Residencia y transferencia internacional</w:t>
            </w:r>
          </w:p>
        </w:tc>
        <w:tc>
          <w:tcPr>
            <w:tcW w:w="0" w:type="auto"/>
            <w:vAlign w:val="center"/>
            <w:hideMark/>
          </w:tcPr>
          <w:p w14:paraId="245186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datos personales identificables permanecen en territorio nacional. El modelo híbrido del ADR-006 lo sostiene: el SoR de datos maestros está on-premise, y lo que se despliega en nube son proyecciones con identificadores internos. Si el proveedor de nube opera una región nacional, la restricción se cumple sin excepciones; si no, esta restricción condiciona qué componentes pueden desplegarse fuera del centro de datos</w:t>
            </w:r>
          </w:p>
        </w:tc>
      </w:tr>
    </w:tbl>
    <w:p w14:paraId="1013352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última fila es una restricción legal que condiciona una decisión técnica, y conviene presentarla así: el modelo de despliegue del ADR-006 no es únicamente una elección de elasticidad, sino también la forma de satisfacer un requisito de residencia sin renunciar a la capacidad de escalar la capa digital.</w:t>
      </w:r>
    </w:p>
    <w:p w14:paraId="4BEA31C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13.10 Seguridad en el ciclo de vida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5482"/>
        <w:gridCol w:w="2523"/>
      </w:tblGrid>
      <w:tr w:rsidR="000444D1" w:rsidRPr="000444D1" w14:paraId="6DD0D4B0" w14:textId="77777777">
        <w:trPr>
          <w:tblHeader/>
          <w:tblCellSpacing w:w="15" w:type="dxa"/>
        </w:trPr>
        <w:tc>
          <w:tcPr>
            <w:tcW w:w="0" w:type="auto"/>
            <w:vAlign w:val="center"/>
            <w:hideMark/>
          </w:tcPr>
          <w:p w14:paraId="728412E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Etapa</w:t>
            </w:r>
          </w:p>
        </w:tc>
        <w:tc>
          <w:tcPr>
            <w:tcW w:w="0" w:type="auto"/>
            <w:vAlign w:val="center"/>
            <w:hideMark/>
          </w:tcPr>
          <w:p w14:paraId="4FD70F6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Práctica</w:t>
            </w:r>
          </w:p>
        </w:tc>
        <w:tc>
          <w:tcPr>
            <w:tcW w:w="0" w:type="auto"/>
            <w:vAlign w:val="center"/>
            <w:hideMark/>
          </w:tcPr>
          <w:p w14:paraId="08778FB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Evidencia en el diseño</w:t>
            </w:r>
          </w:p>
        </w:tc>
      </w:tr>
      <w:tr w:rsidR="000444D1" w:rsidRPr="000444D1" w14:paraId="21F389D8" w14:textId="77777777">
        <w:trPr>
          <w:tblCellSpacing w:w="15" w:type="dxa"/>
        </w:trPr>
        <w:tc>
          <w:tcPr>
            <w:tcW w:w="0" w:type="auto"/>
            <w:vAlign w:val="center"/>
            <w:hideMark/>
          </w:tcPr>
          <w:p w14:paraId="7F7C5E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Diseño</w:t>
            </w:r>
          </w:p>
        </w:tc>
        <w:tc>
          <w:tcPr>
            <w:tcW w:w="0" w:type="auto"/>
            <w:vAlign w:val="center"/>
            <w:hideMark/>
          </w:tcPr>
          <w:p w14:paraId="613495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Modelado de amenazas por dominio antes de la implementación</w:t>
            </w:r>
          </w:p>
        </w:tc>
        <w:tc>
          <w:tcPr>
            <w:tcW w:w="0" w:type="auto"/>
            <w:vAlign w:val="center"/>
            <w:hideMark/>
          </w:tcPr>
          <w:p w14:paraId="394B89D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Insumo de la tabla 13.6</w:t>
            </w:r>
          </w:p>
        </w:tc>
      </w:tr>
      <w:tr w:rsidR="000444D1" w:rsidRPr="000444D1" w14:paraId="56A07992" w14:textId="77777777">
        <w:trPr>
          <w:tblCellSpacing w:w="15" w:type="dxa"/>
        </w:trPr>
        <w:tc>
          <w:tcPr>
            <w:tcW w:w="0" w:type="auto"/>
            <w:vAlign w:val="center"/>
            <w:hideMark/>
          </w:tcPr>
          <w:p w14:paraId="16FBF8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Construcción</w:t>
            </w:r>
          </w:p>
        </w:tc>
        <w:tc>
          <w:tcPr>
            <w:tcW w:w="0" w:type="auto"/>
            <w:vAlign w:val="center"/>
            <w:hideMark/>
          </w:tcPr>
          <w:p w14:paraId="5B7F596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Análisis estático, análisis de dependencias, firma de artefactos</w:t>
            </w:r>
          </w:p>
        </w:tc>
        <w:tc>
          <w:tcPr>
            <w:tcW w:w="0" w:type="auto"/>
            <w:vAlign w:val="center"/>
            <w:hideMark/>
          </w:tcPr>
          <w:p w14:paraId="3F951D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C-20</w:t>
            </w:r>
          </w:p>
        </w:tc>
      </w:tr>
      <w:tr w:rsidR="000444D1" w:rsidRPr="000444D1" w14:paraId="207B74A8" w14:textId="77777777">
        <w:trPr>
          <w:tblCellSpacing w:w="15" w:type="dxa"/>
        </w:trPr>
        <w:tc>
          <w:tcPr>
            <w:tcW w:w="0" w:type="auto"/>
            <w:vAlign w:val="center"/>
            <w:hideMark/>
          </w:tcPr>
          <w:p w14:paraId="6564BC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Despliegue</w:t>
            </w:r>
          </w:p>
        </w:tc>
        <w:tc>
          <w:tcPr>
            <w:tcW w:w="0" w:type="auto"/>
            <w:vAlign w:val="center"/>
            <w:hideMark/>
          </w:tcPr>
          <w:p w14:paraId="649946F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Infraestructura declarativa; ningún cambio manual en producción</w:t>
            </w:r>
          </w:p>
        </w:tc>
        <w:tc>
          <w:tcPr>
            <w:tcW w:w="0" w:type="auto"/>
            <w:vAlign w:val="center"/>
            <w:hideMark/>
          </w:tcPr>
          <w:p w14:paraId="67436B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C-19</w:t>
            </w:r>
          </w:p>
        </w:tc>
      </w:tr>
      <w:tr w:rsidR="000444D1" w:rsidRPr="000444D1" w14:paraId="63232B19" w14:textId="77777777">
        <w:trPr>
          <w:tblCellSpacing w:w="15" w:type="dxa"/>
        </w:trPr>
        <w:tc>
          <w:tcPr>
            <w:tcW w:w="0" w:type="auto"/>
            <w:vAlign w:val="center"/>
            <w:hideMark/>
          </w:tcPr>
          <w:p w14:paraId="3B3713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Operación</w:t>
            </w:r>
          </w:p>
        </w:tc>
        <w:tc>
          <w:tcPr>
            <w:tcW w:w="0" w:type="auto"/>
            <w:vAlign w:val="center"/>
            <w:hideMark/>
          </w:tcPr>
          <w:p w14:paraId="4AF966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Rotación de secretos, revisión periódica de entitlements, pruebas de intrusión</w:t>
            </w:r>
          </w:p>
        </w:tc>
        <w:tc>
          <w:tcPr>
            <w:tcW w:w="0" w:type="auto"/>
            <w:vAlign w:val="center"/>
            <w:hideMark/>
          </w:tcPr>
          <w:p w14:paraId="5CE89E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C-16, C-04</w:t>
            </w:r>
          </w:p>
        </w:tc>
      </w:tr>
      <w:tr w:rsidR="000444D1" w:rsidRPr="000444D1" w14:paraId="7D361C89" w14:textId="77777777">
        <w:trPr>
          <w:tblCellSpacing w:w="15" w:type="dxa"/>
        </w:trPr>
        <w:tc>
          <w:tcPr>
            <w:tcW w:w="0" w:type="auto"/>
            <w:vAlign w:val="center"/>
            <w:hideMark/>
          </w:tcPr>
          <w:p w14:paraId="57393B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Retiro</w:t>
            </w:r>
          </w:p>
        </w:tc>
        <w:tc>
          <w:tcPr>
            <w:tcW w:w="0" w:type="auto"/>
            <w:vAlign w:val="center"/>
            <w:hideMark/>
          </w:tcPr>
          <w:p w14:paraId="49A764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Revocación de credenciales y purga de accesos al deprecar un servicio</w:t>
            </w:r>
          </w:p>
        </w:tc>
        <w:tc>
          <w:tcPr>
            <w:tcW w:w="0" w:type="auto"/>
            <w:vAlign w:val="center"/>
            <w:hideMark/>
          </w:tcPr>
          <w:p w14:paraId="35C5B8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Modelo de gobierno (sección 16)</w:t>
            </w:r>
          </w:p>
        </w:tc>
      </w:tr>
    </w:tbl>
    <w:p w14:paraId="1FF19D59"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4DF45044">
          <v:rect id="Horizontal Line 565" o:spid="_x0000_s10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32E1043"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14. Gestión de identidad y acceso (IAM)</w:t>
      </w:r>
    </w:p>
    <w:p w14:paraId="6932A54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integración de seis sistemas con audiencias distintas hace inviable un modelo único de identidad. El diseño distingue </w:t>
      </w:r>
      <w:r w:rsidRPr="000444D1">
        <w:rPr>
          <w:rFonts w:ascii="Times New Roman" w:eastAsia="Times New Roman" w:hAnsi="Times New Roman" w:cs="Times New Roman"/>
          <w:b/>
          <w:bCs/>
          <w:kern w:val="0"/>
          <w14:ligatures w14:val="none"/>
        </w:rPr>
        <w:t>cuatro planos</w:t>
      </w:r>
      <w:r w:rsidRPr="000444D1">
        <w:rPr>
          <w:rFonts w:ascii="Times New Roman" w:eastAsia="Times New Roman" w:hAnsi="Times New Roman" w:cs="Times New Roman"/>
          <w:kern w:val="0"/>
          <w14:ligatures w14:val="none"/>
        </w:rPr>
        <w:t xml:space="preserve">, con mecanismos, ciclos de vida y niveles de </w:t>
      </w:r>
      <w:r w:rsidRPr="000444D1">
        <w:rPr>
          <w:rFonts w:ascii="Times New Roman" w:eastAsia="Times New Roman" w:hAnsi="Times New Roman" w:cs="Times New Roman"/>
          <w:kern w:val="0"/>
          <w14:ligatures w14:val="none"/>
        </w:rPr>
        <w:lastRenderedPageBreak/>
        <w:t>confianza propios. Tratarlos como uno solo obligaría a aplicar el mecanismo más estricto a todo el tráfico, o a introducir excepciones dentro de un mismo componente.</w:t>
      </w:r>
    </w:p>
    <w:p w14:paraId="56FB141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14.1 Planos de identidad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758"/>
        <w:gridCol w:w="2554"/>
        <w:gridCol w:w="1470"/>
        <w:gridCol w:w="2205"/>
      </w:tblGrid>
      <w:tr w:rsidR="000444D1" w:rsidRPr="000444D1" w14:paraId="3FD00BAF" w14:textId="77777777">
        <w:trPr>
          <w:tblHeader/>
          <w:tblCellSpacing w:w="15" w:type="dxa"/>
        </w:trPr>
        <w:tc>
          <w:tcPr>
            <w:tcW w:w="0" w:type="auto"/>
            <w:vAlign w:val="center"/>
            <w:hideMark/>
          </w:tcPr>
          <w:p w14:paraId="793FAAB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Plano</w:t>
            </w:r>
          </w:p>
        </w:tc>
        <w:tc>
          <w:tcPr>
            <w:tcW w:w="0" w:type="auto"/>
            <w:vAlign w:val="center"/>
            <w:hideMark/>
          </w:tcPr>
          <w:p w14:paraId="1A86582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Quién</w:t>
            </w:r>
          </w:p>
        </w:tc>
        <w:tc>
          <w:tcPr>
            <w:tcW w:w="0" w:type="auto"/>
            <w:vAlign w:val="center"/>
            <w:hideMark/>
          </w:tcPr>
          <w:p w14:paraId="2EF07FE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Mecanismo de autenticación</w:t>
            </w:r>
          </w:p>
        </w:tc>
        <w:tc>
          <w:tcPr>
            <w:tcW w:w="0" w:type="auto"/>
            <w:vAlign w:val="center"/>
            <w:hideMark/>
          </w:tcPr>
          <w:p w14:paraId="5B67691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Emisor</w:t>
            </w:r>
          </w:p>
        </w:tc>
        <w:tc>
          <w:tcPr>
            <w:tcW w:w="0" w:type="auto"/>
            <w:vAlign w:val="center"/>
            <w:hideMark/>
          </w:tcPr>
          <w:p w14:paraId="29370BE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Vigencia de la credencial</w:t>
            </w:r>
          </w:p>
        </w:tc>
      </w:tr>
      <w:tr w:rsidR="000444D1" w:rsidRPr="000444D1" w14:paraId="07A1BB79" w14:textId="77777777">
        <w:trPr>
          <w:tblCellSpacing w:w="15" w:type="dxa"/>
        </w:trPr>
        <w:tc>
          <w:tcPr>
            <w:tcW w:w="0" w:type="auto"/>
            <w:vAlign w:val="center"/>
            <w:hideMark/>
          </w:tcPr>
          <w:p w14:paraId="2B5D1A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Clientes</w:t>
            </w:r>
          </w:p>
        </w:tc>
        <w:tc>
          <w:tcPr>
            <w:tcW w:w="0" w:type="auto"/>
            <w:vAlign w:val="center"/>
            <w:hideMark/>
          </w:tcPr>
          <w:p w14:paraId="2DDFEF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Titulares en banca web y móvil</w:t>
            </w:r>
          </w:p>
        </w:tc>
        <w:tc>
          <w:tcPr>
            <w:tcW w:w="0" w:type="auto"/>
            <w:vAlign w:val="center"/>
            <w:hideMark/>
          </w:tcPr>
          <w:p w14:paraId="02F16B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OIDC con factor múltiple; vinculación de dispositivo en móvil</w:t>
            </w:r>
          </w:p>
        </w:tc>
        <w:tc>
          <w:tcPr>
            <w:tcW w:w="0" w:type="auto"/>
            <w:vAlign w:val="center"/>
            <w:hideMark/>
          </w:tcPr>
          <w:p w14:paraId="02BB1E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IdP</w:t>
            </w:r>
          </w:p>
        </w:tc>
        <w:tc>
          <w:tcPr>
            <w:tcW w:w="0" w:type="auto"/>
            <w:vAlign w:val="center"/>
            <w:hideMark/>
          </w:tcPr>
          <w:p w14:paraId="5F98E54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 de acceso corto, con refresco</w:t>
            </w:r>
          </w:p>
        </w:tc>
      </w:tr>
      <w:tr w:rsidR="000444D1" w:rsidRPr="000444D1" w14:paraId="342267B4" w14:textId="77777777">
        <w:trPr>
          <w:tblCellSpacing w:w="15" w:type="dxa"/>
        </w:trPr>
        <w:tc>
          <w:tcPr>
            <w:tcW w:w="0" w:type="auto"/>
            <w:vAlign w:val="center"/>
            <w:hideMark/>
          </w:tcPr>
          <w:p w14:paraId="62A1D0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Terceros</w:t>
            </w:r>
          </w:p>
        </w:tc>
        <w:tc>
          <w:tcPr>
            <w:tcW w:w="0" w:type="auto"/>
            <w:vAlign w:val="center"/>
            <w:hideMark/>
          </w:tcPr>
          <w:p w14:paraId="74C873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TPP de Open Finance</w:t>
            </w:r>
          </w:p>
        </w:tc>
        <w:tc>
          <w:tcPr>
            <w:tcW w:w="0" w:type="auto"/>
            <w:vAlign w:val="center"/>
            <w:hideMark/>
          </w:tcPr>
          <w:p w14:paraId="48F753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OAuth 2.0 con mTLS; token vinculado al certificado de cliente</w:t>
            </w:r>
          </w:p>
        </w:tc>
        <w:tc>
          <w:tcPr>
            <w:tcW w:w="0" w:type="auto"/>
            <w:vAlign w:val="center"/>
            <w:hideMark/>
          </w:tcPr>
          <w:p w14:paraId="53483A6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IdP, perfil FAPI</w:t>
            </w:r>
          </w:p>
        </w:tc>
        <w:tc>
          <w:tcPr>
            <w:tcW w:w="0" w:type="auto"/>
            <w:vAlign w:val="center"/>
            <w:hideMark/>
          </w:tcPr>
          <w:p w14:paraId="14F5C8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 corto, no renovable sin nueva presentación de certificado</w:t>
            </w:r>
          </w:p>
        </w:tc>
      </w:tr>
      <w:tr w:rsidR="000444D1" w:rsidRPr="000444D1" w14:paraId="5CAFF403" w14:textId="77777777">
        <w:trPr>
          <w:tblCellSpacing w:w="15" w:type="dxa"/>
        </w:trPr>
        <w:tc>
          <w:tcPr>
            <w:tcW w:w="0" w:type="auto"/>
            <w:vAlign w:val="center"/>
            <w:hideMark/>
          </w:tcPr>
          <w:p w14:paraId="26F13F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Cargas de trabajo</w:t>
            </w:r>
          </w:p>
        </w:tc>
        <w:tc>
          <w:tcPr>
            <w:tcW w:w="0" w:type="auto"/>
            <w:vAlign w:val="center"/>
            <w:hideMark/>
          </w:tcPr>
          <w:p w14:paraId="102F4C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Servicios de dominio, adaptadores, BFF</w:t>
            </w:r>
          </w:p>
        </w:tc>
        <w:tc>
          <w:tcPr>
            <w:tcW w:w="0" w:type="auto"/>
            <w:vAlign w:val="center"/>
            <w:hideMark/>
          </w:tcPr>
          <w:p w14:paraId="01887B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Identidad de carga con certificados de corta duración emitidos automáticamente</w:t>
            </w:r>
          </w:p>
        </w:tc>
        <w:tc>
          <w:tcPr>
            <w:tcW w:w="0" w:type="auto"/>
            <w:vAlign w:val="center"/>
            <w:hideMark/>
          </w:tcPr>
          <w:p w14:paraId="6BFDBF6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Autoridad interna de certificados</w:t>
            </w:r>
          </w:p>
        </w:tc>
        <w:tc>
          <w:tcPr>
            <w:tcW w:w="0" w:type="auto"/>
            <w:vAlign w:val="center"/>
            <w:hideMark/>
          </w:tcPr>
          <w:p w14:paraId="00A533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Minutos; rotación automática</w:t>
            </w:r>
          </w:p>
        </w:tc>
      </w:tr>
      <w:tr w:rsidR="000444D1" w:rsidRPr="000444D1" w14:paraId="139DE06C" w14:textId="77777777">
        <w:trPr>
          <w:tblCellSpacing w:w="15" w:type="dxa"/>
        </w:trPr>
        <w:tc>
          <w:tcPr>
            <w:tcW w:w="0" w:type="auto"/>
            <w:vAlign w:val="center"/>
            <w:hideMark/>
          </w:tcPr>
          <w:p w14:paraId="6530FB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Personas operadoras</w:t>
            </w:r>
          </w:p>
        </w:tc>
        <w:tc>
          <w:tcPr>
            <w:tcW w:w="0" w:type="auto"/>
            <w:vAlign w:val="center"/>
            <w:hideMark/>
          </w:tcPr>
          <w:p w14:paraId="2332C5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Analistas de fraude, riesgos, soporte, back office</w:t>
            </w:r>
          </w:p>
        </w:tc>
        <w:tc>
          <w:tcPr>
            <w:tcW w:w="0" w:type="auto"/>
            <w:vAlign w:val="center"/>
            <w:hideMark/>
          </w:tcPr>
          <w:p w14:paraId="6DC060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OIDC corporativo con factor múltiple y acceso condicionado</w:t>
            </w:r>
          </w:p>
        </w:tc>
        <w:tc>
          <w:tcPr>
            <w:tcW w:w="0" w:type="auto"/>
            <w:vAlign w:val="center"/>
            <w:hideMark/>
          </w:tcPr>
          <w:p w14:paraId="083BF6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IdP corporativo</w:t>
            </w:r>
          </w:p>
        </w:tc>
        <w:tc>
          <w:tcPr>
            <w:tcW w:w="0" w:type="auto"/>
            <w:vAlign w:val="center"/>
            <w:hideMark/>
          </w:tcPr>
          <w:p w14:paraId="7F6CFF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Sesión con reautenticación para operaciones sensibles</w:t>
            </w:r>
          </w:p>
        </w:tc>
      </w:tr>
    </w:tbl>
    <w:p w14:paraId="2AB7424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14.2 Autenticación de clientes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7103"/>
      </w:tblGrid>
      <w:tr w:rsidR="000444D1" w:rsidRPr="000444D1" w14:paraId="4817D7F0" w14:textId="77777777">
        <w:trPr>
          <w:tblHeader/>
          <w:tblCellSpacing w:w="15" w:type="dxa"/>
        </w:trPr>
        <w:tc>
          <w:tcPr>
            <w:tcW w:w="0" w:type="auto"/>
            <w:vAlign w:val="center"/>
            <w:hideMark/>
          </w:tcPr>
          <w:p w14:paraId="5375D29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Aspecto</w:t>
            </w:r>
          </w:p>
        </w:tc>
        <w:tc>
          <w:tcPr>
            <w:tcW w:w="0" w:type="auto"/>
            <w:vAlign w:val="center"/>
            <w:hideMark/>
          </w:tcPr>
          <w:p w14:paraId="6A1BD06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Decisión</w:t>
            </w:r>
          </w:p>
        </w:tc>
      </w:tr>
      <w:tr w:rsidR="000444D1" w:rsidRPr="000444D1" w14:paraId="0BFDEB19" w14:textId="77777777">
        <w:trPr>
          <w:tblCellSpacing w:w="15" w:type="dxa"/>
        </w:trPr>
        <w:tc>
          <w:tcPr>
            <w:tcW w:w="0" w:type="auto"/>
            <w:vAlign w:val="center"/>
            <w:hideMark/>
          </w:tcPr>
          <w:p w14:paraId="55C3F3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Protocolo</w:t>
            </w:r>
          </w:p>
        </w:tc>
        <w:tc>
          <w:tcPr>
            <w:tcW w:w="0" w:type="auto"/>
            <w:vAlign w:val="center"/>
            <w:hideMark/>
          </w:tcPr>
          <w:p w14:paraId="5950CE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OpenID Connect con flujo de código de autorización y PKCE</w:t>
            </w:r>
          </w:p>
        </w:tc>
      </w:tr>
      <w:tr w:rsidR="000444D1" w:rsidRPr="000444D1" w14:paraId="6E612CB0" w14:textId="77777777">
        <w:trPr>
          <w:tblCellSpacing w:w="15" w:type="dxa"/>
        </w:trPr>
        <w:tc>
          <w:tcPr>
            <w:tcW w:w="0" w:type="auto"/>
            <w:vAlign w:val="center"/>
            <w:hideMark/>
          </w:tcPr>
          <w:p w14:paraId="2730C2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Factores</w:t>
            </w:r>
          </w:p>
        </w:tc>
        <w:tc>
          <w:tcPr>
            <w:tcW w:w="0" w:type="auto"/>
            <w:vAlign w:val="center"/>
            <w:hideMark/>
          </w:tcPr>
          <w:p w14:paraId="14ADE6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Contraseña o biometría del dispositivo, más segundo factor en el alta de dispositivo y en operaciones sensibles</w:t>
            </w:r>
          </w:p>
        </w:tc>
      </w:tr>
      <w:tr w:rsidR="000444D1" w:rsidRPr="000444D1" w14:paraId="06F65DB2" w14:textId="77777777">
        <w:trPr>
          <w:tblCellSpacing w:w="15" w:type="dxa"/>
        </w:trPr>
        <w:tc>
          <w:tcPr>
            <w:tcW w:w="0" w:type="auto"/>
            <w:vAlign w:val="center"/>
            <w:hideMark/>
          </w:tcPr>
          <w:p w14:paraId="20FC53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Vinculación de dispositivo</w:t>
            </w:r>
          </w:p>
        </w:tc>
        <w:tc>
          <w:tcPr>
            <w:tcW w:w="0" w:type="auto"/>
            <w:vAlign w:val="center"/>
            <w:hideMark/>
          </w:tcPr>
          <w:p w14:paraId="0B1A31D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app registra un par de claves en el dispositivo; el token se asocia a él</w:t>
            </w:r>
          </w:p>
        </w:tc>
      </w:tr>
      <w:tr w:rsidR="000444D1" w:rsidRPr="000444D1" w14:paraId="376A388E" w14:textId="77777777">
        <w:trPr>
          <w:tblCellSpacing w:w="15" w:type="dxa"/>
        </w:trPr>
        <w:tc>
          <w:tcPr>
            <w:tcW w:w="0" w:type="auto"/>
            <w:vAlign w:val="center"/>
            <w:hideMark/>
          </w:tcPr>
          <w:p w14:paraId="34753AA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Reautenticación reforzada</w:t>
            </w:r>
          </w:p>
        </w:tc>
        <w:tc>
          <w:tcPr>
            <w:tcW w:w="0" w:type="auto"/>
            <w:vAlign w:val="center"/>
            <w:hideMark/>
          </w:tcPr>
          <w:p w14:paraId="1058BD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Exigida al superar umbrales de monto o al operar hacia un destinatario no registrado previamente</w:t>
            </w:r>
          </w:p>
        </w:tc>
      </w:tr>
      <w:tr w:rsidR="000444D1" w:rsidRPr="000444D1" w14:paraId="3FFAA371" w14:textId="77777777">
        <w:trPr>
          <w:tblCellSpacing w:w="15" w:type="dxa"/>
        </w:trPr>
        <w:tc>
          <w:tcPr>
            <w:tcW w:w="0" w:type="auto"/>
            <w:vAlign w:val="center"/>
            <w:hideMark/>
          </w:tcPr>
          <w:p w14:paraId="010878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Sesión</w:t>
            </w:r>
          </w:p>
        </w:tc>
        <w:tc>
          <w:tcPr>
            <w:tcW w:w="0" w:type="auto"/>
            <w:vAlign w:val="center"/>
            <w:hideMark/>
          </w:tcPr>
          <w:p w14:paraId="3D0D3D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 de acceso de vida corta y token de refresco con rotación y detección de reutilización</w:t>
            </w:r>
          </w:p>
        </w:tc>
      </w:tr>
    </w:tbl>
    <w:p w14:paraId="0D5CFC5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reautenticación reforzada no se implementa en el IdP de forma aislada: el BFF la solicita cuando la operación lo requiere, y quien determina ese requisito es la política de D4, no el canal. La razón es que el umbral es una regla de negocio y debe residir donde residen las reglas de negocio, no en la capa de presentación ni en el borde.</w:t>
      </w:r>
    </w:p>
    <w:p w14:paraId="434A859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14.3 Autenticación y autorización de terceros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7765"/>
      </w:tblGrid>
      <w:tr w:rsidR="000444D1" w:rsidRPr="000444D1" w14:paraId="0B2E6980" w14:textId="77777777">
        <w:trPr>
          <w:tblHeader/>
          <w:tblCellSpacing w:w="15" w:type="dxa"/>
        </w:trPr>
        <w:tc>
          <w:tcPr>
            <w:tcW w:w="0" w:type="auto"/>
            <w:vAlign w:val="center"/>
            <w:hideMark/>
          </w:tcPr>
          <w:p w14:paraId="1CF35A0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Aspecto</w:t>
            </w:r>
          </w:p>
        </w:tc>
        <w:tc>
          <w:tcPr>
            <w:tcW w:w="0" w:type="auto"/>
            <w:vAlign w:val="center"/>
            <w:hideMark/>
          </w:tcPr>
          <w:p w14:paraId="3ED1A18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Decisión</w:t>
            </w:r>
          </w:p>
        </w:tc>
      </w:tr>
      <w:tr w:rsidR="000444D1" w:rsidRPr="000444D1" w14:paraId="53A7C7B9" w14:textId="77777777">
        <w:trPr>
          <w:tblCellSpacing w:w="15" w:type="dxa"/>
        </w:trPr>
        <w:tc>
          <w:tcPr>
            <w:tcW w:w="0" w:type="auto"/>
            <w:vAlign w:val="center"/>
            <w:hideMark/>
          </w:tcPr>
          <w:p w14:paraId="0E9202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Transporte</w:t>
            </w:r>
          </w:p>
        </w:tc>
        <w:tc>
          <w:tcPr>
            <w:tcW w:w="0" w:type="auto"/>
            <w:vAlign w:val="center"/>
            <w:hideMark/>
          </w:tcPr>
          <w:p w14:paraId="1275FE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mTLS obligatorio; el certificado del TPP identifica a la entidad</w:t>
            </w:r>
          </w:p>
        </w:tc>
      </w:tr>
      <w:tr w:rsidR="000444D1" w:rsidRPr="000444D1" w14:paraId="57A05410" w14:textId="77777777">
        <w:trPr>
          <w:tblCellSpacing w:w="15" w:type="dxa"/>
        </w:trPr>
        <w:tc>
          <w:tcPr>
            <w:tcW w:w="0" w:type="auto"/>
            <w:vAlign w:val="center"/>
            <w:hideMark/>
          </w:tcPr>
          <w:p w14:paraId="66A5E2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w:t>
            </w:r>
          </w:p>
        </w:tc>
        <w:tc>
          <w:tcPr>
            <w:tcW w:w="0" w:type="auto"/>
            <w:vAlign w:val="center"/>
            <w:hideMark/>
          </w:tcPr>
          <w:p w14:paraId="04E81C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OAuth 2.0 vinculado al certificado: un token robado es inutilizable sin la clave privada asociada</w:t>
            </w:r>
          </w:p>
        </w:tc>
      </w:tr>
      <w:tr w:rsidR="000444D1" w:rsidRPr="000444D1" w14:paraId="4AE83BC8" w14:textId="77777777">
        <w:trPr>
          <w:tblCellSpacing w:w="15" w:type="dxa"/>
        </w:trPr>
        <w:tc>
          <w:tcPr>
            <w:tcW w:w="0" w:type="auto"/>
            <w:vAlign w:val="center"/>
            <w:hideMark/>
          </w:tcPr>
          <w:p w14:paraId="3CC5CD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Alcances</w:t>
            </w:r>
          </w:p>
        </w:tc>
        <w:tc>
          <w:tcPr>
            <w:tcW w:w="0" w:type="auto"/>
            <w:vAlign w:val="center"/>
            <w:hideMark/>
          </w:tcPr>
          <w:p w14:paraId="0B655E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Granulares por operación (</w:t>
            </w:r>
            <w:r w:rsidRPr="000444D1">
              <w:rPr>
                <w:rFonts w:ascii="Courier New" w:eastAsia="Times New Roman" w:hAnsi="Courier New" w:cs="Courier New"/>
                <w:kern w:val="0"/>
                <w:sz w:val="20"/>
                <w:szCs w:val="20"/>
                <w14:ligatures w14:val="none"/>
              </w:rPr>
              <w:t>cuentas.saldos.lectura</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movimientos.lectura</w:t>
            </w:r>
            <w:r w:rsidRPr="000444D1">
              <w:rPr>
                <w:rFonts w:ascii="Times New Roman" w:eastAsia="Times New Roman" w:hAnsi="Times New Roman" w:cs="Times New Roman"/>
                <w:kern w:val="0"/>
                <w14:ligatures w14:val="none"/>
              </w:rPr>
              <w:t>), nunca un alcance global</w:t>
            </w:r>
          </w:p>
        </w:tc>
      </w:tr>
      <w:tr w:rsidR="000444D1" w:rsidRPr="000444D1" w14:paraId="0290B474" w14:textId="77777777">
        <w:trPr>
          <w:tblCellSpacing w:w="15" w:type="dxa"/>
        </w:trPr>
        <w:tc>
          <w:tcPr>
            <w:tcW w:w="0" w:type="auto"/>
            <w:vAlign w:val="center"/>
            <w:hideMark/>
          </w:tcPr>
          <w:p w14:paraId="4A4A40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w:t>
            </w:r>
          </w:p>
        </w:tc>
        <w:tc>
          <w:tcPr>
            <w:tcW w:w="0" w:type="auto"/>
            <w:vAlign w:val="center"/>
            <w:hideMark/>
          </w:tcPr>
          <w:p w14:paraId="1D8E99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Verificado contra D7 </w:t>
            </w:r>
            <w:r w:rsidRPr="000444D1">
              <w:rPr>
                <w:rFonts w:ascii="Times New Roman" w:eastAsia="Times New Roman" w:hAnsi="Times New Roman" w:cs="Times New Roman"/>
                <w:b/>
                <w:bCs/>
                <w:kern w:val="0"/>
                <w14:ligatures w14:val="none"/>
              </w:rPr>
              <w:t>en cada petición</w:t>
            </w:r>
            <w:r w:rsidRPr="000444D1">
              <w:rPr>
                <w:rFonts w:ascii="Times New Roman" w:eastAsia="Times New Roman" w:hAnsi="Times New Roman" w:cs="Times New Roman"/>
                <w:kern w:val="0"/>
                <w14:ligatures w14:val="none"/>
              </w:rPr>
              <w:t>, no solo al emitir el token</w:t>
            </w:r>
          </w:p>
        </w:tc>
      </w:tr>
      <w:tr w:rsidR="000444D1" w:rsidRPr="000444D1" w14:paraId="20BB812B" w14:textId="77777777">
        <w:trPr>
          <w:tblCellSpacing w:w="15" w:type="dxa"/>
        </w:trPr>
        <w:tc>
          <w:tcPr>
            <w:tcW w:w="0" w:type="auto"/>
            <w:vAlign w:val="center"/>
            <w:hideMark/>
          </w:tcPr>
          <w:p w14:paraId="046767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w:t>
            </w:r>
          </w:p>
        </w:tc>
        <w:tc>
          <w:tcPr>
            <w:tcW w:w="0" w:type="auto"/>
            <w:vAlign w:val="center"/>
            <w:hideMark/>
          </w:tcPr>
          <w:p w14:paraId="0DFF93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acceso queda en D8 con identificación del TPP, el consentimiento aplicado y el recurso accedido</w:t>
            </w:r>
          </w:p>
        </w:tc>
      </w:tr>
    </w:tbl>
    <w:p w14:paraId="5457255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Por qué el consentimiento se verifica en cada petición y no al emitir el token.</w:t>
      </w:r>
      <w:r w:rsidRPr="000444D1">
        <w:rPr>
          <w:rFonts w:ascii="Times New Roman" w:eastAsia="Times New Roman" w:hAnsi="Times New Roman" w:cs="Times New Roman"/>
          <w:kern w:val="0"/>
          <w14:ligatures w14:val="none"/>
        </w:rPr>
        <w:t xml:space="preserve"> Un token con vigencia de minutos u horas seguiría siendo válido después de que el titular revoque su consentimiento. Si la verificación ocurriera solo en la emisión, existiría una ventana en la que un tercero accede legítimamente a datos que el titular ya no autoriza. Esa ventana es inaceptable, y el costo de la verificación por petición —una llamada a D7, con caché invalidada por el evento </w:t>
      </w:r>
      <w:r w:rsidRPr="000444D1">
        <w:rPr>
          <w:rFonts w:ascii="Courier New" w:eastAsia="Times New Roman" w:hAnsi="Courier New" w:cs="Courier New"/>
          <w:kern w:val="0"/>
          <w:sz w:val="20"/>
          <w:szCs w:val="20"/>
          <w14:ligatures w14:val="none"/>
        </w:rPr>
        <w:t>consentimiento.revocado</w:t>
      </w:r>
      <w:r w:rsidRPr="000444D1">
        <w:rPr>
          <w:rFonts w:ascii="Times New Roman" w:eastAsia="Times New Roman" w:hAnsi="Times New Roman" w:cs="Times New Roman"/>
          <w:kern w:val="0"/>
          <w14:ligatures w14:val="none"/>
        </w:rPr>
        <w:t>— es asumible.</w:t>
      </w:r>
    </w:p>
    <w:p w14:paraId="2E4005F5"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14.4 Identidad de cargas de trabajo</w:t>
      </w:r>
    </w:p>
    <w:p w14:paraId="6931629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comunicación entre servicios no usa claves compartidas ni credenciales estáticas. Cada carga de trabajo recibe una identidad criptográfica con certificados de corta duración, emitidos y rotados automáticamente por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6399"/>
      </w:tblGrid>
      <w:tr w:rsidR="000444D1" w:rsidRPr="000444D1" w14:paraId="5E9806D8" w14:textId="77777777">
        <w:trPr>
          <w:tblHeader/>
          <w:tblCellSpacing w:w="15" w:type="dxa"/>
        </w:trPr>
        <w:tc>
          <w:tcPr>
            <w:tcW w:w="0" w:type="auto"/>
            <w:vAlign w:val="center"/>
            <w:hideMark/>
          </w:tcPr>
          <w:p w14:paraId="26A02BD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Propiedad</w:t>
            </w:r>
          </w:p>
        </w:tc>
        <w:tc>
          <w:tcPr>
            <w:tcW w:w="0" w:type="auto"/>
            <w:vAlign w:val="center"/>
            <w:hideMark/>
          </w:tcPr>
          <w:p w14:paraId="69BEFA5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Efecto</w:t>
            </w:r>
          </w:p>
        </w:tc>
      </w:tr>
      <w:tr w:rsidR="000444D1" w:rsidRPr="000444D1" w14:paraId="552C97E2" w14:textId="77777777">
        <w:trPr>
          <w:tblCellSpacing w:w="15" w:type="dxa"/>
        </w:trPr>
        <w:tc>
          <w:tcPr>
            <w:tcW w:w="0" w:type="auto"/>
            <w:vAlign w:val="center"/>
            <w:hideMark/>
          </w:tcPr>
          <w:p w14:paraId="094B81B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Autenticación mutua entre servicios</w:t>
            </w:r>
          </w:p>
        </w:tc>
        <w:tc>
          <w:tcPr>
            <w:tcW w:w="0" w:type="auto"/>
            <w:vAlign w:val="center"/>
            <w:hideMark/>
          </w:tcPr>
          <w:p w14:paraId="30BCC70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servicio comprometido no puede suplantar a otro</w:t>
            </w:r>
          </w:p>
        </w:tc>
      </w:tr>
      <w:tr w:rsidR="000444D1" w:rsidRPr="000444D1" w14:paraId="723157E5" w14:textId="77777777">
        <w:trPr>
          <w:tblCellSpacing w:w="15" w:type="dxa"/>
        </w:trPr>
        <w:tc>
          <w:tcPr>
            <w:tcW w:w="0" w:type="auto"/>
            <w:vAlign w:val="center"/>
            <w:hideMark/>
          </w:tcPr>
          <w:p w14:paraId="2ACB9D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Certificados de minutos</w:t>
            </w:r>
          </w:p>
        </w:tc>
        <w:tc>
          <w:tcPr>
            <w:tcW w:w="0" w:type="auto"/>
            <w:vAlign w:val="center"/>
            <w:hideMark/>
          </w:tcPr>
          <w:p w14:paraId="606087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credencial exfiltrada caduca antes de ser útil</w:t>
            </w:r>
          </w:p>
        </w:tc>
      </w:tr>
      <w:tr w:rsidR="000444D1" w:rsidRPr="000444D1" w14:paraId="5C132DFC" w14:textId="77777777">
        <w:trPr>
          <w:tblCellSpacing w:w="15" w:type="dxa"/>
        </w:trPr>
        <w:tc>
          <w:tcPr>
            <w:tcW w:w="0" w:type="auto"/>
            <w:vAlign w:val="center"/>
            <w:hideMark/>
          </w:tcPr>
          <w:p w14:paraId="6A05EE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Autorización por identidad de servicio</w:t>
            </w:r>
          </w:p>
        </w:tc>
        <w:tc>
          <w:tcPr>
            <w:tcW w:w="0" w:type="auto"/>
            <w:vAlign w:val="center"/>
            <w:hideMark/>
          </w:tcPr>
          <w:p w14:paraId="009B2C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declara explícitamente qué servicio puede invocar a cuál; el resto se deniega por omisión</w:t>
            </w:r>
          </w:p>
        </w:tc>
      </w:tr>
      <w:tr w:rsidR="000444D1" w:rsidRPr="000444D1" w14:paraId="239FEF79" w14:textId="77777777">
        <w:trPr>
          <w:tblCellSpacing w:w="15" w:type="dxa"/>
        </w:trPr>
        <w:tc>
          <w:tcPr>
            <w:tcW w:w="0" w:type="auto"/>
            <w:vAlign w:val="center"/>
            <w:hideMark/>
          </w:tcPr>
          <w:p w14:paraId="66D7F1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secretos en configuración</w:t>
            </w:r>
          </w:p>
        </w:tc>
        <w:tc>
          <w:tcPr>
            <w:tcW w:w="0" w:type="auto"/>
            <w:vAlign w:val="center"/>
            <w:hideMark/>
          </w:tcPr>
          <w:p w14:paraId="054ADA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Elimina la clase de incidente más común: credenciales en repositorios o variables de entorno</w:t>
            </w:r>
          </w:p>
        </w:tc>
      </w:tr>
    </w:tbl>
    <w:p w14:paraId="49B2BE9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política de autorización entre servicios es restrictiva por defecto y se deriva directamente del inventario de relaciones de la sección 7.6: si una relación no figura allí, no está permitida. Esto convierte el diagrama de contenedores en una fuente verificable de la política de red, en lugar de un documento que se desactualiza frente a la configuración real.</w:t>
      </w:r>
    </w:p>
    <w:p w14:paraId="694755B7"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14.5 Personas operadoras y acceso a datos productivos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3271"/>
        <w:gridCol w:w="3856"/>
      </w:tblGrid>
      <w:tr w:rsidR="000444D1" w:rsidRPr="000444D1" w14:paraId="2C22C413" w14:textId="77777777">
        <w:trPr>
          <w:tblHeader/>
          <w:tblCellSpacing w:w="15" w:type="dxa"/>
        </w:trPr>
        <w:tc>
          <w:tcPr>
            <w:tcW w:w="0" w:type="auto"/>
            <w:vAlign w:val="center"/>
            <w:hideMark/>
          </w:tcPr>
          <w:p w14:paraId="70B02EA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Perfil</w:t>
            </w:r>
          </w:p>
        </w:tc>
        <w:tc>
          <w:tcPr>
            <w:tcW w:w="0" w:type="auto"/>
            <w:vAlign w:val="center"/>
            <w:hideMark/>
          </w:tcPr>
          <w:p w14:paraId="31FAF9C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Acceso concedido</w:t>
            </w:r>
          </w:p>
        </w:tc>
        <w:tc>
          <w:tcPr>
            <w:tcW w:w="0" w:type="auto"/>
            <w:vAlign w:val="center"/>
            <w:hideMark/>
          </w:tcPr>
          <w:p w14:paraId="044D7F8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Control</w:t>
            </w:r>
          </w:p>
        </w:tc>
      </w:tr>
      <w:tr w:rsidR="000444D1" w:rsidRPr="000444D1" w14:paraId="7B85E798" w14:textId="77777777">
        <w:trPr>
          <w:tblCellSpacing w:w="15" w:type="dxa"/>
        </w:trPr>
        <w:tc>
          <w:tcPr>
            <w:tcW w:w="0" w:type="auto"/>
            <w:vAlign w:val="center"/>
            <w:hideMark/>
          </w:tcPr>
          <w:p w14:paraId="4CC8D8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Analista de fraude</w:t>
            </w:r>
          </w:p>
        </w:tc>
        <w:tc>
          <w:tcPr>
            <w:tcW w:w="0" w:type="auto"/>
            <w:vAlign w:val="center"/>
            <w:hideMark/>
          </w:tcPr>
          <w:p w14:paraId="503230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Casos de operaciones marcadas, con datos mínimos necesarios</w:t>
            </w:r>
          </w:p>
        </w:tc>
        <w:tc>
          <w:tcPr>
            <w:tcW w:w="0" w:type="auto"/>
            <w:vAlign w:val="center"/>
            <w:hideMark/>
          </w:tcPr>
          <w:p w14:paraId="30850E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registrado en D8; sin acceso a la base de D4</w:t>
            </w:r>
          </w:p>
        </w:tc>
      </w:tr>
      <w:tr w:rsidR="000444D1" w:rsidRPr="000444D1" w14:paraId="5782832F" w14:textId="77777777">
        <w:trPr>
          <w:tblCellSpacing w:w="15" w:type="dxa"/>
        </w:trPr>
        <w:tc>
          <w:tcPr>
            <w:tcW w:w="0" w:type="auto"/>
            <w:vAlign w:val="center"/>
            <w:hideMark/>
          </w:tcPr>
          <w:p w14:paraId="5B12A72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Analista de riesgos y cumplimiento</w:t>
            </w:r>
          </w:p>
        </w:tc>
        <w:tc>
          <w:tcPr>
            <w:tcW w:w="0" w:type="auto"/>
            <w:vAlign w:val="center"/>
            <w:hideMark/>
          </w:tcPr>
          <w:p w14:paraId="75A47E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trazas de auditoría y reportería agregada</w:t>
            </w:r>
          </w:p>
        </w:tc>
        <w:tc>
          <w:tcPr>
            <w:tcW w:w="0" w:type="auto"/>
            <w:vAlign w:val="center"/>
            <w:hideMark/>
          </w:tcPr>
          <w:p w14:paraId="429133F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Solo lectura sobre D8</w:t>
            </w:r>
          </w:p>
        </w:tc>
      </w:tr>
      <w:tr w:rsidR="000444D1" w:rsidRPr="000444D1" w14:paraId="196D91F5" w14:textId="77777777">
        <w:trPr>
          <w:tblCellSpacing w:w="15" w:type="dxa"/>
        </w:trPr>
        <w:tc>
          <w:tcPr>
            <w:tcW w:w="0" w:type="auto"/>
            <w:vAlign w:val="center"/>
            <w:hideMark/>
          </w:tcPr>
          <w:p w14:paraId="44EF8B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Soporte de primera línea</w:t>
            </w:r>
          </w:p>
        </w:tc>
        <w:tc>
          <w:tcPr>
            <w:tcW w:w="0" w:type="auto"/>
            <w:vAlign w:val="center"/>
            <w:hideMark/>
          </w:tcPr>
          <w:p w14:paraId="34D016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Vista de cliente con datos enmascarados por omisión</w:t>
            </w:r>
          </w:p>
        </w:tc>
        <w:tc>
          <w:tcPr>
            <w:tcW w:w="0" w:type="auto"/>
            <w:vAlign w:val="center"/>
            <w:hideMark/>
          </w:tcPr>
          <w:p w14:paraId="2DF7E0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revelación de un dato enmascarado requiere justificación y queda registrada</w:t>
            </w:r>
          </w:p>
        </w:tc>
      </w:tr>
      <w:tr w:rsidR="000444D1" w:rsidRPr="000444D1" w14:paraId="35BE1460" w14:textId="77777777">
        <w:trPr>
          <w:tblCellSpacing w:w="15" w:type="dxa"/>
        </w:trPr>
        <w:tc>
          <w:tcPr>
            <w:tcW w:w="0" w:type="auto"/>
            <w:vAlign w:val="center"/>
            <w:hideMark/>
          </w:tcPr>
          <w:p w14:paraId="1B85219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Personal técnico</w:t>
            </w:r>
          </w:p>
        </w:tc>
        <w:tc>
          <w:tcPr>
            <w:tcW w:w="0" w:type="auto"/>
            <w:vAlign w:val="center"/>
            <w:hideMark/>
          </w:tcPr>
          <w:p w14:paraId="5D66A9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acceso a datos productivos</w:t>
            </w:r>
          </w:p>
        </w:tc>
        <w:tc>
          <w:tcPr>
            <w:tcW w:w="0" w:type="auto"/>
            <w:vAlign w:val="center"/>
            <w:hideMark/>
          </w:tcPr>
          <w:p w14:paraId="4690A2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Separación de funciones (control C-19)</w:t>
            </w:r>
          </w:p>
        </w:tc>
      </w:tr>
    </w:tbl>
    <w:p w14:paraId="582089E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principio operativo es que </w:t>
      </w:r>
      <w:r w:rsidRPr="000444D1">
        <w:rPr>
          <w:rFonts w:ascii="Times New Roman" w:eastAsia="Times New Roman" w:hAnsi="Times New Roman" w:cs="Times New Roman"/>
          <w:b/>
          <w:bCs/>
          <w:kern w:val="0"/>
          <w14:ligatures w14:val="none"/>
        </w:rPr>
        <w:t>ninguna persona accede a un almacén directamente</w:t>
      </w:r>
      <w:r w:rsidRPr="000444D1">
        <w:rPr>
          <w:rFonts w:ascii="Times New Roman" w:eastAsia="Times New Roman" w:hAnsi="Times New Roman" w:cs="Times New Roman"/>
          <w:kern w:val="0"/>
          <w14:ligatures w14:val="none"/>
        </w:rPr>
        <w:t>: el acceso ocurre a través de interfaces que aplican enmascaramiento y dejan traza. Un acceso directo a base de datos no puede auditarse por titular ni por finalidad, que es lo que la LOPDP exige acreditar.</w:t>
      </w:r>
    </w:p>
    <w:p w14:paraId="73584E3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14.6 Modelo de autorización: dónde se decide qué</w:t>
      </w:r>
    </w:p>
    <w:p w14:paraId="1DBE981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autorización se resuelve en tres niveles distintos, y la separación entre ellos es deliberada. Concentrarlos en un único punto —típicamente el gateway— produciría el anti-patrón de lógica de negocio en el borde.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2050"/>
        <w:gridCol w:w="2017"/>
        <w:gridCol w:w="3590"/>
      </w:tblGrid>
      <w:tr w:rsidR="000444D1" w:rsidRPr="000444D1" w14:paraId="575E2AD4" w14:textId="77777777">
        <w:trPr>
          <w:tblHeader/>
          <w:tblCellSpacing w:w="15" w:type="dxa"/>
        </w:trPr>
        <w:tc>
          <w:tcPr>
            <w:tcW w:w="0" w:type="auto"/>
            <w:vAlign w:val="center"/>
            <w:hideMark/>
          </w:tcPr>
          <w:p w14:paraId="33DE401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Nivel</w:t>
            </w:r>
          </w:p>
        </w:tc>
        <w:tc>
          <w:tcPr>
            <w:tcW w:w="0" w:type="auto"/>
            <w:vAlign w:val="center"/>
            <w:hideMark/>
          </w:tcPr>
          <w:p w14:paraId="704E7F7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Pregunta que responde</w:t>
            </w:r>
          </w:p>
        </w:tc>
        <w:tc>
          <w:tcPr>
            <w:tcW w:w="0" w:type="auto"/>
            <w:vAlign w:val="center"/>
            <w:hideMark/>
          </w:tcPr>
          <w:p w14:paraId="0E7DA7E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Dónde se decide</w:t>
            </w:r>
          </w:p>
        </w:tc>
        <w:tc>
          <w:tcPr>
            <w:tcW w:w="0" w:type="auto"/>
            <w:vAlign w:val="center"/>
            <w:hideMark/>
          </w:tcPr>
          <w:p w14:paraId="059F9D3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Ejemplo</w:t>
            </w:r>
          </w:p>
        </w:tc>
      </w:tr>
      <w:tr w:rsidR="000444D1" w:rsidRPr="000444D1" w14:paraId="45D78993" w14:textId="77777777">
        <w:trPr>
          <w:tblCellSpacing w:w="15" w:type="dxa"/>
        </w:trPr>
        <w:tc>
          <w:tcPr>
            <w:tcW w:w="0" w:type="auto"/>
            <w:vAlign w:val="center"/>
            <w:hideMark/>
          </w:tcPr>
          <w:p w14:paraId="529DF2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Autenticación y alcance</w:t>
            </w:r>
          </w:p>
        </w:tc>
        <w:tc>
          <w:tcPr>
            <w:tcW w:w="0" w:type="auto"/>
            <w:vAlign w:val="center"/>
            <w:hideMark/>
          </w:tcPr>
          <w:p w14:paraId="106E64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¿Quién es y qué alcance tiene su credencial?</w:t>
            </w:r>
          </w:p>
        </w:tc>
        <w:tc>
          <w:tcPr>
            <w:tcW w:w="0" w:type="auto"/>
            <w:vAlign w:val="center"/>
            <w:hideMark/>
          </w:tcPr>
          <w:p w14:paraId="761A66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interno o externo, contra el IdP</w:t>
            </w:r>
          </w:p>
        </w:tc>
        <w:tc>
          <w:tcPr>
            <w:tcW w:w="0" w:type="auto"/>
            <w:vAlign w:val="center"/>
            <w:hideMark/>
          </w:tcPr>
          <w:p w14:paraId="6DC8A7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token es válido y contiene el alcance </w:t>
            </w:r>
            <w:r w:rsidRPr="000444D1">
              <w:rPr>
                <w:rFonts w:ascii="Courier New" w:eastAsia="Times New Roman" w:hAnsi="Courier New" w:cs="Courier New"/>
                <w:kern w:val="0"/>
                <w:sz w:val="20"/>
                <w:szCs w:val="20"/>
                <w14:ligatures w14:val="none"/>
              </w:rPr>
              <w:t>movimientos.lectura</w:t>
            </w:r>
          </w:p>
        </w:tc>
      </w:tr>
      <w:tr w:rsidR="000444D1" w:rsidRPr="000444D1" w14:paraId="68A17F2C" w14:textId="77777777">
        <w:trPr>
          <w:tblCellSpacing w:w="15" w:type="dxa"/>
        </w:trPr>
        <w:tc>
          <w:tcPr>
            <w:tcW w:w="0" w:type="auto"/>
            <w:vAlign w:val="center"/>
            <w:hideMark/>
          </w:tcPr>
          <w:p w14:paraId="78C5A1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Entitlement</w:t>
            </w:r>
          </w:p>
        </w:tc>
        <w:tc>
          <w:tcPr>
            <w:tcW w:w="0" w:type="auto"/>
            <w:vAlign w:val="center"/>
            <w:hideMark/>
          </w:tcPr>
          <w:p w14:paraId="50DAF1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¿Puede este sujeto operar sobre este recurso?</w:t>
            </w:r>
          </w:p>
        </w:tc>
        <w:tc>
          <w:tcPr>
            <w:tcW w:w="0" w:type="auto"/>
            <w:vAlign w:val="center"/>
            <w:hideMark/>
          </w:tcPr>
          <w:p w14:paraId="7A8108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D9 Entitlements</w:t>
            </w:r>
            <w:r w:rsidRPr="000444D1">
              <w:rPr>
                <w:rFonts w:ascii="Times New Roman" w:eastAsia="Times New Roman" w:hAnsi="Times New Roman" w:cs="Times New Roman"/>
                <w:kern w:val="0"/>
                <w14:ligatures w14:val="none"/>
              </w:rPr>
              <w:t>, consultado por el gateway</w:t>
            </w:r>
          </w:p>
        </w:tc>
        <w:tc>
          <w:tcPr>
            <w:tcW w:w="0" w:type="auto"/>
            <w:vAlign w:val="center"/>
            <w:hideMark/>
          </w:tcPr>
          <w:p w14:paraId="43211E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cliente es titular o apoderado de la cuenta solicitada</w:t>
            </w:r>
          </w:p>
        </w:tc>
      </w:tr>
      <w:tr w:rsidR="000444D1" w:rsidRPr="000444D1" w14:paraId="3AFB646D" w14:textId="77777777">
        <w:trPr>
          <w:tblCellSpacing w:w="15" w:type="dxa"/>
        </w:trPr>
        <w:tc>
          <w:tcPr>
            <w:tcW w:w="0" w:type="auto"/>
            <w:vAlign w:val="center"/>
            <w:hideMark/>
          </w:tcPr>
          <w:p w14:paraId="1698B6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Regla de negocio</w:t>
            </w:r>
          </w:p>
        </w:tc>
        <w:tc>
          <w:tcPr>
            <w:tcW w:w="0" w:type="auto"/>
            <w:vAlign w:val="center"/>
            <w:hideMark/>
          </w:tcPr>
          <w:p w14:paraId="7B8B9B0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 admisible esta operación en estas condiciones?</w:t>
            </w:r>
          </w:p>
        </w:tc>
        <w:tc>
          <w:tcPr>
            <w:tcW w:w="0" w:type="auto"/>
            <w:vAlign w:val="center"/>
            <w:hideMark/>
          </w:tcPr>
          <w:p w14:paraId="35C76B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Servicio de dominio propietario</w:t>
            </w:r>
          </w:p>
        </w:tc>
        <w:tc>
          <w:tcPr>
            <w:tcW w:w="0" w:type="auto"/>
            <w:vAlign w:val="center"/>
            <w:hideMark/>
          </w:tcPr>
          <w:p w14:paraId="3E64C5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monto supera el límite diario; la cuenta está bloqueada; el producto no admite débito</w:t>
            </w:r>
          </w:p>
        </w:tc>
      </w:tr>
    </w:tbl>
    <w:p w14:paraId="594877E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gateway pregunta pero no decide reglas de negocio: consulta a D9 y actúa según su respuesta, del mismo modo que consulta a D7 para el consentimiento. La distinción entre </w:t>
      </w:r>
      <w:r w:rsidRPr="000444D1">
        <w:rPr>
          <w:rFonts w:ascii="Times New Roman" w:eastAsia="Times New Roman" w:hAnsi="Times New Roman" w:cs="Times New Roman"/>
          <w:b/>
          <w:bCs/>
          <w:kern w:val="0"/>
          <w14:ligatures w14:val="none"/>
        </w:rPr>
        <w:t>aplicar</w:t>
      </w:r>
      <w:r w:rsidRPr="000444D1">
        <w:rPr>
          <w:rFonts w:ascii="Times New Roman" w:eastAsia="Times New Roman" w:hAnsi="Times New Roman" w:cs="Times New Roman"/>
          <w:kern w:val="0"/>
          <w14:ligatures w14:val="none"/>
        </w:rPr>
        <w:t xml:space="preserve"> una decisión y </w:t>
      </w:r>
      <w:r w:rsidRPr="000444D1">
        <w:rPr>
          <w:rFonts w:ascii="Times New Roman" w:eastAsia="Times New Roman" w:hAnsi="Times New Roman" w:cs="Times New Roman"/>
          <w:b/>
          <w:bCs/>
          <w:kern w:val="0"/>
          <w14:ligatures w14:val="none"/>
        </w:rPr>
        <w:t>tomarla</w:t>
      </w:r>
      <w:r w:rsidRPr="000444D1">
        <w:rPr>
          <w:rFonts w:ascii="Times New Roman" w:eastAsia="Times New Roman" w:hAnsi="Times New Roman" w:cs="Times New Roman"/>
          <w:kern w:val="0"/>
          <w14:ligatures w14:val="none"/>
        </w:rPr>
        <w:t xml:space="preserve"> es lo que mantiene el borde libre de lógica de dominio y permite que las reglas evolucionen sin desplegar el gateway.</w:t>
      </w:r>
    </w:p>
    <w:p w14:paraId="4C2C854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14.7 Propagación de identidad a través de la frontera asíncrona</w:t>
      </w:r>
    </w:p>
    <w:p w14:paraId="6301BCA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flujo que empieza con un cliente autenticado y termina en cuatro consumidores de eventos plantea la pregunta de qué ocurre con la identidad al cruzar el bus.</w:t>
      </w:r>
    </w:p>
    <w:p w14:paraId="54AF0D9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Decisión: la identidad del actor no viaja en el payload del evento.</w:t>
      </w:r>
      <w:r w:rsidRPr="000444D1">
        <w:rPr>
          <w:rFonts w:ascii="Times New Roman" w:eastAsia="Times New Roman" w:hAnsi="Times New Roman" w:cs="Times New Roman"/>
          <w:kern w:val="0"/>
          <w14:ligatures w14:val="none"/>
        </w:rPr>
        <w:t xml:space="preserve"> Los eventos transportan identificadores de cliente afectado y de correlación, no credenciales ni identidad del sujeto que originó la operación.</w:t>
      </w:r>
    </w:p>
    <w:p w14:paraId="5AA81E4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motivo es de seguridad, no de simplicidad. Si un evento transportara la identidad del actor, existiría la tentación —y la posibilidad técnica— de que un consumidor tomara decisiones de autorización basándose en ella. Eso reintroduciría en la capa asíncrona una responsabilidad que ya se resolvió en el borde, y crearía un delegado confundido: un servicio que actúa con la autoridad de un usuario cuya credencial nunca validó. </w:t>
      </w:r>
      <w:r w:rsidRPr="000444D1">
        <w:rPr>
          <w:rFonts w:ascii="Times New Roman" w:eastAsia="Times New Roman" w:hAnsi="Times New Roman" w:cs="Times New Roman"/>
          <w:b/>
          <w:bCs/>
          <w:kern w:val="0"/>
          <w14:ligatures w14:val="none"/>
        </w:rPr>
        <w:t>La autorización ocurre una vez, de forma síncrona, antes de que el hecho se produzca.</w:t>
      </w:r>
      <w:r w:rsidRPr="000444D1">
        <w:rPr>
          <w:rFonts w:ascii="Times New Roman" w:eastAsia="Times New Roman" w:hAnsi="Times New Roman" w:cs="Times New Roman"/>
          <w:kern w:val="0"/>
          <w14:ligatures w14:val="none"/>
        </w:rPr>
        <w:t xml:space="preserve"> Un evento describe algo que ya sucedió y fue autorizado; no es una solicitud que deba volver a autorizarse.</w:t>
      </w:r>
    </w:p>
    <w:p w14:paraId="7E9FA41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atribución, que sí es necesaria para auditoría, se resuelve por correlación: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3"/>
        <w:gridCol w:w="5937"/>
      </w:tblGrid>
      <w:tr w:rsidR="000444D1" w:rsidRPr="000444D1" w14:paraId="5D9C90DE" w14:textId="77777777">
        <w:trPr>
          <w:tblHeader/>
          <w:tblCellSpacing w:w="15" w:type="dxa"/>
        </w:trPr>
        <w:tc>
          <w:tcPr>
            <w:tcW w:w="0" w:type="auto"/>
            <w:vAlign w:val="center"/>
            <w:hideMark/>
          </w:tcPr>
          <w:p w14:paraId="4D67466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Necesidad</w:t>
            </w:r>
          </w:p>
        </w:tc>
        <w:tc>
          <w:tcPr>
            <w:tcW w:w="0" w:type="auto"/>
            <w:vAlign w:val="center"/>
            <w:hideMark/>
          </w:tcPr>
          <w:p w14:paraId="0E047F8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Cómo se satisface</w:t>
            </w:r>
          </w:p>
        </w:tc>
      </w:tr>
      <w:tr w:rsidR="000444D1" w:rsidRPr="000444D1" w14:paraId="6DB78F0C" w14:textId="77777777">
        <w:trPr>
          <w:tblCellSpacing w:w="15" w:type="dxa"/>
        </w:trPr>
        <w:tc>
          <w:tcPr>
            <w:tcW w:w="0" w:type="auto"/>
            <w:vAlign w:val="center"/>
            <w:hideMark/>
          </w:tcPr>
          <w:p w14:paraId="5A6E6B0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Saber quién originó una operación</w:t>
            </w:r>
          </w:p>
        </w:tc>
        <w:tc>
          <w:tcPr>
            <w:tcW w:w="0" w:type="auto"/>
            <w:vAlign w:val="center"/>
            <w:hideMark/>
          </w:tcPr>
          <w:p w14:paraId="590D490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idCorrelacion</w:t>
            </w:r>
            <w:r w:rsidRPr="000444D1">
              <w:rPr>
                <w:rFonts w:ascii="Times New Roman" w:eastAsia="Times New Roman" w:hAnsi="Times New Roman" w:cs="Times New Roman"/>
                <w:kern w:val="0"/>
                <w14:ligatures w14:val="none"/>
              </w:rPr>
              <w:t xml:space="preserve"> del evento enlaza con el registro de acceso que el gateway escribió en D8</w:t>
            </w:r>
          </w:p>
        </w:tc>
      </w:tr>
      <w:tr w:rsidR="000444D1" w:rsidRPr="000444D1" w14:paraId="02520509" w14:textId="77777777">
        <w:trPr>
          <w:tblCellSpacing w:w="15" w:type="dxa"/>
        </w:trPr>
        <w:tc>
          <w:tcPr>
            <w:tcW w:w="0" w:type="auto"/>
            <w:vAlign w:val="center"/>
            <w:hideMark/>
          </w:tcPr>
          <w:p w14:paraId="35F7A2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Saber bajo qué consentimiento accedió un tercero</w:t>
            </w:r>
          </w:p>
        </w:tc>
        <w:tc>
          <w:tcPr>
            <w:tcW w:w="0" w:type="auto"/>
            <w:vAlign w:val="center"/>
            <w:hideMark/>
          </w:tcPr>
          <w:p w14:paraId="782A1A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D8, alimentado por el gateway externo (control C-18)</w:t>
            </w:r>
          </w:p>
        </w:tc>
      </w:tr>
      <w:tr w:rsidR="000444D1" w:rsidRPr="000444D1" w14:paraId="267B8558" w14:textId="77777777">
        <w:trPr>
          <w:tblCellSpacing w:w="15" w:type="dxa"/>
        </w:trPr>
        <w:tc>
          <w:tcPr>
            <w:tcW w:w="0" w:type="auto"/>
            <w:vAlign w:val="center"/>
            <w:hideMark/>
          </w:tcPr>
          <w:p w14:paraId="1F97DB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Saber si una operación fue presencial o digital</w:t>
            </w:r>
          </w:p>
        </w:tc>
        <w:tc>
          <w:tcPr>
            <w:tcW w:w="0" w:type="auto"/>
            <w:vAlign w:val="center"/>
            <w:hideMark/>
          </w:tcPr>
          <w:p w14:paraId="1FC6BE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Campo </w:t>
            </w:r>
            <w:r w:rsidRPr="000444D1">
              <w:rPr>
                <w:rFonts w:ascii="Courier New" w:eastAsia="Times New Roman" w:hAnsi="Courier New" w:cs="Courier New"/>
                <w:kern w:val="0"/>
                <w:sz w:val="20"/>
                <w:szCs w:val="20"/>
                <w14:ligatures w14:val="none"/>
              </w:rPr>
              <w:t>canalOrigen</w:t>
            </w:r>
            <w:r w:rsidRPr="000444D1">
              <w:rPr>
                <w:rFonts w:ascii="Times New Roman" w:eastAsia="Times New Roman" w:hAnsi="Times New Roman" w:cs="Times New Roman"/>
                <w:kern w:val="0"/>
                <w14:ligatures w14:val="none"/>
              </w:rPr>
              <w:t xml:space="preserve"> del evento </w:t>
            </w:r>
            <w:r w:rsidRPr="000444D1">
              <w:rPr>
                <w:rFonts w:ascii="Courier New" w:eastAsia="Times New Roman" w:hAnsi="Courier New" w:cs="Courier New"/>
                <w:kern w:val="0"/>
                <w:sz w:val="20"/>
                <w:szCs w:val="20"/>
                <w14:ligatures w14:val="none"/>
              </w:rPr>
              <w:t>cuenta.movimiento-registrado</w:t>
            </w:r>
          </w:p>
        </w:tc>
      </w:tr>
    </w:tbl>
    <w:p w14:paraId="6BB73A2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 la trazabilidad completa existe sin que la identidad circule por un canal donde no puede verificarse.</w:t>
      </w:r>
    </w:p>
    <w:p w14:paraId="6F3E414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14.8 La identidad frente al core tradicional</w:t>
      </w:r>
    </w:p>
    <w:p w14:paraId="425A541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Este es el punto de mayor fricción del modelo, y conviene declararlo con precisión en lugar de dejarlo implícito.</w:t>
      </w:r>
    </w:p>
    <w:p w14:paraId="1E58215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core tradicional no conoce a los clientes digitales.</w:t>
      </w:r>
      <w:r w:rsidRPr="000444D1">
        <w:rPr>
          <w:rFonts w:ascii="Times New Roman" w:eastAsia="Times New Roman" w:hAnsi="Times New Roman" w:cs="Times New Roman"/>
          <w:kern w:val="0"/>
          <w14:ligatures w14:val="none"/>
        </w:rPr>
        <w:t xml:space="preserve"> El ACL se autentica contra él con una cuenta técnica, de modo que, desde la perspectiva del core, todo el tráfico digital procede de un único usuario. Esto tiene cuatro consecuencias que el diseño asume explícitamente: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6425"/>
      </w:tblGrid>
      <w:tr w:rsidR="000444D1" w:rsidRPr="000444D1" w14:paraId="30032352" w14:textId="77777777">
        <w:trPr>
          <w:tblHeader/>
          <w:tblCellSpacing w:w="15" w:type="dxa"/>
        </w:trPr>
        <w:tc>
          <w:tcPr>
            <w:tcW w:w="0" w:type="auto"/>
            <w:vAlign w:val="center"/>
            <w:hideMark/>
          </w:tcPr>
          <w:p w14:paraId="3602CDA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Consecuencia</w:t>
            </w:r>
          </w:p>
        </w:tc>
        <w:tc>
          <w:tcPr>
            <w:tcW w:w="0" w:type="auto"/>
            <w:vAlign w:val="center"/>
            <w:hideMark/>
          </w:tcPr>
          <w:p w14:paraId="2499815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 en el diseño</w:t>
            </w:r>
          </w:p>
        </w:tc>
      </w:tr>
      <w:tr w:rsidR="000444D1" w:rsidRPr="000444D1" w14:paraId="267214A1" w14:textId="77777777">
        <w:trPr>
          <w:tblCellSpacing w:w="15" w:type="dxa"/>
        </w:trPr>
        <w:tc>
          <w:tcPr>
            <w:tcW w:w="0" w:type="auto"/>
            <w:vAlign w:val="center"/>
            <w:hideMark/>
          </w:tcPr>
          <w:p w14:paraId="036ED6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auditoría del core no sirve para atribuir operaciones a clientes</w:t>
            </w:r>
          </w:p>
        </w:tc>
        <w:tc>
          <w:tcPr>
            <w:tcW w:w="0" w:type="auto"/>
            <w:vAlign w:val="center"/>
            <w:hideMark/>
          </w:tcPr>
          <w:p w14:paraId="4E1F6B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atribución vive en D8, no en el core. El campo </w:t>
            </w:r>
            <w:r w:rsidRPr="000444D1">
              <w:rPr>
                <w:rFonts w:ascii="Courier New" w:eastAsia="Times New Roman" w:hAnsi="Courier New" w:cs="Courier New"/>
                <w:kern w:val="0"/>
                <w:sz w:val="20"/>
                <w:szCs w:val="20"/>
                <w14:ligatures w14:val="none"/>
              </w:rPr>
              <w:t>referenciaCore</w:t>
            </w:r>
            <w:r w:rsidRPr="000444D1">
              <w:rPr>
                <w:rFonts w:ascii="Times New Roman" w:eastAsia="Times New Roman" w:hAnsi="Times New Roman" w:cs="Times New Roman"/>
                <w:kern w:val="0"/>
                <w14:ligatures w14:val="none"/>
              </w:rPr>
              <w:t xml:space="preserve"> de los eventos es el enlace entre ambos registros</w:t>
            </w:r>
          </w:p>
        </w:tc>
      </w:tr>
      <w:tr w:rsidR="000444D1" w:rsidRPr="000444D1" w14:paraId="06CD6F7D" w14:textId="77777777">
        <w:trPr>
          <w:tblCellSpacing w:w="15" w:type="dxa"/>
        </w:trPr>
        <w:tc>
          <w:tcPr>
            <w:tcW w:w="0" w:type="auto"/>
            <w:vAlign w:val="center"/>
            <w:hideMark/>
          </w:tcPr>
          <w:p w14:paraId="018E1C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control de acceso por operación no puede delegarse al core</w:t>
            </w:r>
          </w:p>
        </w:tc>
        <w:tc>
          <w:tcPr>
            <w:tcW w:w="0" w:type="auto"/>
            <w:vAlign w:val="center"/>
            <w:hideMark/>
          </w:tcPr>
          <w:p w14:paraId="43FAC7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Se aplica </w:t>
            </w:r>
            <w:r w:rsidRPr="000444D1">
              <w:rPr>
                <w:rFonts w:ascii="Times New Roman" w:eastAsia="Times New Roman" w:hAnsi="Times New Roman" w:cs="Times New Roman"/>
                <w:b/>
                <w:bCs/>
                <w:kern w:val="0"/>
                <w14:ligatures w14:val="none"/>
              </w:rPr>
              <w:t>antes</w:t>
            </w:r>
            <w:r w:rsidRPr="000444D1">
              <w:rPr>
                <w:rFonts w:ascii="Times New Roman" w:eastAsia="Times New Roman" w:hAnsi="Times New Roman" w:cs="Times New Roman"/>
                <w:kern w:val="0"/>
                <w14:ligatures w14:val="none"/>
              </w:rPr>
              <w:t>, en D9 y en el servicio de dominio. El core recibe operaciones ya autorizadas</w:t>
            </w:r>
          </w:p>
        </w:tc>
      </w:tr>
      <w:tr w:rsidR="000444D1" w:rsidRPr="000444D1" w14:paraId="033C54AE" w14:textId="77777777">
        <w:trPr>
          <w:tblCellSpacing w:w="15" w:type="dxa"/>
        </w:trPr>
        <w:tc>
          <w:tcPr>
            <w:tcW w:w="0" w:type="auto"/>
            <w:vAlign w:val="center"/>
            <w:hideMark/>
          </w:tcPr>
          <w:p w14:paraId="123AB4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cuenta técnica es una credencial de máximo privilegio</w:t>
            </w:r>
          </w:p>
        </w:tc>
        <w:tc>
          <w:tcPr>
            <w:tcW w:w="0" w:type="auto"/>
            <w:vAlign w:val="center"/>
            <w:hideMark/>
          </w:tcPr>
          <w:p w14:paraId="712A6A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Custodiada en el almacén de secretos, rotada periódicamente, sin uso interactivo, y con alertado ante cualquier autenticación fuera del ACL</w:t>
            </w:r>
          </w:p>
        </w:tc>
      </w:tr>
      <w:tr w:rsidR="000444D1" w:rsidRPr="000444D1" w14:paraId="2FED76E9" w14:textId="77777777">
        <w:trPr>
          <w:tblCellSpacing w:w="15" w:type="dxa"/>
        </w:trPr>
        <w:tc>
          <w:tcPr>
            <w:tcW w:w="0" w:type="auto"/>
            <w:vAlign w:val="center"/>
            <w:hideMark/>
          </w:tcPr>
          <w:p w14:paraId="3C8948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Un compromiso del ACL equivale a un compromiso del core</w:t>
            </w:r>
          </w:p>
        </w:tc>
        <w:tc>
          <w:tcPr>
            <w:tcW w:w="0" w:type="auto"/>
            <w:vAlign w:val="center"/>
            <w:hideMark/>
          </w:tcPr>
          <w:p w14:paraId="79B856F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Justifica que el ACL sea el componente con la superficie de exposición más reducida del sistema: sin acceso desde internet, sin dependencias entrantes salvo las declaradas en 7.6</w:t>
            </w:r>
          </w:p>
        </w:tc>
      </w:tr>
    </w:tbl>
    <w:p w14:paraId="43F7841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Este es el precio de integrar un sistema que no puede modificarse.</w:t>
      </w:r>
      <w:r w:rsidRPr="000444D1">
        <w:rPr>
          <w:rFonts w:ascii="Times New Roman" w:eastAsia="Times New Roman" w:hAnsi="Times New Roman" w:cs="Times New Roman"/>
          <w:kern w:val="0"/>
          <w14:ligatures w14:val="none"/>
        </w:rPr>
        <w:t xml:space="preserve"> No existe una solución técnica que otorgue al core tradicional conocimiento de identidades que no fue diseñado para manejar. Lo que sí puede hacerse —y el diseño hace— es garantizar que la atribución exista fuera de él, que la autorización ocurra antes de llegar a él, y que la credencial técnica que lo hace posible reciba el tratamiento que corresponde a su nivel de privilegio.</w:t>
      </w:r>
    </w:p>
    <w:p w14:paraId="0992353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14.9 Matriz de responsabilidad por componente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344"/>
        <w:gridCol w:w="2752"/>
        <w:gridCol w:w="2259"/>
      </w:tblGrid>
      <w:tr w:rsidR="000444D1" w:rsidRPr="000444D1" w14:paraId="0A89E7A6" w14:textId="77777777">
        <w:trPr>
          <w:tblHeader/>
          <w:tblCellSpacing w:w="15" w:type="dxa"/>
        </w:trPr>
        <w:tc>
          <w:tcPr>
            <w:tcW w:w="0" w:type="auto"/>
            <w:vAlign w:val="center"/>
            <w:hideMark/>
          </w:tcPr>
          <w:p w14:paraId="4910BCA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c>
          <w:tcPr>
            <w:tcW w:w="0" w:type="auto"/>
            <w:vAlign w:val="center"/>
            <w:hideMark/>
          </w:tcPr>
          <w:p w14:paraId="222115B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Autentica</w:t>
            </w:r>
          </w:p>
        </w:tc>
        <w:tc>
          <w:tcPr>
            <w:tcW w:w="0" w:type="auto"/>
            <w:vAlign w:val="center"/>
            <w:hideMark/>
          </w:tcPr>
          <w:p w14:paraId="6A4A4A1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Autoriza</w:t>
            </w:r>
          </w:p>
        </w:tc>
        <w:tc>
          <w:tcPr>
            <w:tcW w:w="0" w:type="auto"/>
            <w:vAlign w:val="center"/>
            <w:hideMark/>
          </w:tcPr>
          <w:p w14:paraId="3F0A55C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Registra</w:t>
            </w:r>
          </w:p>
        </w:tc>
      </w:tr>
      <w:tr w:rsidR="000444D1" w:rsidRPr="000444D1" w14:paraId="54004C89" w14:textId="77777777">
        <w:trPr>
          <w:tblCellSpacing w:w="15" w:type="dxa"/>
        </w:trPr>
        <w:tc>
          <w:tcPr>
            <w:tcW w:w="0" w:type="auto"/>
            <w:vAlign w:val="center"/>
            <w:hideMark/>
          </w:tcPr>
          <w:p w14:paraId="678886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w:t>
            </w:r>
          </w:p>
        </w:tc>
        <w:tc>
          <w:tcPr>
            <w:tcW w:w="0" w:type="auto"/>
            <w:vAlign w:val="center"/>
            <w:hideMark/>
          </w:tcPr>
          <w:p w14:paraId="7BA822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Certificado y token del TPP</w:t>
            </w:r>
          </w:p>
        </w:tc>
        <w:tc>
          <w:tcPr>
            <w:tcW w:w="0" w:type="auto"/>
            <w:vAlign w:val="center"/>
            <w:hideMark/>
          </w:tcPr>
          <w:p w14:paraId="7C4002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Alcance OAuth; consulta a D7 y D9</w:t>
            </w:r>
          </w:p>
        </w:tc>
        <w:tc>
          <w:tcPr>
            <w:tcW w:w="0" w:type="auto"/>
            <w:vAlign w:val="center"/>
            <w:hideMark/>
          </w:tcPr>
          <w:p w14:paraId="3EA17B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completo en D8</w:t>
            </w:r>
          </w:p>
        </w:tc>
      </w:tr>
      <w:tr w:rsidR="000444D1" w:rsidRPr="000444D1" w14:paraId="1CE7B61C" w14:textId="77777777">
        <w:trPr>
          <w:tblCellSpacing w:w="15" w:type="dxa"/>
        </w:trPr>
        <w:tc>
          <w:tcPr>
            <w:tcW w:w="0" w:type="auto"/>
            <w:vAlign w:val="center"/>
            <w:hideMark/>
          </w:tcPr>
          <w:p w14:paraId="2A850B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interno</w:t>
            </w:r>
          </w:p>
        </w:tc>
        <w:tc>
          <w:tcPr>
            <w:tcW w:w="0" w:type="auto"/>
            <w:vAlign w:val="center"/>
            <w:hideMark/>
          </w:tcPr>
          <w:p w14:paraId="4D04A4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 del cliente</w:t>
            </w:r>
          </w:p>
        </w:tc>
        <w:tc>
          <w:tcPr>
            <w:tcW w:w="0" w:type="auto"/>
            <w:vAlign w:val="center"/>
            <w:hideMark/>
          </w:tcPr>
          <w:p w14:paraId="461BE2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Alcance; consulta a D9</w:t>
            </w:r>
          </w:p>
        </w:tc>
        <w:tc>
          <w:tcPr>
            <w:tcW w:w="0" w:type="auto"/>
            <w:vAlign w:val="center"/>
            <w:hideMark/>
          </w:tcPr>
          <w:p w14:paraId="36D823F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en D8</w:t>
            </w:r>
          </w:p>
        </w:tc>
      </w:tr>
      <w:tr w:rsidR="000444D1" w:rsidRPr="000444D1" w14:paraId="532E3723" w14:textId="77777777">
        <w:trPr>
          <w:tblCellSpacing w:w="15" w:type="dxa"/>
        </w:trPr>
        <w:tc>
          <w:tcPr>
            <w:tcW w:w="0" w:type="auto"/>
            <w:vAlign w:val="center"/>
            <w:hideMark/>
          </w:tcPr>
          <w:p w14:paraId="004216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IdP</w:t>
            </w:r>
          </w:p>
        </w:tc>
        <w:tc>
          <w:tcPr>
            <w:tcW w:w="0" w:type="auto"/>
            <w:vAlign w:val="center"/>
            <w:hideMark/>
          </w:tcPr>
          <w:p w14:paraId="026CE8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Todos los planos de identidad</w:t>
            </w:r>
          </w:p>
        </w:tc>
        <w:tc>
          <w:tcPr>
            <w:tcW w:w="0" w:type="auto"/>
            <w:vAlign w:val="center"/>
            <w:hideMark/>
          </w:tcPr>
          <w:p w14:paraId="271208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Emisión de alcances</w:t>
            </w:r>
          </w:p>
        </w:tc>
        <w:tc>
          <w:tcPr>
            <w:tcW w:w="0" w:type="auto"/>
            <w:vAlign w:val="center"/>
            <w:hideMark/>
          </w:tcPr>
          <w:p w14:paraId="79DA9F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Autenticaciones y fallos</w:t>
            </w:r>
          </w:p>
        </w:tc>
      </w:tr>
      <w:tr w:rsidR="000444D1" w:rsidRPr="000444D1" w14:paraId="42833386" w14:textId="77777777">
        <w:trPr>
          <w:tblCellSpacing w:w="15" w:type="dxa"/>
        </w:trPr>
        <w:tc>
          <w:tcPr>
            <w:tcW w:w="0" w:type="auto"/>
            <w:vAlign w:val="center"/>
            <w:hideMark/>
          </w:tcPr>
          <w:p w14:paraId="2F0621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w:t>
            </w:r>
          </w:p>
        </w:tc>
        <w:tc>
          <w:tcPr>
            <w:tcW w:w="0" w:type="auto"/>
            <w:vAlign w:val="center"/>
            <w:hideMark/>
          </w:tcPr>
          <w:p w14:paraId="1939E8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autentica; recibe identidad ya validada</w:t>
            </w:r>
          </w:p>
        </w:tc>
        <w:tc>
          <w:tcPr>
            <w:tcW w:w="0" w:type="auto"/>
            <w:vAlign w:val="center"/>
            <w:hideMark/>
          </w:tcPr>
          <w:p w14:paraId="5D97D9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autoriza</w:t>
            </w:r>
          </w:p>
        </w:tc>
        <w:tc>
          <w:tcPr>
            <w:tcW w:w="0" w:type="auto"/>
            <w:vAlign w:val="center"/>
            <w:hideMark/>
          </w:tcPr>
          <w:p w14:paraId="257632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Actividad de canal</w:t>
            </w:r>
          </w:p>
        </w:tc>
      </w:tr>
      <w:tr w:rsidR="000444D1" w:rsidRPr="000444D1" w14:paraId="2547287D" w14:textId="77777777">
        <w:trPr>
          <w:tblCellSpacing w:w="15" w:type="dxa"/>
        </w:trPr>
        <w:tc>
          <w:tcPr>
            <w:tcW w:w="0" w:type="auto"/>
            <w:vAlign w:val="center"/>
            <w:hideMark/>
          </w:tcPr>
          <w:p w14:paraId="3E5C6E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D9 Entitlements</w:t>
            </w:r>
          </w:p>
        </w:tc>
        <w:tc>
          <w:tcPr>
            <w:tcW w:w="0" w:type="auto"/>
            <w:vAlign w:val="center"/>
            <w:hideMark/>
          </w:tcPr>
          <w:p w14:paraId="7AFE6D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c>
          <w:tcPr>
            <w:tcW w:w="0" w:type="auto"/>
            <w:vAlign w:val="center"/>
            <w:hideMark/>
          </w:tcPr>
          <w:p w14:paraId="0DBCE3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Decide</w:t>
            </w:r>
            <w:r w:rsidRPr="000444D1">
              <w:rPr>
                <w:rFonts w:ascii="Times New Roman" w:eastAsia="Times New Roman" w:hAnsi="Times New Roman" w:cs="Times New Roman"/>
                <w:kern w:val="0"/>
                <w14:ligatures w14:val="none"/>
              </w:rPr>
              <w:t xml:space="preserve"> la relación sujeto-recurso</w:t>
            </w:r>
          </w:p>
        </w:tc>
        <w:tc>
          <w:tcPr>
            <w:tcW w:w="0" w:type="auto"/>
            <w:vAlign w:val="center"/>
            <w:hideMark/>
          </w:tcPr>
          <w:p w14:paraId="22800B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Decisiones de entitlement</w:t>
            </w:r>
          </w:p>
        </w:tc>
      </w:tr>
      <w:tr w:rsidR="000444D1" w:rsidRPr="000444D1" w14:paraId="3E393481" w14:textId="77777777">
        <w:trPr>
          <w:tblCellSpacing w:w="15" w:type="dxa"/>
        </w:trPr>
        <w:tc>
          <w:tcPr>
            <w:tcW w:w="0" w:type="auto"/>
            <w:vAlign w:val="center"/>
            <w:hideMark/>
          </w:tcPr>
          <w:p w14:paraId="35E913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Consentimientos</w:t>
            </w:r>
          </w:p>
        </w:tc>
        <w:tc>
          <w:tcPr>
            <w:tcW w:w="0" w:type="auto"/>
            <w:vAlign w:val="center"/>
            <w:hideMark/>
          </w:tcPr>
          <w:p w14:paraId="4992C3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c>
          <w:tcPr>
            <w:tcW w:w="0" w:type="auto"/>
            <w:vAlign w:val="center"/>
            <w:hideMark/>
          </w:tcPr>
          <w:p w14:paraId="1E5956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Decide</w:t>
            </w:r>
            <w:r w:rsidRPr="000444D1">
              <w:rPr>
                <w:rFonts w:ascii="Times New Roman" w:eastAsia="Times New Roman" w:hAnsi="Times New Roman" w:cs="Times New Roman"/>
                <w:kern w:val="0"/>
                <w14:ligatures w14:val="none"/>
              </w:rPr>
              <w:t xml:space="preserve"> vigencia y alcance del consentimiento</w:t>
            </w:r>
          </w:p>
        </w:tc>
        <w:tc>
          <w:tcPr>
            <w:tcW w:w="0" w:type="auto"/>
            <w:vAlign w:val="center"/>
            <w:hideMark/>
          </w:tcPr>
          <w:p w14:paraId="6462D2A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Otorgamientos y revocaciones</w:t>
            </w:r>
          </w:p>
        </w:tc>
      </w:tr>
      <w:tr w:rsidR="000444D1" w:rsidRPr="000444D1" w14:paraId="17029539" w14:textId="77777777">
        <w:trPr>
          <w:tblCellSpacing w:w="15" w:type="dxa"/>
        </w:trPr>
        <w:tc>
          <w:tcPr>
            <w:tcW w:w="0" w:type="auto"/>
            <w:vAlign w:val="center"/>
            <w:hideMark/>
          </w:tcPr>
          <w:p w14:paraId="33A003C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Servicios de dominio</w:t>
            </w:r>
          </w:p>
        </w:tc>
        <w:tc>
          <w:tcPr>
            <w:tcW w:w="0" w:type="auto"/>
            <w:vAlign w:val="center"/>
            <w:hideMark/>
          </w:tcPr>
          <w:p w14:paraId="1CBE4EC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Identidad de carga de trabajo del llamante</w:t>
            </w:r>
          </w:p>
        </w:tc>
        <w:tc>
          <w:tcPr>
            <w:tcW w:w="0" w:type="auto"/>
            <w:vAlign w:val="center"/>
            <w:hideMark/>
          </w:tcPr>
          <w:p w14:paraId="4BE1CF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Reglas de negocio propias</w:t>
            </w:r>
          </w:p>
        </w:tc>
        <w:tc>
          <w:tcPr>
            <w:tcW w:w="0" w:type="auto"/>
            <w:vAlign w:val="center"/>
            <w:hideMark/>
          </w:tcPr>
          <w:p w14:paraId="30F3E0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Eventos de dominio</w:t>
            </w:r>
          </w:p>
        </w:tc>
      </w:tr>
      <w:tr w:rsidR="000444D1" w:rsidRPr="000444D1" w14:paraId="774263F5" w14:textId="77777777">
        <w:trPr>
          <w:tblCellSpacing w:w="15" w:type="dxa"/>
        </w:trPr>
        <w:tc>
          <w:tcPr>
            <w:tcW w:w="0" w:type="auto"/>
            <w:vAlign w:val="center"/>
            <w:hideMark/>
          </w:tcPr>
          <w:p w14:paraId="592373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w:t>
            </w:r>
          </w:p>
        </w:tc>
        <w:tc>
          <w:tcPr>
            <w:tcW w:w="0" w:type="auto"/>
            <w:vAlign w:val="center"/>
            <w:hideMark/>
          </w:tcPr>
          <w:p w14:paraId="4009BD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Cuenta técnica contra el core</w:t>
            </w:r>
          </w:p>
        </w:tc>
        <w:tc>
          <w:tcPr>
            <w:tcW w:w="0" w:type="auto"/>
            <w:vAlign w:val="center"/>
            <w:hideMark/>
          </w:tcPr>
          <w:p w14:paraId="50A7D6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autoriza: recibe operaciones ya autorizadas</w:t>
            </w:r>
          </w:p>
        </w:tc>
        <w:tc>
          <w:tcPr>
            <w:tcW w:w="0" w:type="auto"/>
            <w:vAlign w:val="center"/>
            <w:hideMark/>
          </w:tcPr>
          <w:p w14:paraId="51DBC5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Eventos con </w:t>
            </w:r>
            <w:r w:rsidRPr="000444D1">
              <w:rPr>
                <w:rFonts w:ascii="Courier New" w:eastAsia="Times New Roman" w:hAnsi="Courier New" w:cs="Courier New"/>
                <w:kern w:val="0"/>
                <w:sz w:val="20"/>
                <w:szCs w:val="20"/>
                <w14:ligatures w14:val="none"/>
              </w:rPr>
              <w:t>referenciaCore</w:t>
            </w:r>
          </w:p>
        </w:tc>
      </w:tr>
      <w:tr w:rsidR="000444D1" w:rsidRPr="000444D1" w14:paraId="3046C609" w14:textId="77777777">
        <w:trPr>
          <w:tblCellSpacing w:w="15" w:type="dxa"/>
        </w:trPr>
        <w:tc>
          <w:tcPr>
            <w:tcW w:w="0" w:type="auto"/>
            <w:vAlign w:val="center"/>
            <w:hideMark/>
          </w:tcPr>
          <w:p w14:paraId="4901A2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Historial</w:t>
            </w:r>
          </w:p>
        </w:tc>
        <w:tc>
          <w:tcPr>
            <w:tcW w:w="0" w:type="auto"/>
            <w:vAlign w:val="center"/>
            <w:hideMark/>
          </w:tcPr>
          <w:p w14:paraId="5EC1AD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c>
          <w:tcPr>
            <w:tcW w:w="0" w:type="auto"/>
            <w:vAlign w:val="center"/>
            <w:hideMark/>
          </w:tcPr>
          <w:p w14:paraId="471F84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c>
          <w:tcPr>
            <w:tcW w:w="0" w:type="auto"/>
            <w:vAlign w:val="center"/>
            <w:hideMark/>
          </w:tcPr>
          <w:p w14:paraId="1F30DA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Es</w:t>
            </w:r>
            <w:r w:rsidRPr="000444D1">
              <w:rPr>
                <w:rFonts w:ascii="Times New Roman" w:eastAsia="Times New Roman" w:hAnsi="Times New Roman" w:cs="Times New Roman"/>
                <w:kern w:val="0"/>
                <w14:ligatures w14:val="none"/>
              </w:rPr>
              <w:t xml:space="preserve"> el registro; escritura única</w:t>
            </w:r>
          </w:p>
        </w:tc>
      </w:tr>
    </w:tbl>
    <w:p w14:paraId="26281FC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14.10 Accesos privilegiados y procedimiento de emergencia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6671"/>
      </w:tblGrid>
      <w:tr w:rsidR="000444D1" w:rsidRPr="000444D1" w14:paraId="4D8A1D92" w14:textId="77777777">
        <w:trPr>
          <w:tblHeader/>
          <w:tblCellSpacing w:w="15" w:type="dxa"/>
        </w:trPr>
        <w:tc>
          <w:tcPr>
            <w:tcW w:w="0" w:type="auto"/>
            <w:vAlign w:val="center"/>
            <w:hideMark/>
          </w:tcPr>
          <w:p w14:paraId="6C57432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Situación</w:t>
            </w:r>
          </w:p>
        </w:tc>
        <w:tc>
          <w:tcPr>
            <w:tcW w:w="0" w:type="auto"/>
            <w:vAlign w:val="center"/>
            <w:hideMark/>
          </w:tcPr>
          <w:p w14:paraId="6AB8C5D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Mecanismo</w:t>
            </w:r>
          </w:p>
        </w:tc>
      </w:tr>
      <w:tr w:rsidR="000444D1" w:rsidRPr="000444D1" w14:paraId="6007D167" w14:textId="77777777">
        <w:trPr>
          <w:tblCellSpacing w:w="15" w:type="dxa"/>
        </w:trPr>
        <w:tc>
          <w:tcPr>
            <w:tcW w:w="0" w:type="auto"/>
            <w:vAlign w:val="center"/>
            <w:hideMark/>
          </w:tcPr>
          <w:p w14:paraId="469D55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Intervención técnica en producción</w:t>
            </w:r>
          </w:p>
        </w:tc>
        <w:tc>
          <w:tcPr>
            <w:tcW w:w="0" w:type="auto"/>
            <w:vAlign w:val="center"/>
            <w:hideMark/>
          </w:tcPr>
          <w:p w14:paraId="1CF0E1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temporal con aprobación de un segundo responsable, ventana limitada y sesión registrada</w:t>
            </w:r>
          </w:p>
        </w:tc>
      </w:tr>
      <w:tr w:rsidR="000444D1" w:rsidRPr="000444D1" w14:paraId="16337EF3" w14:textId="77777777">
        <w:trPr>
          <w:tblCellSpacing w:w="15" w:type="dxa"/>
        </w:trPr>
        <w:tc>
          <w:tcPr>
            <w:tcW w:w="0" w:type="auto"/>
            <w:vAlign w:val="center"/>
            <w:hideMark/>
          </w:tcPr>
          <w:p w14:paraId="26F937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Emergencia operativa que exige saltarse un control</w:t>
            </w:r>
          </w:p>
        </w:tc>
        <w:tc>
          <w:tcPr>
            <w:tcW w:w="0" w:type="auto"/>
            <w:vAlign w:val="center"/>
            <w:hideMark/>
          </w:tcPr>
          <w:p w14:paraId="41D151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Procedimiento de excepción explícito: se concede, se registra, se notifica y se revisa después. Nunca una credencial permanente reservada para emergencias</w:t>
            </w:r>
          </w:p>
        </w:tc>
      </w:tr>
      <w:tr w:rsidR="000444D1" w:rsidRPr="000444D1" w14:paraId="1F2BD69D" w14:textId="77777777">
        <w:trPr>
          <w:tblCellSpacing w:w="15" w:type="dxa"/>
        </w:trPr>
        <w:tc>
          <w:tcPr>
            <w:tcW w:w="0" w:type="auto"/>
            <w:vAlign w:val="center"/>
            <w:hideMark/>
          </w:tcPr>
          <w:p w14:paraId="5099DE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Revisión periódica</w:t>
            </w:r>
          </w:p>
        </w:tc>
        <w:tc>
          <w:tcPr>
            <w:tcW w:w="0" w:type="auto"/>
            <w:vAlign w:val="center"/>
            <w:hideMark/>
          </w:tcPr>
          <w:p w14:paraId="39EB9E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Recertificación de entitlements y de accesos privilegiados con cadencia definida en el modelo de gobierno (sección 16)</w:t>
            </w:r>
          </w:p>
        </w:tc>
      </w:tr>
      <w:tr w:rsidR="000444D1" w:rsidRPr="000444D1" w14:paraId="174DF0B3" w14:textId="77777777">
        <w:trPr>
          <w:tblCellSpacing w:w="15" w:type="dxa"/>
        </w:trPr>
        <w:tc>
          <w:tcPr>
            <w:tcW w:w="0" w:type="auto"/>
            <w:vAlign w:val="center"/>
            <w:hideMark/>
          </w:tcPr>
          <w:p w14:paraId="6FD4F72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Retiro</w:t>
            </w:r>
          </w:p>
        </w:tc>
        <w:tc>
          <w:tcPr>
            <w:tcW w:w="0" w:type="auto"/>
            <w:vAlign w:val="center"/>
            <w:hideMark/>
          </w:tcPr>
          <w:p w14:paraId="581ACD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baja de una persona o el retiro de un servicio revoca sus credenciales y sus entitlements en el mismo procedimiento</w:t>
            </w:r>
          </w:p>
        </w:tc>
      </w:tr>
    </w:tbl>
    <w:p w14:paraId="2417CA8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procedimiento de emergencia que no deja traza es indistinguible de un ataque. Por eso el mecanismo no es una credencial guardada para el momento crítico, sino una concesión temporal auditable: el control no se elimina, se documenta su excepción.</w:t>
      </w:r>
    </w:p>
    <w:p w14:paraId="3FC0C201"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6F08F58F">
          <v:rect id="Horizontal Line 448"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DF85F7"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15. Alta disponibilidad y recuperación ante desastres</w:t>
      </w:r>
    </w:p>
    <w:p w14:paraId="7A233A4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estrategia se construye sobre una premisa establecida en la sección 2.2: </w:t>
      </w:r>
      <w:r w:rsidRPr="000444D1">
        <w:rPr>
          <w:rFonts w:ascii="Times New Roman" w:eastAsia="Times New Roman" w:hAnsi="Times New Roman" w:cs="Times New Roman"/>
          <w:b/>
          <w:bCs/>
          <w:kern w:val="0"/>
          <w14:ligatures w14:val="none"/>
        </w:rPr>
        <w:t>los objetivos de disponibilidad son asimétricos</w:t>
      </w:r>
      <w:r w:rsidRPr="000444D1">
        <w:rPr>
          <w:rFonts w:ascii="Times New Roman" w:eastAsia="Times New Roman" w:hAnsi="Times New Roman" w:cs="Times New Roman"/>
          <w:kern w:val="0"/>
          <w14:ligatures w14:val="none"/>
        </w:rPr>
        <w:t>. No es realista exigir 99.95 % a un sistema legado con ventana de cierre nocturno, y no es aceptable que la capa digital herede esa limitación. De esa asimetría se deriva todo lo que sigue: el diseño no persigue que ningún componente falle, sino que el fallo de cualquiera de ellos reduzca funcionalidad sin interrumpir el servicio.</w:t>
      </w:r>
    </w:p>
    <w:p w14:paraId="347ED489"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15.1 Objetivos por componente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1880"/>
        <w:gridCol w:w="635"/>
        <w:gridCol w:w="626"/>
        <w:gridCol w:w="3774"/>
      </w:tblGrid>
      <w:tr w:rsidR="000444D1" w:rsidRPr="000444D1" w14:paraId="0AD4B6A9" w14:textId="77777777">
        <w:trPr>
          <w:tblHeader/>
          <w:tblCellSpacing w:w="15" w:type="dxa"/>
        </w:trPr>
        <w:tc>
          <w:tcPr>
            <w:tcW w:w="0" w:type="auto"/>
            <w:vAlign w:val="center"/>
            <w:hideMark/>
          </w:tcPr>
          <w:p w14:paraId="00AC6E7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c>
          <w:tcPr>
            <w:tcW w:w="0" w:type="auto"/>
            <w:vAlign w:val="center"/>
            <w:hideMark/>
          </w:tcPr>
          <w:p w14:paraId="7216141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Disponibilidad objetivo</w:t>
            </w:r>
          </w:p>
        </w:tc>
        <w:tc>
          <w:tcPr>
            <w:tcW w:w="0" w:type="auto"/>
            <w:vAlign w:val="center"/>
            <w:hideMark/>
          </w:tcPr>
          <w:p w14:paraId="540D4F7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RTO</w:t>
            </w:r>
          </w:p>
        </w:tc>
        <w:tc>
          <w:tcPr>
            <w:tcW w:w="0" w:type="auto"/>
            <w:vAlign w:val="center"/>
            <w:hideMark/>
          </w:tcPr>
          <w:p w14:paraId="1DAE1B0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RPO</w:t>
            </w:r>
          </w:p>
        </w:tc>
        <w:tc>
          <w:tcPr>
            <w:tcW w:w="0" w:type="auto"/>
            <w:vAlign w:val="center"/>
            <w:hideMark/>
          </w:tcPr>
          <w:p w14:paraId="3B5018D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Justificación</w:t>
            </w:r>
          </w:p>
        </w:tc>
      </w:tr>
      <w:tr w:rsidR="000444D1" w:rsidRPr="000444D1" w14:paraId="49B4A967" w14:textId="77777777">
        <w:trPr>
          <w:tblCellSpacing w:w="15" w:type="dxa"/>
        </w:trPr>
        <w:tc>
          <w:tcPr>
            <w:tcW w:w="0" w:type="auto"/>
            <w:vAlign w:val="center"/>
            <w:hideMark/>
          </w:tcPr>
          <w:p w14:paraId="1D7035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Gateways e IdP</w:t>
            </w:r>
          </w:p>
        </w:tc>
        <w:tc>
          <w:tcPr>
            <w:tcW w:w="0" w:type="auto"/>
            <w:vAlign w:val="center"/>
            <w:hideMark/>
          </w:tcPr>
          <w:p w14:paraId="74CA13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99.95 %</w:t>
            </w:r>
          </w:p>
        </w:tc>
        <w:tc>
          <w:tcPr>
            <w:tcW w:w="0" w:type="auto"/>
            <w:vAlign w:val="center"/>
            <w:hideMark/>
          </w:tcPr>
          <w:p w14:paraId="075E34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 min</w:t>
            </w:r>
          </w:p>
        </w:tc>
        <w:tc>
          <w:tcPr>
            <w:tcW w:w="0" w:type="auto"/>
            <w:vAlign w:val="center"/>
            <w:hideMark/>
          </w:tcPr>
          <w:p w14:paraId="440BA9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0E756B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ellos no hay acceso; sin estado propio que perder</w:t>
            </w:r>
          </w:p>
        </w:tc>
      </w:tr>
      <w:tr w:rsidR="000444D1" w:rsidRPr="000444D1" w14:paraId="2CE97CF8" w14:textId="77777777">
        <w:trPr>
          <w:tblCellSpacing w:w="15" w:type="dxa"/>
        </w:trPr>
        <w:tc>
          <w:tcPr>
            <w:tcW w:w="0" w:type="auto"/>
            <w:vAlign w:val="center"/>
            <w:hideMark/>
          </w:tcPr>
          <w:p w14:paraId="32D3B4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w:t>
            </w:r>
          </w:p>
        </w:tc>
        <w:tc>
          <w:tcPr>
            <w:tcW w:w="0" w:type="auto"/>
            <w:vAlign w:val="center"/>
            <w:hideMark/>
          </w:tcPr>
          <w:p w14:paraId="7ECB00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99.95 %</w:t>
            </w:r>
          </w:p>
        </w:tc>
        <w:tc>
          <w:tcPr>
            <w:tcW w:w="0" w:type="auto"/>
            <w:vAlign w:val="center"/>
            <w:hideMark/>
          </w:tcPr>
          <w:p w14:paraId="4CDB152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 min</w:t>
            </w:r>
          </w:p>
        </w:tc>
        <w:tc>
          <w:tcPr>
            <w:tcW w:w="0" w:type="auto"/>
            <w:vAlign w:val="center"/>
            <w:hideMark/>
          </w:tcPr>
          <w:p w14:paraId="0BC874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242B51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estado; se reponen por despliegue</w:t>
            </w:r>
          </w:p>
        </w:tc>
      </w:tr>
      <w:tr w:rsidR="000444D1" w:rsidRPr="000444D1" w14:paraId="584E2B7E" w14:textId="77777777">
        <w:trPr>
          <w:tblCellSpacing w:w="15" w:type="dxa"/>
        </w:trPr>
        <w:tc>
          <w:tcPr>
            <w:tcW w:w="0" w:type="auto"/>
            <w:vAlign w:val="center"/>
            <w:hideMark/>
          </w:tcPr>
          <w:p w14:paraId="146BFA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Posición consolidada</w:t>
            </w:r>
          </w:p>
        </w:tc>
        <w:tc>
          <w:tcPr>
            <w:tcW w:w="0" w:type="auto"/>
            <w:vAlign w:val="center"/>
            <w:hideMark/>
          </w:tcPr>
          <w:p w14:paraId="0D679B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99.95 %</w:t>
            </w:r>
          </w:p>
        </w:tc>
        <w:tc>
          <w:tcPr>
            <w:tcW w:w="0" w:type="auto"/>
            <w:vAlign w:val="center"/>
            <w:hideMark/>
          </w:tcPr>
          <w:p w14:paraId="5AB724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 min</w:t>
            </w:r>
          </w:p>
        </w:tc>
        <w:tc>
          <w:tcPr>
            <w:tcW w:w="0" w:type="auto"/>
            <w:vAlign w:val="center"/>
            <w:hideMark/>
          </w:tcPr>
          <w:p w14:paraId="3EFA18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1B81A9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Proyección reconstruible por reproducción de eventos</w:t>
            </w:r>
          </w:p>
        </w:tc>
      </w:tr>
      <w:tr w:rsidR="000444D1" w:rsidRPr="000444D1" w14:paraId="759ABE91" w14:textId="77777777">
        <w:trPr>
          <w:tblCellSpacing w:w="15" w:type="dxa"/>
        </w:trPr>
        <w:tc>
          <w:tcPr>
            <w:tcW w:w="0" w:type="auto"/>
            <w:vAlign w:val="center"/>
            <w:hideMark/>
          </w:tcPr>
          <w:p w14:paraId="49E759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4B66AC6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99.9 %</w:t>
            </w:r>
          </w:p>
        </w:tc>
        <w:tc>
          <w:tcPr>
            <w:tcW w:w="0" w:type="auto"/>
            <w:vAlign w:val="center"/>
            <w:hideMark/>
          </w:tcPr>
          <w:p w14:paraId="3CF03A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 min</w:t>
            </w:r>
          </w:p>
        </w:tc>
        <w:tc>
          <w:tcPr>
            <w:tcW w:w="0" w:type="auto"/>
            <w:vAlign w:val="center"/>
            <w:hideMark/>
          </w:tcPr>
          <w:p w14:paraId="6703960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0F9F84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Estado transaccional; outbox garantiza no perder eventos</w:t>
            </w:r>
          </w:p>
        </w:tc>
      </w:tr>
      <w:tr w:rsidR="000444D1" w:rsidRPr="000444D1" w14:paraId="3BE461EB" w14:textId="77777777">
        <w:trPr>
          <w:tblCellSpacing w:w="15" w:type="dxa"/>
        </w:trPr>
        <w:tc>
          <w:tcPr>
            <w:tcW w:w="0" w:type="auto"/>
            <w:vAlign w:val="center"/>
            <w:hideMark/>
          </w:tcPr>
          <w:p w14:paraId="4C8DAF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Consentimientos, D9 Entitlements</w:t>
            </w:r>
          </w:p>
        </w:tc>
        <w:tc>
          <w:tcPr>
            <w:tcW w:w="0" w:type="auto"/>
            <w:vAlign w:val="center"/>
            <w:hideMark/>
          </w:tcPr>
          <w:p w14:paraId="729547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99.95 %</w:t>
            </w:r>
          </w:p>
        </w:tc>
        <w:tc>
          <w:tcPr>
            <w:tcW w:w="0" w:type="auto"/>
            <w:vAlign w:val="center"/>
            <w:hideMark/>
          </w:tcPr>
          <w:p w14:paraId="63DC8D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10 min</w:t>
            </w:r>
          </w:p>
        </w:tc>
        <w:tc>
          <w:tcPr>
            <w:tcW w:w="0" w:type="auto"/>
            <w:vAlign w:val="center"/>
            <w:hideMark/>
          </w:tcPr>
          <w:p w14:paraId="1F3869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5226F7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 el camino crítico de autorización</w:t>
            </w:r>
          </w:p>
        </w:tc>
      </w:tr>
      <w:tr w:rsidR="000444D1" w:rsidRPr="000444D1" w14:paraId="2FC11674" w14:textId="77777777">
        <w:trPr>
          <w:tblCellSpacing w:w="15" w:type="dxa"/>
        </w:trPr>
        <w:tc>
          <w:tcPr>
            <w:tcW w:w="0" w:type="auto"/>
            <w:vAlign w:val="center"/>
            <w:hideMark/>
          </w:tcPr>
          <w:p w14:paraId="438D4A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Historial de eventos</w:t>
            </w:r>
          </w:p>
        </w:tc>
        <w:tc>
          <w:tcPr>
            <w:tcW w:w="0" w:type="auto"/>
            <w:vAlign w:val="center"/>
            <w:hideMark/>
          </w:tcPr>
          <w:p w14:paraId="1E7165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99.5 %</w:t>
            </w:r>
          </w:p>
        </w:tc>
        <w:tc>
          <w:tcPr>
            <w:tcW w:w="0" w:type="auto"/>
            <w:vAlign w:val="center"/>
            <w:hideMark/>
          </w:tcPr>
          <w:p w14:paraId="7F548E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 h</w:t>
            </w:r>
          </w:p>
        </w:tc>
        <w:tc>
          <w:tcPr>
            <w:tcW w:w="0" w:type="auto"/>
            <w:vAlign w:val="center"/>
            <w:hideMark/>
          </w:tcPr>
          <w:p w14:paraId="69F098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4E1FA9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 indisponibilidad no bloquea la operación, pero ningún hecho puede perderse</w:t>
            </w:r>
          </w:p>
        </w:tc>
      </w:tr>
      <w:tr w:rsidR="000444D1" w:rsidRPr="000444D1" w14:paraId="55049F88" w14:textId="77777777">
        <w:trPr>
          <w:tblCellSpacing w:w="15" w:type="dxa"/>
        </w:trPr>
        <w:tc>
          <w:tcPr>
            <w:tcW w:w="0" w:type="auto"/>
            <w:vAlign w:val="center"/>
            <w:hideMark/>
          </w:tcPr>
          <w:p w14:paraId="1D872D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65F678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99.95 %</w:t>
            </w:r>
          </w:p>
        </w:tc>
        <w:tc>
          <w:tcPr>
            <w:tcW w:w="0" w:type="auto"/>
            <w:vAlign w:val="center"/>
            <w:hideMark/>
          </w:tcPr>
          <w:p w14:paraId="3B855F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10 min</w:t>
            </w:r>
          </w:p>
        </w:tc>
        <w:tc>
          <w:tcPr>
            <w:tcW w:w="0" w:type="auto"/>
            <w:vAlign w:val="center"/>
            <w:hideMark/>
          </w:tcPr>
          <w:p w14:paraId="06B3B4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372657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 persistencia replicada; el outbox cubre la ventana de indisponibilidad</w:t>
            </w:r>
          </w:p>
        </w:tc>
      </w:tr>
      <w:tr w:rsidR="000444D1" w:rsidRPr="000444D1" w14:paraId="6804303A" w14:textId="77777777">
        <w:trPr>
          <w:tblCellSpacing w:w="15" w:type="dxa"/>
        </w:trPr>
        <w:tc>
          <w:tcPr>
            <w:tcW w:w="0" w:type="auto"/>
            <w:vAlign w:val="center"/>
            <w:hideMark/>
          </w:tcPr>
          <w:p w14:paraId="2D6908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w:t>
            </w:r>
          </w:p>
        </w:tc>
        <w:tc>
          <w:tcPr>
            <w:tcW w:w="0" w:type="auto"/>
            <w:vAlign w:val="center"/>
            <w:hideMark/>
          </w:tcPr>
          <w:p w14:paraId="3180F6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99.5 %</w:t>
            </w:r>
          </w:p>
        </w:tc>
        <w:tc>
          <w:tcPr>
            <w:tcW w:w="0" w:type="auto"/>
            <w:vAlign w:val="center"/>
            <w:hideMark/>
          </w:tcPr>
          <w:p w14:paraId="3B7B980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30 min</w:t>
            </w:r>
          </w:p>
        </w:tc>
        <w:tc>
          <w:tcPr>
            <w:tcW w:w="0" w:type="auto"/>
            <w:vAlign w:val="center"/>
            <w:hideMark/>
          </w:tcPr>
          <w:p w14:paraId="0F8447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60AD00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Limitado por la disponibilidad del propio core</w:t>
            </w:r>
          </w:p>
        </w:tc>
      </w:tr>
      <w:tr w:rsidR="000444D1" w:rsidRPr="000444D1" w14:paraId="759BC7F2" w14:textId="77777777">
        <w:trPr>
          <w:tblCellSpacing w:w="15" w:type="dxa"/>
        </w:trPr>
        <w:tc>
          <w:tcPr>
            <w:tcW w:w="0" w:type="auto"/>
            <w:vAlign w:val="center"/>
            <w:hideMark/>
          </w:tcPr>
          <w:p w14:paraId="03BB220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bancario digital</w:t>
            </w:r>
          </w:p>
        </w:tc>
        <w:tc>
          <w:tcPr>
            <w:tcW w:w="0" w:type="auto"/>
            <w:vAlign w:val="center"/>
            <w:hideMark/>
          </w:tcPr>
          <w:p w14:paraId="3D150A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99.9 %</w:t>
            </w:r>
          </w:p>
        </w:tc>
        <w:tc>
          <w:tcPr>
            <w:tcW w:w="0" w:type="auto"/>
            <w:vAlign w:val="center"/>
            <w:hideMark/>
          </w:tcPr>
          <w:p w14:paraId="6B4C7D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30 min</w:t>
            </w:r>
          </w:p>
        </w:tc>
        <w:tc>
          <w:tcPr>
            <w:tcW w:w="0" w:type="auto"/>
            <w:vAlign w:val="center"/>
            <w:hideMark/>
          </w:tcPr>
          <w:p w14:paraId="7080B3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14860C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Según contrato con el proveedor</w:t>
            </w:r>
          </w:p>
        </w:tc>
      </w:tr>
      <w:tr w:rsidR="000444D1" w:rsidRPr="000444D1" w14:paraId="609F3200" w14:textId="77777777">
        <w:trPr>
          <w:tblCellSpacing w:w="15" w:type="dxa"/>
        </w:trPr>
        <w:tc>
          <w:tcPr>
            <w:tcW w:w="0" w:type="auto"/>
            <w:vAlign w:val="center"/>
            <w:hideMark/>
          </w:tcPr>
          <w:p w14:paraId="745289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bancario tradicional</w:t>
            </w:r>
          </w:p>
        </w:tc>
        <w:tc>
          <w:tcPr>
            <w:tcW w:w="0" w:type="auto"/>
            <w:vAlign w:val="center"/>
            <w:hideMark/>
          </w:tcPr>
          <w:p w14:paraId="1D71AD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99.5 %</w:t>
            </w:r>
          </w:p>
        </w:tc>
        <w:tc>
          <w:tcPr>
            <w:tcW w:w="0" w:type="auto"/>
            <w:vAlign w:val="center"/>
            <w:hideMark/>
          </w:tcPr>
          <w:p w14:paraId="2D110B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 h</w:t>
            </w:r>
          </w:p>
        </w:tc>
        <w:tc>
          <w:tcPr>
            <w:tcW w:w="0" w:type="auto"/>
            <w:vAlign w:val="center"/>
            <w:hideMark/>
          </w:tcPr>
          <w:p w14:paraId="01FAD7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 min</w:t>
            </w:r>
          </w:p>
        </w:tc>
        <w:tc>
          <w:tcPr>
            <w:tcW w:w="0" w:type="auto"/>
            <w:vAlign w:val="center"/>
            <w:hideMark/>
          </w:tcPr>
          <w:p w14:paraId="0F3789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Capacidad existente del sistema legado; fuera del alcance de rediseño</w:t>
            </w:r>
          </w:p>
        </w:tc>
      </w:tr>
      <w:tr w:rsidR="000444D1" w:rsidRPr="000444D1" w14:paraId="7F8752A4" w14:textId="77777777">
        <w:trPr>
          <w:tblCellSpacing w:w="15" w:type="dxa"/>
        </w:trPr>
        <w:tc>
          <w:tcPr>
            <w:tcW w:w="0" w:type="auto"/>
            <w:vAlign w:val="center"/>
            <w:hideMark/>
          </w:tcPr>
          <w:p w14:paraId="564E04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Motor de fraude</w:t>
            </w:r>
          </w:p>
        </w:tc>
        <w:tc>
          <w:tcPr>
            <w:tcW w:w="0" w:type="auto"/>
            <w:vAlign w:val="center"/>
            <w:hideMark/>
          </w:tcPr>
          <w:p w14:paraId="0A213E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99.5 %</w:t>
            </w:r>
          </w:p>
        </w:tc>
        <w:tc>
          <w:tcPr>
            <w:tcW w:w="0" w:type="auto"/>
            <w:vAlign w:val="center"/>
            <w:hideMark/>
          </w:tcPr>
          <w:p w14:paraId="387480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30 min</w:t>
            </w:r>
          </w:p>
        </w:tc>
        <w:tc>
          <w:tcPr>
            <w:tcW w:w="0" w:type="auto"/>
            <w:vAlign w:val="center"/>
            <w:hideMark/>
          </w:tcPr>
          <w:p w14:paraId="6860F9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c>
          <w:tcPr>
            <w:tcW w:w="0" w:type="auto"/>
            <w:vAlign w:val="center"/>
            <w:hideMark/>
          </w:tcPr>
          <w:p w14:paraId="6B5D90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 fallo se absorbe por degradación (ADR-005)</w:t>
            </w:r>
          </w:p>
        </w:tc>
      </w:tr>
      <w:tr w:rsidR="000444D1" w:rsidRPr="000444D1" w14:paraId="784D8475" w14:textId="77777777">
        <w:trPr>
          <w:tblCellSpacing w:w="15" w:type="dxa"/>
        </w:trPr>
        <w:tc>
          <w:tcPr>
            <w:tcW w:w="0" w:type="auto"/>
            <w:vAlign w:val="center"/>
            <w:hideMark/>
          </w:tcPr>
          <w:p w14:paraId="057A5A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de riesgos</w:t>
            </w:r>
          </w:p>
        </w:tc>
        <w:tc>
          <w:tcPr>
            <w:tcW w:w="0" w:type="auto"/>
            <w:vAlign w:val="center"/>
            <w:hideMark/>
          </w:tcPr>
          <w:p w14:paraId="41F3D8D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99.0 %</w:t>
            </w:r>
          </w:p>
        </w:tc>
        <w:tc>
          <w:tcPr>
            <w:tcW w:w="0" w:type="auto"/>
            <w:vAlign w:val="center"/>
            <w:hideMark/>
          </w:tcPr>
          <w:p w14:paraId="42D257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 h</w:t>
            </w:r>
          </w:p>
        </w:tc>
        <w:tc>
          <w:tcPr>
            <w:tcW w:w="0" w:type="auto"/>
            <w:vAlign w:val="center"/>
            <w:hideMark/>
          </w:tcPr>
          <w:p w14:paraId="1A6E91E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 min</w:t>
            </w:r>
          </w:p>
        </w:tc>
        <w:tc>
          <w:tcPr>
            <w:tcW w:w="0" w:type="auto"/>
            <w:vAlign w:val="center"/>
            <w:hideMark/>
          </w:tcPr>
          <w:p w14:paraId="1EDF51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Fuera del camino crítico transaccional</w:t>
            </w:r>
          </w:p>
        </w:tc>
      </w:tr>
    </w:tbl>
    <w:p w14:paraId="50DF6D3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RPO de cero en la mayoría de componentes no es una aspiración, es una consecuencia del diseño.</w:t>
      </w:r>
      <w:r w:rsidRPr="000444D1">
        <w:rPr>
          <w:rFonts w:ascii="Times New Roman" w:eastAsia="Times New Roman" w:hAnsi="Times New Roman" w:cs="Times New Roman"/>
          <w:kern w:val="0"/>
          <w14:ligatures w14:val="none"/>
        </w:rPr>
        <w:t xml:space="preserve"> El patrón outbox garantiza que ningún cambio de estado quede sin su evento asociado, y la persistencia replicada del bus garantiza que ningún evento publicado se pierda. El único RPO distinto de cero corresponde al core tradicional, cuya capacidad de replicación es una condición preexistente que el programa no modifica.</w:t>
      </w:r>
    </w:p>
    <w:p w14:paraId="266CF83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15.2 Alta disponibilidad por capa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3833"/>
        <w:gridCol w:w="3510"/>
      </w:tblGrid>
      <w:tr w:rsidR="000444D1" w:rsidRPr="000444D1" w14:paraId="092D3AF1" w14:textId="77777777">
        <w:trPr>
          <w:tblHeader/>
          <w:tblCellSpacing w:w="15" w:type="dxa"/>
        </w:trPr>
        <w:tc>
          <w:tcPr>
            <w:tcW w:w="0" w:type="auto"/>
            <w:vAlign w:val="center"/>
            <w:hideMark/>
          </w:tcPr>
          <w:p w14:paraId="3D7A789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w:t>
            </w:r>
          </w:p>
        </w:tc>
        <w:tc>
          <w:tcPr>
            <w:tcW w:w="0" w:type="auto"/>
            <w:vAlign w:val="center"/>
            <w:hideMark/>
          </w:tcPr>
          <w:p w14:paraId="1E72392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Estrategia</w:t>
            </w:r>
          </w:p>
        </w:tc>
        <w:tc>
          <w:tcPr>
            <w:tcW w:w="0" w:type="auto"/>
            <w:vAlign w:val="center"/>
            <w:hideMark/>
          </w:tcPr>
          <w:p w14:paraId="1F07CC1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Fundamento</w:t>
            </w:r>
          </w:p>
        </w:tc>
      </w:tr>
      <w:tr w:rsidR="000444D1" w:rsidRPr="000444D1" w14:paraId="0F165AA6" w14:textId="77777777">
        <w:trPr>
          <w:tblCellSpacing w:w="15" w:type="dxa"/>
        </w:trPr>
        <w:tc>
          <w:tcPr>
            <w:tcW w:w="0" w:type="auto"/>
            <w:vAlign w:val="center"/>
            <w:hideMark/>
          </w:tcPr>
          <w:p w14:paraId="273AE5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Borde e identidad</w:t>
            </w:r>
          </w:p>
        </w:tc>
        <w:tc>
          <w:tcPr>
            <w:tcW w:w="0" w:type="auto"/>
            <w:vAlign w:val="center"/>
            <w:hideMark/>
          </w:tcPr>
          <w:p w14:paraId="199470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Múltiples instancias en varias zonas de disponibilidad, tras balanceo con verificación de salud</w:t>
            </w:r>
          </w:p>
        </w:tc>
        <w:tc>
          <w:tcPr>
            <w:tcW w:w="0" w:type="auto"/>
            <w:vAlign w:val="center"/>
            <w:hideMark/>
          </w:tcPr>
          <w:p w14:paraId="6EA01A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Componentes sin estado; escalado horizontal directo</w:t>
            </w:r>
          </w:p>
        </w:tc>
      </w:tr>
      <w:tr w:rsidR="000444D1" w:rsidRPr="000444D1" w14:paraId="53039E2F" w14:textId="77777777">
        <w:trPr>
          <w:tblCellSpacing w:w="15" w:type="dxa"/>
        </w:trPr>
        <w:tc>
          <w:tcPr>
            <w:tcW w:w="0" w:type="auto"/>
            <w:vAlign w:val="center"/>
            <w:hideMark/>
          </w:tcPr>
          <w:p w14:paraId="67A047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Experiencia y dominio</w:t>
            </w:r>
          </w:p>
        </w:tc>
        <w:tc>
          <w:tcPr>
            <w:tcW w:w="0" w:type="auto"/>
            <w:vAlign w:val="center"/>
            <w:hideMark/>
          </w:tcPr>
          <w:p w14:paraId="0AF257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Múltiples réplicas por zona, con despliegue progresivo y capacidad de retorno automático</w:t>
            </w:r>
          </w:p>
        </w:tc>
        <w:tc>
          <w:tcPr>
            <w:tcW w:w="0" w:type="auto"/>
            <w:vAlign w:val="center"/>
            <w:hideMark/>
          </w:tcPr>
          <w:p w14:paraId="0E1B93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Permite desplegar sin ventana de indisponibilidad</w:t>
            </w:r>
          </w:p>
        </w:tc>
      </w:tr>
      <w:tr w:rsidR="000444D1" w:rsidRPr="000444D1" w14:paraId="715588A8" w14:textId="77777777">
        <w:trPr>
          <w:tblCellSpacing w:w="15" w:type="dxa"/>
        </w:trPr>
        <w:tc>
          <w:tcPr>
            <w:tcW w:w="0" w:type="auto"/>
            <w:vAlign w:val="center"/>
            <w:hideMark/>
          </w:tcPr>
          <w:p w14:paraId="4CD84D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211AC0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Particiones replicadas en tres zonas, con confirmación de escritura en la mayoría de réplicas</w:t>
            </w:r>
          </w:p>
        </w:tc>
        <w:tc>
          <w:tcPr>
            <w:tcW w:w="0" w:type="auto"/>
            <w:vAlign w:val="center"/>
            <w:hideMark/>
          </w:tcPr>
          <w:p w14:paraId="1A595D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Tolera la pérdida de una zona sin pérdida de mensajes</w:t>
            </w:r>
          </w:p>
        </w:tc>
      </w:tr>
      <w:tr w:rsidR="000444D1" w:rsidRPr="000444D1" w14:paraId="260B6FE7" w14:textId="77777777">
        <w:trPr>
          <w:tblCellSpacing w:w="15" w:type="dxa"/>
        </w:trPr>
        <w:tc>
          <w:tcPr>
            <w:tcW w:w="0" w:type="auto"/>
            <w:vAlign w:val="center"/>
            <w:hideMark/>
          </w:tcPr>
          <w:p w14:paraId="796889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Almacenes de dominio</w:t>
            </w:r>
          </w:p>
        </w:tc>
        <w:tc>
          <w:tcPr>
            <w:tcW w:w="0" w:type="auto"/>
            <w:vAlign w:val="center"/>
            <w:hideMark/>
          </w:tcPr>
          <w:p w14:paraId="3A7184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Réplica síncrona dentro de la región, asíncrona hacia la región secundaria</w:t>
            </w:r>
          </w:p>
        </w:tc>
        <w:tc>
          <w:tcPr>
            <w:tcW w:w="0" w:type="auto"/>
            <w:vAlign w:val="center"/>
            <w:hideMark/>
          </w:tcPr>
          <w:p w14:paraId="2FFD5D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Réplica síncrona entre regiones penalizaría la latencia de escritura</w:t>
            </w:r>
          </w:p>
        </w:tc>
      </w:tr>
      <w:tr w:rsidR="000444D1" w:rsidRPr="000444D1" w14:paraId="557F9262" w14:textId="77777777">
        <w:trPr>
          <w:tblCellSpacing w:w="15" w:type="dxa"/>
        </w:trPr>
        <w:tc>
          <w:tcPr>
            <w:tcW w:w="0" w:type="auto"/>
            <w:vAlign w:val="center"/>
            <w:hideMark/>
          </w:tcPr>
          <w:p w14:paraId="1FD0C5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Conectividad con el centro de datos</w:t>
            </w:r>
          </w:p>
        </w:tc>
        <w:tc>
          <w:tcPr>
            <w:tcW w:w="0" w:type="auto"/>
            <w:vAlign w:val="center"/>
            <w:hideMark/>
          </w:tcPr>
          <w:p w14:paraId="272A8F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Doble enlace dedicado por rutas independientes</w:t>
            </w:r>
          </w:p>
        </w:tc>
        <w:tc>
          <w:tcPr>
            <w:tcW w:w="0" w:type="auto"/>
            <w:vAlign w:val="center"/>
            <w:hideMark/>
          </w:tcPr>
          <w:p w14:paraId="26D85D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ACL y el CDC dependen de ella; un enlace único sería punto único de fallo</w:t>
            </w:r>
          </w:p>
        </w:tc>
      </w:tr>
      <w:tr w:rsidR="000444D1" w:rsidRPr="000444D1" w14:paraId="251AB103" w14:textId="77777777">
        <w:trPr>
          <w:tblCellSpacing w:w="15" w:type="dxa"/>
        </w:trPr>
        <w:tc>
          <w:tcPr>
            <w:tcW w:w="0" w:type="auto"/>
            <w:vAlign w:val="center"/>
            <w:hideMark/>
          </w:tcPr>
          <w:p w14:paraId="1A1FA3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tradicional</w:t>
            </w:r>
          </w:p>
        </w:tc>
        <w:tc>
          <w:tcPr>
            <w:tcW w:w="0" w:type="auto"/>
            <w:vAlign w:val="center"/>
            <w:hideMark/>
          </w:tcPr>
          <w:p w14:paraId="4ADACB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Capacidad de contingencia existente del banco</w:t>
            </w:r>
          </w:p>
        </w:tc>
        <w:tc>
          <w:tcPr>
            <w:tcW w:w="0" w:type="auto"/>
            <w:vAlign w:val="center"/>
            <w:hideMark/>
          </w:tcPr>
          <w:p w14:paraId="46BEE9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Fuera del alcance de rediseño; el diseño se adapta a su nivel, no lo asume mejor</w:t>
            </w:r>
          </w:p>
        </w:tc>
      </w:tr>
    </w:tbl>
    <w:p w14:paraId="0C058B6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Sobre la elección de un modelo activo-pasivo entre regiones.</w:t>
      </w:r>
      <w:r w:rsidRPr="000444D1">
        <w:rPr>
          <w:rFonts w:ascii="Times New Roman" w:eastAsia="Times New Roman" w:hAnsi="Times New Roman" w:cs="Times New Roman"/>
          <w:kern w:val="0"/>
          <w14:ligatures w14:val="none"/>
        </w:rPr>
        <w:t xml:space="preserve"> El diseño adopta una región principal con múltiples zonas de disponibilidad y una región secundaria en modo preparado, no un esquema activo-activo entre regiones. La razón es de proporcionalidad: un modelo activo-activo exigiría resolver la coordinación de escrituras y la coherencia de particiones del bus entre regiones, con un costo operativo elevado, para mejorar un objetivo de 99.95 % que el modelo multizona ya satisface. Además, el core tradicional permanece en un único centro de datos, de modo que una segunda región activa no eliminaría la dependencia geográfica que realmente limita la disponibilidad del conjunto.</w:t>
      </w:r>
    </w:p>
    <w:p w14:paraId="4BC16A39"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15.3 Matriz de degradación controlada</w:t>
      </w:r>
    </w:p>
    <w:p w14:paraId="5614DFF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 xml:space="preserve">Esta matriz es la aplicación concreta del principio P7 y el desarrollo de la tabla 9.4. Para cada dependencia se declara qué deja de funcionar y, sobre todo, </w:t>
      </w:r>
      <w:r w:rsidRPr="000444D1">
        <w:rPr>
          <w:rFonts w:ascii="Times New Roman" w:eastAsia="Times New Roman" w:hAnsi="Times New Roman" w:cs="Times New Roman"/>
          <w:b/>
          <w:bCs/>
          <w:kern w:val="0"/>
          <w14:ligatures w14:val="none"/>
        </w:rPr>
        <w:t>qué sigue funcionando</w:t>
      </w:r>
      <w:r w:rsidRPr="000444D1">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260"/>
        <w:gridCol w:w="2560"/>
        <w:gridCol w:w="2664"/>
      </w:tblGrid>
      <w:tr w:rsidR="000444D1" w:rsidRPr="000444D1" w14:paraId="324B9EBD" w14:textId="77777777">
        <w:trPr>
          <w:tblHeader/>
          <w:tblCellSpacing w:w="15" w:type="dxa"/>
        </w:trPr>
        <w:tc>
          <w:tcPr>
            <w:tcW w:w="0" w:type="auto"/>
            <w:vAlign w:val="center"/>
            <w:hideMark/>
          </w:tcPr>
          <w:p w14:paraId="79E065E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Dependencia caída</w:t>
            </w:r>
          </w:p>
        </w:tc>
        <w:tc>
          <w:tcPr>
            <w:tcW w:w="0" w:type="auto"/>
            <w:vAlign w:val="center"/>
            <w:hideMark/>
          </w:tcPr>
          <w:p w14:paraId="30B2866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Deja de funcionar</w:t>
            </w:r>
          </w:p>
        </w:tc>
        <w:tc>
          <w:tcPr>
            <w:tcW w:w="0" w:type="auto"/>
            <w:vAlign w:val="center"/>
            <w:hideMark/>
          </w:tcPr>
          <w:p w14:paraId="4BDB8A9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Sigue funcionando</w:t>
            </w:r>
          </w:p>
        </w:tc>
        <w:tc>
          <w:tcPr>
            <w:tcW w:w="0" w:type="auto"/>
            <w:vAlign w:val="center"/>
            <w:hideMark/>
          </w:tcPr>
          <w:p w14:paraId="405FB26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Mecanismo</w:t>
            </w:r>
          </w:p>
        </w:tc>
      </w:tr>
      <w:tr w:rsidR="000444D1" w:rsidRPr="000444D1" w14:paraId="4A95D2A4" w14:textId="77777777">
        <w:trPr>
          <w:tblCellSpacing w:w="15" w:type="dxa"/>
        </w:trPr>
        <w:tc>
          <w:tcPr>
            <w:tcW w:w="0" w:type="auto"/>
            <w:vAlign w:val="center"/>
            <w:hideMark/>
          </w:tcPr>
          <w:p w14:paraId="1A158E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tradicional</w:t>
            </w:r>
          </w:p>
        </w:tc>
        <w:tc>
          <w:tcPr>
            <w:tcW w:w="0" w:type="auto"/>
            <w:vAlign w:val="center"/>
            <w:hideMark/>
          </w:tcPr>
          <w:p w14:paraId="4809B10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Pagos con origen en cuentas tradicionales; alta de productos tradicionales</w:t>
            </w:r>
          </w:p>
        </w:tc>
        <w:tc>
          <w:tcPr>
            <w:tcW w:w="0" w:type="auto"/>
            <w:vAlign w:val="center"/>
            <w:hideMark/>
          </w:tcPr>
          <w:p w14:paraId="36D927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posición completa; pagos entre cuentas digitales; consentimientos; consultas de terceros</w:t>
            </w:r>
          </w:p>
        </w:tc>
        <w:tc>
          <w:tcPr>
            <w:tcW w:w="0" w:type="auto"/>
            <w:vAlign w:val="center"/>
            <w:hideMark/>
          </w:tcPr>
          <w:p w14:paraId="43C07D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controlador de disponibilidad del ACL expone el estado degradado; el canal informa antes de aceptar la operación</w:t>
            </w:r>
          </w:p>
        </w:tc>
      </w:tr>
      <w:tr w:rsidR="000444D1" w:rsidRPr="000444D1" w14:paraId="78A187FA" w14:textId="77777777">
        <w:trPr>
          <w:tblCellSpacing w:w="15" w:type="dxa"/>
        </w:trPr>
        <w:tc>
          <w:tcPr>
            <w:tcW w:w="0" w:type="auto"/>
            <w:vAlign w:val="center"/>
            <w:hideMark/>
          </w:tcPr>
          <w:p w14:paraId="70BEBB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digital</w:t>
            </w:r>
          </w:p>
        </w:tc>
        <w:tc>
          <w:tcPr>
            <w:tcW w:w="0" w:type="auto"/>
            <w:vAlign w:val="center"/>
            <w:hideMark/>
          </w:tcPr>
          <w:p w14:paraId="602A8E8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Pagos con origen en cuentas digitales</w:t>
            </w:r>
          </w:p>
        </w:tc>
        <w:tc>
          <w:tcPr>
            <w:tcW w:w="0" w:type="auto"/>
            <w:vAlign w:val="center"/>
            <w:hideMark/>
          </w:tcPr>
          <w:p w14:paraId="5BABE4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lo relativo a productos tradicionales; consultas</w:t>
            </w:r>
          </w:p>
        </w:tc>
        <w:tc>
          <w:tcPr>
            <w:tcW w:w="0" w:type="auto"/>
            <w:vAlign w:val="center"/>
            <w:hideMark/>
          </w:tcPr>
          <w:p w14:paraId="6C7C53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Mismo mecanismo, en el adaptador correspondiente</w:t>
            </w:r>
          </w:p>
        </w:tc>
      </w:tr>
      <w:tr w:rsidR="000444D1" w:rsidRPr="000444D1" w14:paraId="5748B52A" w14:textId="77777777">
        <w:trPr>
          <w:tblCellSpacing w:w="15" w:type="dxa"/>
        </w:trPr>
        <w:tc>
          <w:tcPr>
            <w:tcW w:w="0" w:type="auto"/>
            <w:vAlign w:val="center"/>
            <w:hideMark/>
          </w:tcPr>
          <w:p w14:paraId="67EA74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Motor de fraude</w:t>
            </w:r>
          </w:p>
        </w:tc>
        <w:tc>
          <w:tcPr>
            <w:tcW w:w="0" w:type="auto"/>
            <w:vAlign w:val="center"/>
            <w:hideMark/>
          </w:tcPr>
          <w:p w14:paraId="287449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Operaciones sobre el umbral de monto</w:t>
            </w:r>
          </w:p>
        </w:tc>
        <w:tc>
          <w:tcPr>
            <w:tcW w:w="0" w:type="auto"/>
            <w:vAlign w:val="center"/>
            <w:hideMark/>
          </w:tcPr>
          <w:p w14:paraId="104701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Operaciones bajo umbral, marcadas para revisión posterior</w:t>
            </w:r>
          </w:p>
        </w:tc>
        <w:tc>
          <w:tcPr>
            <w:tcW w:w="0" w:type="auto"/>
            <w:vAlign w:val="center"/>
            <w:hideMark/>
          </w:tcPr>
          <w:p w14:paraId="0F1C99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Degradación graduada del ADR-005</w:t>
            </w:r>
          </w:p>
        </w:tc>
      </w:tr>
      <w:tr w:rsidR="000444D1" w:rsidRPr="000444D1" w14:paraId="243FB6FB" w14:textId="77777777">
        <w:trPr>
          <w:tblCellSpacing w:w="15" w:type="dxa"/>
        </w:trPr>
        <w:tc>
          <w:tcPr>
            <w:tcW w:w="0" w:type="auto"/>
            <w:vAlign w:val="center"/>
            <w:hideMark/>
          </w:tcPr>
          <w:p w14:paraId="1B5AF7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Sistema de riesgos</w:t>
            </w:r>
          </w:p>
        </w:tc>
        <w:tc>
          <w:tcPr>
            <w:tcW w:w="0" w:type="auto"/>
            <w:vAlign w:val="center"/>
            <w:hideMark/>
          </w:tcPr>
          <w:p w14:paraId="0BCF41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Originación de productos que requieren calificación</w:t>
            </w:r>
          </w:p>
        </w:tc>
        <w:tc>
          <w:tcPr>
            <w:tcW w:w="0" w:type="auto"/>
            <w:vAlign w:val="center"/>
            <w:hideMark/>
          </w:tcPr>
          <w:p w14:paraId="28FDCE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la operativa transaccional</w:t>
            </w:r>
          </w:p>
        </w:tc>
        <w:tc>
          <w:tcPr>
            <w:tcW w:w="0" w:type="auto"/>
            <w:vAlign w:val="center"/>
            <w:hideMark/>
          </w:tcPr>
          <w:p w14:paraId="2BE250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D6 responde con veredicto no disponible; solo bloquea flujos de originación</w:t>
            </w:r>
          </w:p>
        </w:tc>
      </w:tr>
      <w:tr w:rsidR="000444D1" w:rsidRPr="000444D1" w14:paraId="406C3C3A" w14:textId="77777777">
        <w:trPr>
          <w:tblCellSpacing w:w="15" w:type="dxa"/>
        </w:trPr>
        <w:tc>
          <w:tcPr>
            <w:tcW w:w="0" w:type="auto"/>
            <w:vAlign w:val="center"/>
            <w:hideMark/>
          </w:tcPr>
          <w:p w14:paraId="3B5B72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Bus de eventos</w:t>
            </w:r>
          </w:p>
        </w:tc>
        <w:tc>
          <w:tcPr>
            <w:tcW w:w="0" w:type="auto"/>
            <w:vAlign w:val="center"/>
            <w:hideMark/>
          </w:tcPr>
          <w:p w14:paraId="3E4974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Actualización de la proyección, auditoría en tiempo real, realimentación de modelos</w:t>
            </w:r>
          </w:p>
        </w:tc>
        <w:tc>
          <w:tcPr>
            <w:tcW w:w="0" w:type="auto"/>
            <w:vAlign w:val="center"/>
            <w:hideMark/>
          </w:tcPr>
          <w:p w14:paraId="22FC20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Toda la operativa síncrona</w:t>
            </w:r>
            <w:r w:rsidRPr="000444D1">
              <w:rPr>
                <w:rFonts w:ascii="Times New Roman" w:eastAsia="Times New Roman" w:hAnsi="Times New Roman" w:cs="Times New Roman"/>
                <w:kern w:val="0"/>
                <w14:ligatures w14:val="none"/>
              </w:rPr>
              <w:t>: pagos, consultas, accesos de terceros</w:t>
            </w:r>
          </w:p>
        </w:tc>
        <w:tc>
          <w:tcPr>
            <w:tcW w:w="0" w:type="auto"/>
            <w:vAlign w:val="center"/>
            <w:hideMark/>
          </w:tcPr>
          <w:p w14:paraId="3D8207A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eventos se acumulan en las tablas outbox y se publican al restablecerse</w:t>
            </w:r>
          </w:p>
        </w:tc>
      </w:tr>
      <w:tr w:rsidR="000444D1" w:rsidRPr="000444D1" w14:paraId="40FC0A64" w14:textId="77777777">
        <w:trPr>
          <w:tblCellSpacing w:w="15" w:type="dxa"/>
        </w:trPr>
        <w:tc>
          <w:tcPr>
            <w:tcW w:w="0" w:type="auto"/>
            <w:vAlign w:val="center"/>
            <w:hideMark/>
          </w:tcPr>
          <w:p w14:paraId="134F5D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D3 Posición consolidada</w:t>
            </w:r>
          </w:p>
        </w:tc>
        <w:tc>
          <w:tcPr>
            <w:tcW w:w="0" w:type="auto"/>
            <w:vAlign w:val="center"/>
            <w:hideMark/>
          </w:tcPr>
          <w:p w14:paraId="66C2EEE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posición y de movimientos</w:t>
            </w:r>
          </w:p>
        </w:tc>
        <w:tc>
          <w:tcPr>
            <w:tcW w:w="0" w:type="auto"/>
            <w:vAlign w:val="center"/>
            <w:hideMark/>
          </w:tcPr>
          <w:p w14:paraId="5F5535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Originación de pagos, accesos de terceros a otros recursos</w:t>
            </w:r>
          </w:p>
        </w:tc>
        <w:tc>
          <w:tcPr>
            <w:tcW w:w="0" w:type="auto"/>
            <w:vAlign w:val="center"/>
            <w:hideMark/>
          </w:tcPr>
          <w:p w14:paraId="62E687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pago no depende de D3: el core valida los fondos (ADR-002)</w:t>
            </w:r>
          </w:p>
        </w:tc>
      </w:tr>
      <w:tr w:rsidR="000444D1" w:rsidRPr="000444D1" w14:paraId="56C7665B" w14:textId="77777777">
        <w:trPr>
          <w:tblCellSpacing w:w="15" w:type="dxa"/>
        </w:trPr>
        <w:tc>
          <w:tcPr>
            <w:tcW w:w="0" w:type="auto"/>
            <w:vAlign w:val="center"/>
            <w:hideMark/>
          </w:tcPr>
          <w:p w14:paraId="202786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D7 Consentimientos</w:t>
            </w:r>
          </w:p>
        </w:tc>
        <w:tc>
          <w:tcPr>
            <w:tcW w:w="0" w:type="auto"/>
            <w:vAlign w:val="center"/>
            <w:hideMark/>
          </w:tcPr>
          <w:p w14:paraId="275EE2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acceso de terceros Open Finance</w:t>
            </w:r>
          </w:p>
        </w:tc>
        <w:tc>
          <w:tcPr>
            <w:tcW w:w="0" w:type="auto"/>
            <w:vAlign w:val="center"/>
            <w:hideMark/>
          </w:tcPr>
          <w:p w14:paraId="7E27A6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la operativa de canales propios</w:t>
            </w:r>
          </w:p>
        </w:tc>
        <w:tc>
          <w:tcPr>
            <w:tcW w:w="0" w:type="auto"/>
            <w:vAlign w:val="center"/>
            <w:hideMark/>
          </w:tcPr>
          <w:p w14:paraId="523503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Denegación por omisión: sin verificación de consentimiento no hay acceso</w:t>
            </w:r>
          </w:p>
        </w:tc>
      </w:tr>
      <w:tr w:rsidR="000444D1" w:rsidRPr="000444D1" w14:paraId="373A5B62" w14:textId="77777777">
        <w:trPr>
          <w:tblCellSpacing w:w="15" w:type="dxa"/>
        </w:trPr>
        <w:tc>
          <w:tcPr>
            <w:tcW w:w="0" w:type="auto"/>
            <w:vAlign w:val="center"/>
            <w:hideMark/>
          </w:tcPr>
          <w:p w14:paraId="3AAE93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D9 Entitlements</w:t>
            </w:r>
          </w:p>
        </w:tc>
        <w:tc>
          <w:tcPr>
            <w:tcW w:w="0" w:type="auto"/>
            <w:vAlign w:val="center"/>
            <w:hideMark/>
          </w:tcPr>
          <w:p w14:paraId="56697BD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operación sobre cuentas</w:t>
            </w:r>
          </w:p>
        </w:tc>
        <w:tc>
          <w:tcPr>
            <w:tcW w:w="0" w:type="auto"/>
            <w:vAlign w:val="center"/>
            <w:hideMark/>
          </w:tcPr>
          <w:p w14:paraId="27C0A2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Autenticación y navegación sin datos</w:t>
            </w:r>
          </w:p>
        </w:tc>
        <w:tc>
          <w:tcPr>
            <w:tcW w:w="0" w:type="auto"/>
            <w:vAlign w:val="center"/>
            <w:hideMark/>
          </w:tcPr>
          <w:p w14:paraId="2424EA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Denegación por omisión; es dependencia crítica reconocida (15.7)</w:t>
            </w:r>
          </w:p>
        </w:tc>
      </w:tr>
      <w:tr w:rsidR="000444D1" w:rsidRPr="000444D1" w14:paraId="7D5EC38D" w14:textId="77777777">
        <w:trPr>
          <w:tblCellSpacing w:w="15" w:type="dxa"/>
        </w:trPr>
        <w:tc>
          <w:tcPr>
            <w:tcW w:w="0" w:type="auto"/>
            <w:vAlign w:val="center"/>
            <w:hideMark/>
          </w:tcPr>
          <w:p w14:paraId="54D08DC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IdP</w:t>
            </w:r>
          </w:p>
        </w:tc>
        <w:tc>
          <w:tcPr>
            <w:tcW w:w="0" w:type="auto"/>
            <w:vAlign w:val="center"/>
            <w:hideMark/>
          </w:tcPr>
          <w:p w14:paraId="5FDCCB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Nuevas autenticaciones</w:t>
            </w:r>
          </w:p>
        </w:tc>
        <w:tc>
          <w:tcPr>
            <w:tcW w:w="0" w:type="auto"/>
            <w:vAlign w:val="center"/>
            <w:hideMark/>
          </w:tcPr>
          <w:p w14:paraId="3467EE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Sesiones ya establecidas, hasta el vencimiento de su token</w:t>
            </w:r>
          </w:p>
        </w:tc>
        <w:tc>
          <w:tcPr>
            <w:tcW w:w="0" w:type="auto"/>
            <w:vAlign w:val="center"/>
            <w:hideMark/>
          </w:tcPr>
          <w:p w14:paraId="122701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tokens en curso siguen siendo verificables por firma sin llamar al IdP</w:t>
            </w:r>
          </w:p>
        </w:tc>
      </w:tr>
      <w:tr w:rsidR="000444D1" w:rsidRPr="000444D1" w14:paraId="192B7059" w14:textId="77777777">
        <w:trPr>
          <w:tblCellSpacing w:w="15" w:type="dxa"/>
        </w:trPr>
        <w:tc>
          <w:tcPr>
            <w:tcW w:w="0" w:type="auto"/>
            <w:vAlign w:val="center"/>
            <w:hideMark/>
          </w:tcPr>
          <w:p w14:paraId="3780F4E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D8 Historial</w:t>
            </w:r>
          </w:p>
        </w:tc>
        <w:tc>
          <w:tcPr>
            <w:tcW w:w="0" w:type="auto"/>
            <w:vAlign w:val="center"/>
            <w:hideMark/>
          </w:tcPr>
          <w:p w14:paraId="694025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trazas de auditoría</w:t>
            </w:r>
          </w:p>
        </w:tc>
        <w:tc>
          <w:tcPr>
            <w:tcW w:w="0" w:type="auto"/>
            <w:vAlign w:val="center"/>
            <w:hideMark/>
          </w:tcPr>
          <w:p w14:paraId="5CE5A2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la operativa</w:t>
            </w:r>
          </w:p>
        </w:tc>
        <w:tc>
          <w:tcPr>
            <w:tcW w:w="0" w:type="auto"/>
            <w:vAlign w:val="center"/>
            <w:hideMark/>
          </w:tcPr>
          <w:p w14:paraId="709B84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eventos permanecen en el bus y se consumen al restablecerse</w:t>
            </w:r>
          </w:p>
        </w:tc>
      </w:tr>
      <w:tr w:rsidR="000444D1" w:rsidRPr="000444D1" w14:paraId="09ACCF8F" w14:textId="77777777">
        <w:trPr>
          <w:tblCellSpacing w:w="15" w:type="dxa"/>
        </w:trPr>
        <w:tc>
          <w:tcPr>
            <w:tcW w:w="0" w:type="auto"/>
            <w:vAlign w:val="center"/>
            <w:hideMark/>
          </w:tcPr>
          <w:p w14:paraId="3281B5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Redes de pago externas</w:t>
            </w:r>
          </w:p>
        </w:tc>
        <w:tc>
          <w:tcPr>
            <w:tcW w:w="0" w:type="auto"/>
            <w:vAlign w:val="center"/>
            <w:hideMark/>
          </w:tcPr>
          <w:p w14:paraId="351593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Transferencias interbancarias</w:t>
            </w:r>
          </w:p>
        </w:tc>
        <w:tc>
          <w:tcPr>
            <w:tcW w:w="0" w:type="auto"/>
            <w:vAlign w:val="center"/>
            <w:hideMark/>
          </w:tcPr>
          <w:p w14:paraId="17CD71F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Transferencias internas entre cuentas del banco</w:t>
            </w:r>
          </w:p>
        </w:tc>
        <w:tc>
          <w:tcPr>
            <w:tcW w:w="0" w:type="auto"/>
            <w:vAlign w:val="center"/>
            <w:hideMark/>
          </w:tcPr>
          <w:p w14:paraId="3F99C8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órdenes quedan en estado de espera y se reintentan</w:t>
            </w:r>
          </w:p>
        </w:tc>
      </w:tr>
      <w:tr w:rsidR="000444D1" w:rsidRPr="000444D1" w14:paraId="646A0A4C" w14:textId="77777777">
        <w:trPr>
          <w:tblCellSpacing w:w="15" w:type="dxa"/>
        </w:trPr>
        <w:tc>
          <w:tcPr>
            <w:tcW w:w="0" w:type="auto"/>
            <w:vAlign w:val="center"/>
            <w:hideMark/>
          </w:tcPr>
          <w:p w14:paraId="45A34F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CDC del core tradicional</w:t>
            </w:r>
          </w:p>
        </w:tc>
        <w:tc>
          <w:tcPr>
            <w:tcW w:w="0" w:type="auto"/>
            <w:vAlign w:val="center"/>
            <w:hideMark/>
          </w:tcPr>
          <w:p w14:paraId="252454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Visibilidad de operaciones presenciales en la proyección y en fraude</w:t>
            </w:r>
          </w:p>
        </w:tc>
        <w:tc>
          <w:tcPr>
            <w:tcW w:w="0" w:type="auto"/>
            <w:vAlign w:val="center"/>
            <w:hideMark/>
          </w:tcPr>
          <w:p w14:paraId="7DBEC4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la operativa digital</w:t>
            </w:r>
          </w:p>
        </w:tc>
        <w:tc>
          <w:tcPr>
            <w:tcW w:w="0" w:type="auto"/>
            <w:vAlign w:val="center"/>
            <w:hideMark/>
          </w:tcPr>
          <w:p w14:paraId="1A986B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 restablecerse recupera desde el punto de corte; la deduplicación por clave de negocio absorbe el solapamiento</w:t>
            </w:r>
          </w:p>
        </w:tc>
      </w:tr>
    </w:tbl>
    <w:p w14:paraId="531A013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La fila del bus de eventos es la más significativa.</w:t>
      </w:r>
      <w:r w:rsidRPr="000444D1">
        <w:rPr>
          <w:rFonts w:ascii="Times New Roman" w:eastAsia="Times New Roman" w:hAnsi="Times New Roman" w:cs="Times New Roman"/>
          <w:kern w:val="0"/>
          <w14:ligatures w14:val="none"/>
        </w:rPr>
        <w:t xml:space="preserve"> Un diseño orientado a eventos mal planteado convierte al bus en punto único de fallo de todo el sistema. Aquí no lo es: la caída del bus detiene la propagación, no la operación. Un cliente puede seguir transfiriendo dinero mientras el bus está caído, porque el pago se ejecuta de forma síncrona contra el core y el evento espera en la tabla outbox. Lo que se degrada es la frescura de la proyección y la latencia de la auditoría, no la capacidad transaccional. Esta propiedad es consecuencia directa de haber situado el débito autoritativo en el camino síncrono (ADR-003) y de no haber usado el bus como mecanismo de ejecución.</w:t>
      </w:r>
    </w:p>
    <w:p w14:paraId="27AE7620"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15.4 Patrones de resiliencia y su ubicación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3566"/>
        <w:gridCol w:w="3294"/>
      </w:tblGrid>
      <w:tr w:rsidR="000444D1" w:rsidRPr="000444D1" w14:paraId="6BBD0525" w14:textId="77777777">
        <w:trPr>
          <w:tblHeader/>
          <w:tblCellSpacing w:w="15" w:type="dxa"/>
        </w:trPr>
        <w:tc>
          <w:tcPr>
            <w:tcW w:w="0" w:type="auto"/>
            <w:vAlign w:val="center"/>
            <w:hideMark/>
          </w:tcPr>
          <w:p w14:paraId="6AF671D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Patrón</w:t>
            </w:r>
          </w:p>
        </w:tc>
        <w:tc>
          <w:tcPr>
            <w:tcW w:w="0" w:type="auto"/>
            <w:vAlign w:val="center"/>
            <w:hideMark/>
          </w:tcPr>
          <w:p w14:paraId="0B7ABC4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Dónde reside</w:t>
            </w:r>
          </w:p>
        </w:tc>
        <w:tc>
          <w:tcPr>
            <w:tcW w:w="0" w:type="auto"/>
            <w:vAlign w:val="center"/>
            <w:hideMark/>
          </w:tcPr>
          <w:p w14:paraId="7E966C1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Problema que resuelve</w:t>
            </w:r>
          </w:p>
        </w:tc>
      </w:tr>
      <w:tr w:rsidR="000444D1" w:rsidRPr="000444D1" w14:paraId="4C839F09" w14:textId="77777777">
        <w:trPr>
          <w:tblCellSpacing w:w="15" w:type="dxa"/>
        </w:trPr>
        <w:tc>
          <w:tcPr>
            <w:tcW w:w="0" w:type="auto"/>
            <w:vAlign w:val="center"/>
            <w:hideMark/>
          </w:tcPr>
          <w:p w14:paraId="4D7B3A0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Cortocircuito</w:t>
            </w:r>
          </w:p>
        </w:tc>
        <w:tc>
          <w:tcPr>
            <w:tcW w:w="0" w:type="auto"/>
            <w:vAlign w:val="center"/>
            <w:hideMark/>
          </w:tcPr>
          <w:p w14:paraId="0B6DF3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Cliente de fraude y enrutador de core (D4); controlador de disponibilidad del ACL</w:t>
            </w:r>
          </w:p>
        </w:tc>
        <w:tc>
          <w:tcPr>
            <w:tcW w:w="0" w:type="auto"/>
            <w:vAlign w:val="center"/>
            <w:hideMark/>
          </w:tcPr>
          <w:p w14:paraId="1420E1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Evita agotar recursos invocando a un sistema caído</w:t>
            </w:r>
          </w:p>
        </w:tc>
      </w:tr>
      <w:tr w:rsidR="000444D1" w:rsidRPr="000444D1" w14:paraId="0AF33F92" w14:textId="77777777">
        <w:trPr>
          <w:tblCellSpacing w:w="15" w:type="dxa"/>
        </w:trPr>
        <w:tc>
          <w:tcPr>
            <w:tcW w:w="0" w:type="auto"/>
            <w:vAlign w:val="center"/>
            <w:hideMark/>
          </w:tcPr>
          <w:p w14:paraId="7078F8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Tiempo límite explícito</w:t>
            </w:r>
          </w:p>
        </w:tc>
        <w:tc>
          <w:tcPr>
            <w:tcW w:w="0" w:type="auto"/>
            <w:vAlign w:val="center"/>
            <w:hideMark/>
          </w:tcPr>
          <w:p w14:paraId="6BD3FE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invocación saliente; 300 ms en fraude, presupuesto propio en cada core</w:t>
            </w:r>
          </w:p>
        </w:tc>
        <w:tc>
          <w:tcPr>
            <w:tcW w:w="0" w:type="auto"/>
            <w:vAlign w:val="center"/>
            <w:hideMark/>
          </w:tcPr>
          <w:p w14:paraId="3ED19F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límite, un sistema lento se propaga como una caída</w:t>
            </w:r>
          </w:p>
        </w:tc>
      </w:tr>
      <w:tr w:rsidR="000444D1" w:rsidRPr="000444D1" w14:paraId="2B7D58E7" w14:textId="77777777">
        <w:trPr>
          <w:tblCellSpacing w:w="15" w:type="dxa"/>
        </w:trPr>
        <w:tc>
          <w:tcPr>
            <w:tcW w:w="0" w:type="auto"/>
            <w:vAlign w:val="center"/>
            <w:hideMark/>
          </w:tcPr>
          <w:p w14:paraId="30DA80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Compartimentación</w:t>
            </w:r>
          </w:p>
        </w:tc>
        <w:tc>
          <w:tcPr>
            <w:tcW w:w="0" w:type="auto"/>
            <w:vAlign w:val="center"/>
            <w:hideMark/>
          </w:tcPr>
          <w:p w14:paraId="497825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Grupos de conexiones y de hilos separados por dependencia en D4</w:t>
            </w:r>
          </w:p>
        </w:tc>
        <w:tc>
          <w:tcPr>
            <w:tcW w:w="0" w:type="auto"/>
            <w:vAlign w:val="center"/>
            <w:hideMark/>
          </w:tcPr>
          <w:p w14:paraId="21433C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lentitud del core no consume los recursos destinados al motor de fraude</w:t>
            </w:r>
          </w:p>
        </w:tc>
      </w:tr>
      <w:tr w:rsidR="000444D1" w:rsidRPr="000444D1" w14:paraId="7AE7D63D" w14:textId="77777777">
        <w:trPr>
          <w:tblCellSpacing w:w="15" w:type="dxa"/>
        </w:trPr>
        <w:tc>
          <w:tcPr>
            <w:tcW w:w="0" w:type="auto"/>
            <w:vAlign w:val="center"/>
            <w:hideMark/>
          </w:tcPr>
          <w:p w14:paraId="02C86B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Reintento con retroceso y dispersión</w:t>
            </w:r>
          </w:p>
        </w:tc>
        <w:tc>
          <w:tcPr>
            <w:tcW w:w="0" w:type="auto"/>
            <w:vAlign w:val="center"/>
            <w:hideMark/>
          </w:tcPr>
          <w:p w14:paraId="5DD61E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Consumidores de eventos y despachador outbox</w:t>
            </w:r>
          </w:p>
        </w:tc>
        <w:tc>
          <w:tcPr>
            <w:tcW w:w="0" w:type="auto"/>
            <w:vAlign w:val="center"/>
            <w:hideMark/>
          </w:tcPr>
          <w:p w14:paraId="7A53C6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Recuperación ante fallos transitorios sin sincronizar la carga de reintento</w:t>
            </w:r>
          </w:p>
        </w:tc>
      </w:tr>
      <w:tr w:rsidR="000444D1" w:rsidRPr="000444D1" w14:paraId="22A8BFB9" w14:textId="77777777">
        <w:trPr>
          <w:tblCellSpacing w:w="15" w:type="dxa"/>
        </w:trPr>
        <w:tc>
          <w:tcPr>
            <w:tcW w:w="0" w:type="auto"/>
            <w:vAlign w:val="center"/>
            <w:hideMark/>
          </w:tcPr>
          <w:p w14:paraId="2B12CD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Contrapresión</w:t>
            </w:r>
          </w:p>
        </w:tc>
        <w:tc>
          <w:tcPr>
            <w:tcW w:w="0" w:type="auto"/>
            <w:vAlign w:val="center"/>
            <w:hideMark/>
          </w:tcPr>
          <w:p w14:paraId="0B52804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Consumidores del bus</w:t>
            </w:r>
          </w:p>
        </w:tc>
        <w:tc>
          <w:tcPr>
            <w:tcW w:w="0" w:type="auto"/>
            <w:vAlign w:val="center"/>
            <w:hideMark/>
          </w:tcPr>
          <w:p w14:paraId="770F57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consumidor lento no acumula memoria hasta agotarla</w:t>
            </w:r>
          </w:p>
        </w:tc>
      </w:tr>
      <w:tr w:rsidR="000444D1" w:rsidRPr="000444D1" w14:paraId="02D4AC3C" w14:textId="77777777">
        <w:trPr>
          <w:tblCellSpacing w:w="15" w:type="dxa"/>
        </w:trPr>
        <w:tc>
          <w:tcPr>
            <w:tcW w:w="0" w:type="auto"/>
            <w:vAlign w:val="center"/>
            <w:hideMark/>
          </w:tcPr>
          <w:p w14:paraId="3ECFEB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Cola de mensajes fallidos</w:t>
            </w:r>
          </w:p>
        </w:tc>
        <w:tc>
          <w:tcPr>
            <w:tcW w:w="0" w:type="auto"/>
            <w:vAlign w:val="center"/>
            <w:hideMark/>
          </w:tcPr>
          <w:p w14:paraId="497B4E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Por consumidor y tipo (sección 12.8)</w:t>
            </w:r>
          </w:p>
        </w:tc>
        <w:tc>
          <w:tcPr>
            <w:tcW w:w="0" w:type="auto"/>
            <w:vAlign w:val="center"/>
            <w:hideMark/>
          </w:tcPr>
          <w:p w14:paraId="1A8F34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mensaje defectuoso no bloquea la partición</w:t>
            </w:r>
          </w:p>
        </w:tc>
      </w:tr>
      <w:tr w:rsidR="000444D1" w:rsidRPr="000444D1" w14:paraId="546EE9EA" w14:textId="77777777">
        <w:trPr>
          <w:tblCellSpacing w:w="15" w:type="dxa"/>
        </w:trPr>
        <w:tc>
          <w:tcPr>
            <w:tcW w:w="0" w:type="auto"/>
            <w:vAlign w:val="center"/>
            <w:hideMark/>
          </w:tcPr>
          <w:p w14:paraId="33E02E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Reconciliación</w:t>
            </w:r>
          </w:p>
        </w:tc>
        <w:tc>
          <w:tcPr>
            <w:tcW w:w="0" w:type="auto"/>
            <w:vAlign w:val="center"/>
            <w:hideMark/>
          </w:tcPr>
          <w:p w14:paraId="3A6965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Proceso periódico contra ambos cores</w:t>
            </w:r>
          </w:p>
        </w:tc>
        <w:tc>
          <w:tcPr>
            <w:tcW w:w="0" w:type="auto"/>
            <w:vAlign w:val="center"/>
            <w:hideMark/>
          </w:tcPr>
          <w:p w14:paraId="78724F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Resuelve estados desconocidos (sección 15.6)</w:t>
            </w:r>
          </w:p>
        </w:tc>
      </w:tr>
    </w:tbl>
    <w:p w14:paraId="3E108FF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Ausencia deliberada de reintento automático en escrituras contra el core.</w:t>
      </w:r>
      <w:r w:rsidRPr="000444D1">
        <w:rPr>
          <w:rFonts w:ascii="Times New Roman" w:eastAsia="Times New Roman" w:hAnsi="Times New Roman" w:cs="Times New Roman"/>
          <w:kern w:val="0"/>
          <w14:ligatures w14:val="none"/>
        </w:rPr>
        <w:t xml:space="preserve"> El enrutador de core no reintenta un débito sin respuesta. Reintentar una operación cuyo resultado se desconoce </w:t>
      </w:r>
      <w:r w:rsidRPr="000444D1">
        <w:rPr>
          <w:rFonts w:ascii="Times New Roman" w:eastAsia="Times New Roman" w:hAnsi="Times New Roman" w:cs="Times New Roman"/>
          <w:kern w:val="0"/>
          <w14:ligatures w14:val="none"/>
        </w:rPr>
        <w:lastRenderedPageBreak/>
        <w:t xml:space="preserve">produce doble débito, y la clave de idempotencia mitiga pero no elimina el riesgo si el core no la soporta de forma nativa. La orden pasa a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y la resuelve la reconciliación consultando el estado real mediante </w:t>
      </w:r>
      <w:r w:rsidRPr="000444D1">
        <w:rPr>
          <w:rFonts w:ascii="Courier New" w:eastAsia="Times New Roman" w:hAnsi="Courier New" w:cs="Courier New"/>
          <w:kern w:val="0"/>
          <w:sz w:val="20"/>
          <w:szCs w:val="20"/>
          <w14:ligatures w14:val="none"/>
        </w:rPr>
        <w:t>ConsultarEstadoAsync</w:t>
      </w:r>
      <w:r w:rsidRPr="000444D1">
        <w:rPr>
          <w:rFonts w:ascii="Times New Roman" w:eastAsia="Times New Roman" w:hAnsi="Times New Roman" w:cs="Times New Roman"/>
          <w:kern w:val="0"/>
          <w14:ligatures w14:val="none"/>
        </w:rPr>
        <w:t>. Es una renuncia consciente a una recuperación automática rápida a cambio de una garantía de corrección.</w:t>
      </w:r>
    </w:p>
    <w:p w14:paraId="1C71093F"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15.5 Escenarios de desastre y respuesta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2141"/>
        <w:gridCol w:w="3267"/>
        <w:gridCol w:w="1559"/>
      </w:tblGrid>
      <w:tr w:rsidR="000444D1" w:rsidRPr="000444D1" w14:paraId="4E37E4BF" w14:textId="77777777">
        <w:trPr>
          <w:tblHeader/>
          <w:tblCellSpacing w:w="15" w:type="dxa"/>
        </w:trPr>
        <w:tc>
          <w:tcPr>
            <w:tcW w:w="0" w:type="auto"/>
            <w:vAlign w:val="center"/>
            <w:hideMark/>
          </w:tcPr>
          <w:p w14:paraId="377C870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Escenario</w:t>
            </w:r>
          </w:p>
        </w:tc>
        <w:tc>
          <w:tcPr>
            <w:tcW w:w="0" w:type="auto"/>
            <w:vAlign w:val="center"/>
            <w:hideMark/>
          </w:tcPr>
          <w:p w14:paraId="3F55333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Impacto</w:t>
            </w:r>
          </w:p>
        </w:tc>
        <w:tc>
          <w:tcPr>
            <w:tcW w:w="0" w:type="auto"/>
            <w:vAlign w:val="center"/>
            <w:hideMark/>
          </w:tcPr>
          <w:p w14:paraId="429BBC9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Respuesta</w:t>
            </w:r>
          </w:p>
        </w:tc>
        <w:tc>
          <w:tcPr>
            <w:tcW w:w="0" w:type="auto"/>
            <w:vAlign w:val="center"/>
            <w:hideMark/>
          </w:tcPr>
          <w:p w14:paraId="6B9F02B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RTO esperado</w:t>
            </w:r>
          </w:p>
        </w:tc>
      </w:tr>
      <w:tr w:rsidR="000444D1" w:rsidRPr="000444D1" w14:paraId="64CD22B7" w14:textId="77777777">
        <w:trPr>
          <w:tblCellSpacing w:w="15" w:type="dxa"/>
        </w:trPr>
        <w:tc>
          <w:tcPr>
            <w:tcW w:w="0" w:type="auto"/>
            <w:vAlign w:val="center"/>
            <w:hideMark/>
          </w:tcPr>
          <w:p w14:paraId="514F4B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Pérdida de una zona de disponibilidad</w:t>
            </w:r>
          </w:p>
        </w:tc>
        <w:tc>
          <w:tcPr>
            <w:tcW w:w="0" w:type="auto"/>
            <w:vAlign w:val="center"/>
            <w:hideMark/>
          </w:tcPr>
          <w:p w14:paraId="6A01FF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Reducción de capacidad</w:t>
            </w:r>
          </w:p>
        </w:tc>
        <w:tc>
          <w:tcPr>
            <w:tcW w:w="0" w:type="auto"/>
            <w:vAlign w:val="center"/>
            <w:hideMark/>
          </w:tcPr>
          <w:p w14:paraId="69AE6C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Automática: el balanceo redirige; las particiones del bus eligen nueva réplica principal</w:t>
            </w:r>
          </w:p>
        </w:tc>
        <w:tc>
          <w:tcPr>
            <w:tcW w:w="0" w:type="auto"/>
            <w:vAlign w:val="center"/>
            <w:hideMark/>
          </w:tcPr>
          <w:p w14:paraId="6384480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interrupción</w:t>
            </w:r>
          </w:p>
        </w:tc>
      </w:tr>
      <w:tr w:rsidR="000444D1" w:rsidRPr="000444D1" w14:paraId="32A51CB0" w14:textId="77777777">
        <w:trPr>
          <w:tblCellSpacing w:w="15" w:type="dxa"/>
        </w:trPr>
        <w:tc>
          <w:tcPr>
            <w:tcW w:w="0" w:type="auto"/>
            <w:vAlign w:val="center"/>
            <w:hideMark/>
          </w:tcPr>
          <w:p w14:paraId="2CB9BA5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Pérdida de la región principal</w:t>
            </w:r>
          </w:p>
        </w:tc>
        <w:tc>
          <w:tcPr>
            <w:tcW w:w="0" w:type="auto"/>
            <w:vAlign w:val="center"/>
            <w:hideMark/>
          </w:tcPr>
          <w:p w14:paraId="6C2DAE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Indisponibilidad de la capa digital</w:t>
            </w:r>
          </w:p>
        </w:tc>
        <w:tc>
          <w:tcPr>
            <w:tcW w:w="0" w:type="auto"/>
            <w:vAlign w:val="center"/>
            <w:hideMark/>
          </w:tcPr>
          <w:p w14:paraId="2F8F7F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Activación de la región secundaria; promoción de réplicas; redirección de nombres</w:t>
            </w:r>
          </w:p>
        </w:tc>
        <w:tc>
          <w:tcPr>
            <w:tcW w:w="0" w:type="auto"/>
            <w:vAlign w:val="center"/>
            <w:hideMark/>
          </w:tcPr>
          <w:p w14:paraId="2F1423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15–30 min</w:t>
            </w:r>
          </w:p>
        </w:tc>
      </w:tr>
      <w:tr w:rsidR="000444D1" w:rsidRPr="000444D1" w14:paraId="3D58EDFB" w14:textId="77777777">
        <w:trPr>
          <w:tblCellSpacing w:w="15" w:type="dxa"/>
        </w:trPr>
        <w:tc>
          <w:tcPr>
            <w:tcW w:w="0" w:type="auto"/>
            <w:vAlign w:val="center"/>
            <w:hideMark/>
          </w:tcPr>
          <w:p w14:paraId="034A49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Pérdida del centro de datos del core tradicional</w:t>
            </w:r>
          </w:p>
        </w:tc>
        <w:tc>
          <w:tcPr>
            <w:tcW w:w="0" w:type="auto"/>
            <w:vAlign w:val="center"/>
            <w:hideMark/>
          </w:tcPr>
          <w:p w14:paraId="53F0C5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Productos tradicionales indisponibles</w:t>
            </w:r>
          </w:p>
        </w:tc>
        <w:tc>
          <w:tcPr>
            <w:tcW w:w="0" w:type="auto"/>
            <w:vAlign w:val="center"/>
            <w:hideMark/>
          </w:tcPr>
          <w:p w14:paraId="56E306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Contingencia existente del banco; la capa digital opera en modo degradado según 15.3</w:t>
            </w:r>
          </w:p>
        </w:tc>
        <w:tc>
          <w:tcPr>
            <w:tcW w:w="0" w:type="auto"/>
            <w:vAlign w:val="center"/>
            <w:hideMark/>
          </w:tcPr>
          <w:p w14:paraId="5E7B5A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 h (limitado por el core)</w:t>
            </w:r>
          </w:p>
        </w:tc>
      </w:tr>
      <w:tr w:rsidR="000444D1" w:rsidRPr="000444D1" w14:paraId="2103B28F" w14:textId="77777777">
        <w:trPr>
          <w:tblCellSpacing w:w="15" w:type="dxa"/>
        </w:trPr>
        <w:tc>
          <w:tcPr>
            <w:tcW w:w="0" w:type="auto"/>
            <w:vAlign w:val="center"/>
            <w:hideMark/>
          </w:tcPr>
          <w:p w14:paraId="17AE84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Corrupción lógica de la proyección D3</w:t>
            </w:r>
          </w:p>
        </w:tc>
        <w:tc>
          <w:tcPr>
            <w:tcW w:w="0" w:type="auto"/>
            <w:vAlign w:val="center"/>
            <w:hideMark/>
          </w:tcPr>
          <w:p w14:paraId="1D0C1C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Datos de posición erróneos</w:t>
            </w:r>
          </w:p>
        </w:tc>
        <w:tc>
          <w:tcPr>
            <w:tcW w:w="0" w:type="auto"/>
            <w:vAlign w:val="center"/>
            <w:hideMark/>
          </w:tcPr>
          <w:p w14:paraId="74AFE1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Reconstrucción desde el bus y desde instantánea; reconciliación contra ambos cores</w:t>
            </w:r>
          </w:p>
        </w:tc>
        <w:tc>
          <w:tcPr>
            <w:tcW w:w="0" w:type="auto"/>
            <w:vAlign w:val="center"/>
            <w:hideMark/>
          </w:tcPr>
          <w:p w14:paraId="1A5A9B4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1–2 h</w:t>
            </w:r>
          </w:p>
        </w:tc>
      </w:tr>
      <w:tr w:rsidR="000444D1" w:rsidRPr="000444D1" w14:paraId="05406B8B" w14:textId="77777777">
        <w:trPr>
          <w:tblCellSpacing w:w="15" w:type="dxa"/>
        </w:trPr>
        <w:tc>
          <w:tcPr>
            <w:tcW w:w="0" w:type="auto"/>
            <w:vAlign w:val="center"/>
            <w:hideMark/>
          </w:tcPr>
          <w:p w14:paraId="25E5E1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Pérdida de un almacén de dominio</w:t>
            </w:r>
          </w:p>
        </w:tc>
        <w:tc>
          <w:tcPr>
            <w:tcW w:w="0" w:type="auto"/>
            <w:vAlign w:val="center"/>
            <w:hideMark/>
          </w:tcPr>
          <w:p w14:paraId="7F09E0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Servicio afectado indisponible</w:t>
            </w:r>
          </w:p>
        </w:tc>
        <w:tc>
          <w:tcPr>
            <w:tcW w:w="0" w:type="auto"/>
            <w:vAlign w:val="center"/>
            <w:hideMark/>
          </w:tcPr>
          <w:p w14:paraId="38E7C4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Restauración desde réplica y recuperación a un punto en el tiempo</w:t>
            </w:r>
          </w:p>
        </w:tc>
        <w:tc>
          <w:tcPr>
            <w:tcW w:w="0" w:type="auto"/>
            <w:vAlign w:val="center"/>
            <w:hideMark/>
          </w:tcPr>
          <w:p w14:paraId="2E5EC8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30 min</w:t>
            </w:r>
          </w:p>
        </w:tc>
      </w:tr>
      <w:tr w:rsidR="000444D1" w:rsidRPr="000444D1" w14:paraId="06D5E105" w14:textId="77777777">
        <w:trPr>
          <w:tblCellSpacing w:w="15" w:type="dxa"/>
        </w:trPr>
        <w:tc>
          <w:tcPr>
            <w:tcW w:w="0" w:type="auto"/>
            <w:vAlign w:val="center"/>
            <w:hideMark/>
          </w:tcPr>
          <w:p w14:paraId="136A6E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Compromiso de seguridad con cifrado de datos</w:t>
            </w:r>
          </w:p>
        </w:tc>
        <w:tc>
          <w:tcPr>
            <w:tcW w:w="0" w:type="auto"/>
            <w:vAlign w:val="center"/>
            <w:hideMark/>
          </w:tcPr>
          <w:p w14:paraId="7516E3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Alcance variable</w:t>
            </w:r>
          </w:p>
        </w:tc>
        <w:tc>
          <w:tcPr>
            <w:tcW w:w="0" w:type="auto"/>
            <w:vAlign w:val="center"/>
            <w:hideMark/>
          </w:tcPr>
          <w:p w14:paraId="0A20C4A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Restauración desde copias inmutables aisladas; D8 es de escritura única y no alterable</w:t>
            </w:r>
          </w:p>
        </w:tc>
        <w:tc>
          <w:tcPr>
            <w:tcW w:w="0" w:type="auto"/>
            <w:vAlign w:val="center"/>
            <w:hideMark/>
          </w:tcPr>
          <w:p w14:paraId="26257A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Según alcance</w:t>
            </w:r>
          </w:p>
        </w:tc>
      </w:tr>
      <w:tr w:rsidR="000444D1" w:rsidRPr="000444D1" w14:paraId="23E27B01" w14:textId="77777777">
        <w:trPr>
          <w:tblCellSpacing w:w="15" w:type="dxa"/>
        </w:trPr>
        <w:tc>
          <w:tcPr>
            <w:tcW w:w="0" w:type="auto"/>
            <w:vAlign w:val="center"/>
            <w:hideMark/>
          </w:tcPr>
          <w:p w14:paraId="56262C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Despliegue defectuoso</w:t>
            </w:r>
          </w:p>
        </w:tc>
        <w:tc>
          <w:tcPr>
            <w:tcW w:w="0" w:type="auto"/>
            <w:vAlign w:val="center"/>
            <w:hideMark/>
          </w:tcPr>
          <w:p w14:paraId="117C45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Degradación funcional</w:t>
            </w:r>
          </w:p>
        </w:tc>
        <w:tc>
          <w:tcPr>
            <w:tcW w:w="0" w:type="auto"/>
            <w:vAlign w:val="center"/>
            <w:hideMark/>
          </w:tcPr>
          <w:p w14:paraId="679280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Retorno automático por umbral de errores en el despliegue progresivo</w:t>
            </w:r>
          </w:p>
        </w:tc>
        <w:tc>
          <w:tcPr>
            <w:tcW w:w="0" w:type="auto"/>
            <w:vAlign w:val="center"/>
            <w:hideMark/>
          </w:tcPr>
          <w:p w14:paraId="7A5EDA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Menos de 10 min</w:t>
            </w:r>
          </w:p>
        </w:tc>
      </w:tr>
    </w:tbl>
    <w:p w14:paraId="4295A19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La reconstrucción de D3 merece detalle.</w:t>
      </w:r>
      <w:r w:rsidRPr="000444D1">
        <w:rPr>
          <w:rFonts w:ascii="Times New Roman" w:eastAsia="Times New Roman" w:hAnsi="Times New Roman" w:cs="Times New Roman"/>
          <w:kern w:val="0"/>
          <w14:ligatures w14:val="none"/>
        </w:rPr>
        <w:t xml:space="preserve"> Es el único componente cuyo almacén puede regenerarse íntegramente, porque es una proyección y no un system of record. La reconstrucción combina tres fuentes: la instantánea periódica, los eventos retenidos en el bus (7 días) y la reconciliación contra los cores para el periodo anterior a la retención. Esta propiedad es la que permite asignarle un RPO de cero sin replicación síncrona costosa: no hay dato que perder que no pueda derivarse de otro sitio.</w:t>
      </w:r>
    </w:p>
    <w:p w14:paraId="0164071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15.6 La reconciliación como capacidad de recuperación</w:t>
      </w:r>
    </w:p>
    <w:p w14:paraId="7571389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reconciliación no es un proceso contable accesorio: en este diseño es un componente de recuperación de primera línea, y resuelve tres situaciones distintas.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2503"/>
        <w:gridCol w:w="4750"/>
      </w:tblGrid>
      <w:tr w:rsidR="000444D1" w:rsidRPr="000444D1" w14:paraId="166A7B61" w14:textId="77777777">
        <w:trPr>
          <w:tblHeader/>
          <w:tblCellSpacing w:w="15" w:type="dxa"/>
        </w:trPr>
        <w:tc>
          <w:tcPr>
            <w:tcW w:w="0" w:type="auto"/>
            <w:vAlign w:val="center"/>
            <w:hideMark/>
          </w:tcPr>
          <w:p w14:paraId="139542B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Situación</w:t>
            </w:r>
          </w:p>
        </w:tc>
        <w:tc>
          <w:tcPr>
            <w:tcW w:w="0" w:type="auto"/>
            <w:vAlign w:val="center"/>
            <w:hideMark/>
          </w:tcPr>
          <w:p w14:paraId="602D328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Origen</w:t>
            </w:r>
          </w:p>
        </w:tc>
        <w:tc>
          <w:tcPr>
            <w:tcW w:w="0" w:type="auto"/>
            <w:vAlign w:val="center"/>
            <w:hideMark/>
          </w:tcPr>
          <w:p w14:paraId="40F8734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Qué hace la reconciliación</w:t>
            </w:r>
          </w:p>
        </w:tc>
      </w:tr>
      <w:tr w:rsidR="000444D1" w:rsidRPr="000444D1" w14:paraId="2030D3D6" w14:textId="77777777">
        <w:trPr>
          <w:tblCellSpacing w:w="15" w:type="dxa"/>
        </w:trPr>
        <w:tc>
          <w:tcPr>
            <w:tcW w:w="0" w:type="auto"/>
            <w:vAlign w:val="center"/>
            <w:hideMark/>
          </w:tcPr>
          <w:p w14:paraId="0E0BE7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Órdenes en </w:t>
            </w:r>
            <w:r w:rsidRPr="000444D1">
              <w:rPr>
                <w:rFonts w:ascii="Courier New" w:eastAsia="Times New Roman" w:hAnsi="Courier New" w:cs="Courier New"/>
                <w:kern w:val="0"/>
                <w:sz w:val="20"/>
                <w:szCs w:val="20"/>
                <w14:ligatures w14:val="none"/>
              </w:rPr>
              <w:t>en_verificacion</w:t>
            </w:r>
          </w:p>
        </w:tc>
        <w:tc>
          <w:tcPr>
            <w:tcW w:w="0" w:type="auto"/>
            <w:vAlign w:val="center"/>
            <w:hideMark/>
          </w:tcPr>
          <w:p w14:paraId="79CC03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Timeout contra el core (sección 9.1)</w:t>
            </w:r>
          </w:p>
        </w:tc>
        <w:tc>
          <w:tcPr>
            <w:tcW w:w="0" w:type="auto"/>
            <w:vAlign w:val="center"/>
            <w:hideMark/>
          </w:tcPr>
          <w:p w14:paraId="22B8A22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Invoca </w:t>
            </w:r>
            <w:r w:rsidRPr="000444D1">
              <w:rPr>
                <w:rFonts w:ascii="Courier New" w:eastAsia="Times New Roman" w:hAnsi="Courier New" w:cs="Courier New"/>
                <w:kern w:val="0"/>
                <w:sz w:val="20"/>
                <w:szCs w:val="20"/>
                <w14:ligatures w14:val="none"/>
              </w:rPr>
              <w:t>ConsultarEstadoAsync</w:t>
            </w:r>
            <w:r w:rsidRPr="000444D1">
              <w:rPr>
                <w:rFonts w:ascii="Times New Roman" w:eastAsia="Times New Roman" w:hAnsi="Times New Roman" w:cs="Times New Roman"/>
                <w:kern w:val="0"/>
                <w14:ligatures w14:val="none"/>
              </w:rPr>
              <w:t xml:space="preserve"> con el identificador de operación que el adaptador correlacionó, y cierra la orden como ejecutada o rechazada</w:t>
            </w:r>
          </w:p>
        </w:tc>
      </w:tr>
      <w:tr w:rsidR="000444D1" w:rsidRPr="000444D1" w14:paraId="65088956" w14:textId="77777777">
        <w:trPr>
          <w:tblCellSpacing w:w="15" w:type="dxa"/>
        </w:trPr>
        <w:tc>
          <w:tcPr>
            <w:tcW w:w="0" w:type="auto"/>
            <w:vAlign w:val="center"/>
            <w:hideMark/>
          </w:tcPr>
          <w:p w14:paraId="0C3B78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Débitos huérfanos</w:t>
            </w:r>
          </w:p>
        </w:tc>
        <w:tc>
          <w:tcPr>
            <w:tcW w:w="0" w:type="auto"/>
            <w:vAlign w:val="center"/>
            <w:hideMark/>
          </w:tcPr>
          <w:p w14:paraId="60823D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Fallo tras el débito y antes de persistir el estado</w:t>
            </w:r>
          </w:p>
        </w:tc>
        <w:tc>
          <w:tcPr>
            <w:tcW w:w="0" w:type="auto"/>
            <w:vAlign w:val="center"/>
            <w:hideMark/>
          </w:tcPr>
          <w:p w14:paraId="7F7275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Detecta el movimiento en el core sin orden asociada y emite la compensación</w:t>
            </w:r>
          </w:p>
        </w:tc>
      </w:tr>
      <w:tr w:rsidR="000444D1" w:rsidRPr="000444D1" w14:paraId="7D5D66D2" w14:textId="77777777">
        <w:trPr>
          <w:tblCellSpacing w:w="15" w:type="dxa"/>
        </w:trPr>
        <w:tc>
          <w:tcPr>
            <w:tcW w:w="0" w:type="auto"/>
            <w:vAlign w:val="center"/>
            <w:hideMark/>
          </w:tcPr>
          <w:p w14:paraId="1389A2E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Deriva de la proyección</w:t>
            </w:r>
          </w:p>
        </w:tc>
        <w:tc>
          <w:tcPr>
            <w:tcW w:w="0" w:type="auto"/>
            <w:vAlign w:val="center"/>
            <w:hideMark/>
          </w:tcPr>
          <w:p w14:paraId="223B38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Eventos perdidos, reconstrucción parcial, fallo prolongado del CDC</w:t>
            </w:r>
          </w:p>
        </w:tc>
        <w:tc>
          <w:tcPr>
            <w:tcW w:w="0" w:type="auto"/>
            <w:vAlign w:val="center"/>
            <w:hideMark/>
          </w:tcPr>
          <w:p w14:paraId="54F95C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Compara saldos de D3 contra ambos cores y corrige las diferencias</w:t>
            </w:r>
          </w:p>
        </w:tc>
      </w:tr>
    </w:tbl>
    <w:p w14:paraId="033E707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Se ejecuta con dos cadencias: </w:t>
      </w:r>
      <w:r w:rsidRPr="000444D1">
        <w:rPr>
          <w:rFonts w:ascii="Times New Roman" w:eastAsia="Times New Roman" w:hAnsi="Times New Roman" w:cs="Times New Roman"/>
          <w:b/>
          <w:bCs/>
          <w:kern w:val="0"/>
          <w14:ligatures w14:val="none"/>
        </w:rPr>
        <w:t>continua</w:t>
      </w:r>
      <w:r w:rsidRPr="000444D1">
        <w:rPr>
          <w:rFonts w:ascii="Times New Roman" w:eastAsia="Times New Roman" w:hAnsi="Times New Roman" w:cs="Times New Roman"/>
          <w:kern w:val="0"/>
          <w14:ligatures w14:val="none"/>
        </w:rPr>
        <w:t xml:space="preserve"> para las órdenes en verificación, con un objetivo de resolución en minutos, y </w:t>
      </w:r>
      <w:r w:rsidRPr="000444D1">
        <w:rPr>
          <w:rFonts w:ascii="Times New Roman" w:eastAsia="Times New Roman" w:hAnsi="Times New Roman" w:cs="Times New Roman"/>
          <w:b/>
          <w:bCs/>
          <w:kern w:val="0"/>
          <w14:ligatures w14:val="none"/>
        </w:rPr>
        <w:t>diaria</w:t>
      </w:r>
      <w:r w:rsidRPr="000444D1">
        <w:rPr>
          <w:rFonts w:ascii="Times New Roman" w:eastAsia="Times New Roman" w:hAnsi="Times New Roman" w:cs="Times New Roman"/>
          <w:kern w:val="0"/>
          <w14:ligatures w14:val="none"/>
        </w:rPr>
        <w:t xml:space="preserve"> para la deriva de saldos, aprovechando la ventana posterior al cierre del core. Las diferencias que no se resuelven automáticamente generan un caso operativo con responsable asignado.</w:t>
      </w:r>
    </w:p>
    <w:p w14:paraId="0D6D478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15.7 Dependencias críticas reconocidas</w:t>
      </w:r>
    </w:p>
    <w:p w14:paraId="345E6FD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Declarar honestamente qué componentes no admiten degradación es preferible a presentar una arquitectura sin puntos débiles, que no existe.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3455"/>
        <w:gridCol w:w="4084"/>
      </w:tblGrid>
      <w:tr w:rsidR="000444D1" w:rsidRPr="000444D1" w14:paraId="74C04E4B" w14:textId="77777777">
        <w:trPr>
          <w:tblHeader/>
          <w:tblCellSpacing w:w="15" w:type="dxa"/>
        </w:trPr>
        <w:tc>
          <w:tcPr>
            <w:tcW w:w="0" w:type="auto"/>
            <w:vAlign w:val="center"/>
            <w:hideMark/>
          </w:tcPr>
          <w:p w14:paraId="25F4B15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c>
          <w:tcPr>
            <w:tcW w:w="0" w:type="auto"/>
            <w:vAlign w:val="center"/>
            <w:hideMark/>
          </w:tcPr>
          <w:p w14:paraId="37443F9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Por qué es crítico</w:t>
            </w:r>
          </w:p>
        </w:tc>
        <w:tc>
          <w:tcPr>
            <w:tcW w:w="0" w:type="auto"/>
            <w:vAlign w:val="center"/>
            <w:hideMark/>
          </w:tcPr>
          <w:p w14:paraId="5047FCF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Mitigación</w:t>
            </w:r>
          </w:p>
        </w:tc>
      </w:tr>
      <w:tr w:rsidR="000444D1" w:rsidRPr="000444D1" w14:paraId="1A720295" w14:textId="77777777">
        <w:trPr>
          <w:tblCellSpacing w:w="15" w:type="dxa"/>
        </w:trPr>
        <w:tc>
          <w:tcPr>
            <w:tcW w:w="0" w:type="auto"/>
            <w:vAlign w:val="center"/>
            <w:hideMark/>
          </w:tcPr>
          <w:p w14:paraId="108886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D9 Entitlements</w:t>
            </w:r>
          </w:p>
        </w:tc>
        <w:tc>
          <w:tcPr>
            <w:tcW w:w="0" w:type="auto"/>
            <w:vAlign w:val="center"/>
            <w:hideMark/>
          </w:tcPr>
          <w:p w14:paraId="60A7AA4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decisión de entitlement no puede autorizarse ninguna operación sobre cuentas, y la denegación por omisión implica bloqueo total</w:t>
            </w:r>
          </w:p>
        </w:tc>
        <w:tc>
          <w:tcPr>
            <w:tcW w:w="0" w:type="auto"/>
            <w:vAlign w:val="center"/>
            <w:hideMark/>
          </w:tcPr>
          <w:p w14:paraId="1B3D51A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Réplicas multizona, almacén replicado, caché de decisiones con vigencia corta en los gateways, y datos de cambio poco frecuente que hacen viable una caché de emergencia</w:t>
            </w:r>
          </w:p>
        </w:tc>
      </w:tr>
      <w:tr w:rsidR="000444D1" w:rsidRPr="000444D1" w14:paraId="71CB9AD5" w14:textId="77777777">
        <w:trPr>
          <w:tblCellSpacing w:w="15" w:type="dxa"/>
        </w:trPr>
        <w:tc>
          <w:tcPr>
            <w:tcW w:w="0" w:type="auto"/>
            <w:vAlign w:val="center"/>
            <w:hideMark/>
          </w:tcPr>
          <w:p w14:paraId="22D9C7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IdP</w:t>
            </w:r>
          </w:p>
        </w:tc>
        <w:tc>
          <w:tcPr>
            <w:tcW w:w="0" w:type="auto"/>
            <w:vAlign w:val="center"/>
            <w:hideMark/>
          </w:tcPr>
          <w:p w14:paraId="17BCBF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él no hay nuevas autenticaciones</w:t>
            </w:r>
          </w:p>
        </w:tc>
        <w:tc>
          <w:tcPr>
            <w:tcW w:w="0" w:type="auto"/>
            <w:vAlign w:val="center"/>
            <w:hideMark/>
          </w:tcPr>
          <w:p w14:paraId="3F03046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tokens vigentes se verifican por firma sin consultarlo, de modo que su caída afecta al ingreso pero no a las sesiones en curso</w:t>
            </w:r>
          </w:p>
        </w:tc>
      </w:tr>
      <w:tr w:rsidR="000444D1" w:rsidRPr="000444D1" w14:paraId="06A38D5B" w14:textId="77777777">
        <w:trPr>
          <w:tblCellSpacing w:w="15" w:type="dxa"/>
        </w:trPr>
        <w:tc>
          <w:tcPr>
            <w:tcW w:w="0" w:type="auto"/>
            <w:vAlign w:val="center"/>
            <w:hideMark/>
          </w:tcPr>
          <w:p w14:paraId="2AFFD3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Gateways</w:t>
            </w:r>
          </w:p>
        </w:tc>
        <w:tc>
          <w:tcPr>
            <w:tcW w:w="0" w:type="auto"/>
            <w:vAlign w:val="center"/>
            <w:hideMark/>
          </w:tcPr>
          <w:p w14:paraId="33719F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Único punto de entrada</w:t>
            </w:r>
          </w:p>
        </w:tc>
        <w:tc>
          <w:tcPr>
            <w:tcW w:w="0" w:type="auto"/>
            <w:vAlign w:val="center"/>
            <w:hideMark/>
          </w:tcPr>
          <w:p w14:paraId="29002BF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estado y replicados; el riesgo real es de configuración, mitigado con despliegue progresivo</w:t>
            </w:r>
          </w:p>
        </w:tc>
      </w:tr>
      <w:tr w:rsidR="000444D1" w:rsidRPr="000444D1" w14:paraId="2AE8328D" w14:textId="77777777">
        <w:trPr>
          <w:tblCellSpacing w:w="15" w:type="dxa"/>
        </w:trPr>
        <w:tc>
          <w:tcPr>
            <w:tcW w:w="0" w:type="auto"/>
            <w:vAlign w:val="center"/>
            <w:hideMark/>
          </w:tcPr>
          <w:p w14:paraId="4B72A1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Conectividad con el centro de datos</w:t>
            </w:r>
          </w:p>
        </w:tc>
        <w:tc>
          <w:tcPr>
            <w:tcW w:w="0" w:type="auto"/>
            <w:vAlign w:val="center"/>
            <w:hideMark/>
          </w:tcPr>
          <w:p w14:paraId="07B3CD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ACL y el CDC dependen de ella</w:t>
            </w:r>
          </w:p>
        </w:tc>
        <w:tc>
          <w:tcPr>
            <w:tcW w:w="0" w:type="auto"/>
            <w:vAlign w:val="center"/>
            <w:hideMark/>
          </w:tcPr>
          <w:p w14:paraId="17CCE7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Doble enlace por rutas físicas independientes</w:t>
            </w:r>
          </w:p>
        </w:tc>
      </w:tr>
    </w:tbl>
    <w:p w14:paraId="28E80B3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caché de decisiones de entitlement es una concesión explícita: introduce una ventana en la que una revocación de poder no surte efecto inmediato. Se acota a minutos y se invalida por evento. Es un intercambio consciente entre disponibilidad y exactitud del control de acceso, no una omisión.</w:t>
      </w:r>
    </w:p>
    <w:p w14:paraId="6902F519"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lastRenderedPageBreak/>
        <w:t>15.8 Verificación de la estrategia</w:t>
      </w:r>
    </w:p>
    <w:p w14:paraId="3181C22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estrategia de continuidad no verificada es una declaración de intenciones. El programa contempla: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4"/>
        <w:gridCol w:w="2117"/>
        <w:gridCol w:w="3829"/>
      </w:tblGrid>
      <w:tr w:rsidR="000444D1" w:rsidRPr="000444D1" w14:paraId="6AF4B185" w14:textId="77777777">
        <w:trPr>
          <w:tblHeader/>
          <w:tblCellSpacing w:w="15" w:type="dxa"/>
        </w:trPr>
        <w:tc>
          <w:tcPr>
            <w:tcW w:w="0" w:type="auto"/>
            <w:vAlign w:val="center"/>
            <w:hideMark/>
          </w:tcPr>
          <w:p w14:paraId="5A025EF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Práctica</w:t>
            </w:r>
          </w:p>
        </w:tc>
        <w:tc>
          <w:tcPr>
            <w:tcW w:w="0" w:type="auto"/>
            <w:vAlign w:val="center"/>
            <w:hideMark/>
          </w:tcPr>
          <w:p w14:paraId="2801C27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Cadencia</w:t>
            </w:r>
          </w:p>
        </w:tc>
        <w:tc>
          <w:tcPr>
            <w:tcW w:w="0" w:type="auto"/>
            <w:vAlign w:val="center"/>
            <w:hideMark/>
          </w:tcPr>
          <w:p w14:paraId="668DDA1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Alcance</w:t>
            </w:r>
          </w:p>
        </w:tc>
      </w:tr>
      <w:tr w:rsidR="000444D1" w:rsidRPr="000444D1" w14:paraId="0A9C252D" w14:textId="77777777">
        <w:trPr>
          <w:tblCellSpacing w:w="15" w:type="dxa"/>
        </w:trPr>
        <w:tc>
          <w:tcPr>
            <w:tcW w:w="0" w:type="auto"/>
            <w:vAlign w:val="center"/>
            <w:hideMark/>
          </w:tcPr>
          <w:p w14:paraId="484B1D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Prueba de conmutación a región secundaria</w:t>
            </w:r>
          </w:p>
        </w:tc>
        <w:tc>
          <w:tcPr>
            <w:tcW w:w="0" w:type="auto"/>
            <w:vAlign w:val="center"/>
            <w:hideMark/>
          </w:tcPr>
          <w:p w14:paraId="04ADE3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Semestral</w:t>
            </w:r>
          </w:p>
        </w:tc>
        <w:tc>
          <w:tcPr>
            <w:tcW w:w="0" w:type="auto"/>
            <w:vAlign w:val="center"/>
            <w:hideMark/>
          </w:tcPr>
          <w:p w14:paraId="1DF63D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Ejecutada, no simulada, con medición del RTO real</w:t>
            </w:r>
          </w:p>
        </w:tc>
      </w:tr>
      <w:tr w:rsidR="000444D1" w:rsidRPr="000444D1" w14:paraId="1551F58A" w14:textId="77777777">
        <w:trPr>
          <w:tblCellSpacing w:w="15" w:type="dxa"/>
        </w:trPr>
        <w:tc>
          <w:tcPr>
            <w:tcW w:w="0" w:type="auto"/>
            <w:vAlign w:val="center"/>
            <w:hideMark/>
          </w:tcPr>
          <w:p w14:paraId="234AD8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Simulacro de ventana de cierre prolongada del core</w:t>
            </w:r>
          </w:p>
        </w:tc>
        <w:tc>
          <w:tcPr>
            <w:tcW w:w="0" w:type="auto"/>
            <w:vAlign w:val="center"/>
            <w:hideMark/>
          </w:tcPr>
          <w:p w14:paraId="095CFC4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Trimestral</w:t>
            </w:r>
          </w:p>
        </w:tc>
        <w:tc>
          <w:tcPr>
            <w:tcW w:w="0" w:type="auto"/>
            <w:vAlign w:val="center"/>
            <w:hideMark/>
          </w:tcPr>
          <w:p w14:paraId="4F47EC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Verifica la matriz 15.3 en condiciones reales</w:t>
            </w:r>
          </w:p>
        </w:tc>
      </w:tr>
      <w:tr w:rsidR="000444D1" w:rsidRPr="000444D1" w14:paraId="4E110167" w14:textId="77777777">
        <w:trPr>
          <w:tblCellSpacing w:w="15" w:type="dxa"/>
        </w:trPr>
        <w:tc>
          <w:tcPr>
            <w:tcW w:w="0" w:type="auto"/>
            <w:vAlign w:val="center"/>
            <w:hideMark/>
          </w:tcPr>
          <w:p w14:paraId="044571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Inyección controlada de fallos</w:t>
            </w:r>
          </w:p>
        </w:tc>
        <w:tc>
          <w:tcPr>
            <w:tcW w:w="0" w:type="auto"/>
            <w:vAlign w:val="center"/>
            <w:hideMark/>
          </w:tcPr>
          <w:p w14:paraId="772692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Continua en preproducción</w:t>
            </w:r>
          </w:p>
        </w:tc>
        <w:tc>
          <w:tcPr>
            <w:tcW w:w="0" w:type="auto"/>
            <w:vAlign w:val="center"/>
            <w:hideMark/>
          </w:tcPr>
          <w:p w14:paraId="1DC949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Cortocircuitos, latencia inducida, caída de consumidores</w:t>
            </w:r>
          </w:p>
        </w:tc>
      </w:tr>
      <w:tr w:rsidR="000444D1" w:rsidRPr="000444D1" w14:paraId="56610D9E" w14:textId="77777777">
        <w:trPr>
          <w:tblCellSpacing w:w="15" w:type="dxa"/>
        </w:trPr>
        <w:tc>
          <w:tcPr>
            <w:tcW w:w="0" w:type="auto"/>
            <w:vAlign w:val="center"/>
            <w:hideMark/>
          </w:tcPr>
          <w:p w14:paraId="7D6FAD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Prueba de reconstrucción de D3</w:t>
            </w:r>
          </w:p>
        </w:tc>
        <w:tc>
          <w:tcPr>
            <w:tcW w:w="0" w:type="auto"/>
            <w:vAlign w:val="center"/>
            <w:hideMark/>
          </w:tcPr>
          <w:p w14:paraId="405557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Trimestral</w:t>
            </w:r>
          </w:p>
        </w:tc>
        <w:tc>
          <w:tcPr>
            <w:tcW w:w="0" w:type="auto"/>
            <w:vAlign w:val="center"/>
            <w:hideMark/>
          </w:tcPr>
          <w:p w14:paraId="250F48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Mide el tiempo real de regeneración completa</w:t>
            </w:r>
          </w:p>
        </w:tc>
      </w:tr>
      <w:tr w:rsidR="000444D1" w:rsidRPr="000444D1" w14:paraId="587F4393" w14:textId="77777777">
        <w:trPr>
          <w:tblCellSpacing w:w="15" w:type="dxa"/>
        </w:trPr>
        <w:tc>
          <w:tcPr>
            <w:tcW w:w="0" w:type="auto"/>
            <w:vAlign w:val="center"/>
            <w:hideMark/>
          </w:tcPr>
          <w:p w14:paraId="64543F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Revisión de la matriz de degradación</w:t>
            </w:r>
          </w:p>
        </w:tc>
        <w:tc>
          <w:tcPr>
            <w:tcW w:w="0" w:type="auto"/>
            <w:vAlign w:val="center"/>
            <w:hideMark/>
          </w:tcPr>
          <w:p w14:paraId="0F1FF69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Ante cada nuevo servicio</w:t>
            </w:r>
          </w:p>
        </w:tc>
        <w:tc>
          <w:tcPr>
            <w:tcW w:w="0" w:type="auto"/>
            <w:vAlign w:val="center"/>
            <w:hideMark/>
          </w:tcPr>
          <w:p w14:paraId="58448A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servicio nuevo sin fila en la matriz 15.3 no se despliega</w:t>
            </w:r>
          </w:p>
        </w:tc>
      </w:tr>
    </w:tbl>
    <w:p w14:paraId="25503F4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última fila es la que sostiene el resto: sin ella, la matriz de degradación envejece y deja de describir el sistema real.</w:t>
      </w:r>
    </w:p>
    <w:p w14:paraId="1298A80B"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36B016AD">
          <v:rect id="Horizontal Line 564"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5735D48"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16. Gobierno de APIs y microservicios</w:t>
      </w:r>
    </w:p>
    <w:p w14:paraId="35CE37DF"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16.1 Enfoque</w:t>
      </w:r>
    </w:p>
    <w:p w14:paraId="4342400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gobierno de una arquitectura distribuida falla de dos maneras opuestas. Si es débil, aparecen servicios sin dueño, contratos que rompen a sus consumidores y una proliferación que nadie puede explicar. Si es excesivamente centralizado, se convierte en un cuello de botella: un comité que aprueba cada cambio anula la razón misma de haber separado los servicios.</w:t>
      </w:r>
    </w:p>
    <w:p w14:paraId="5F9E1F9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modelo adoptado es </w:t>
      </w:r>
      <w:r w:rsidRPr="000444D1">
        <w:rPr>
          <w:rFonts w:ascii="Times New Roman" w:eastAsia="Times New Roman" w:hAnsi="Times New Roman" w:cs="Times New Roman"/>
          <w:b/>
          <w:bCs/>
          <w:kern w:val="0"/>
          <w14:ligatures w14:val="none"/>
        </w:rPr>
        <w:t>federado</w:t>
      </w:r>
      <w:r w:rsidRPr="000444D1">
        <w:rPr>
          <w:rFonts w:ascii="Times New Roman" w:eastAsia="Times New Roman" w:hAnsi="Times New Roman" w:cs="Times New Roman"/>
          <w:kern w:val="0"/>
          <w14:ligatures w14:val="none"/>
        </w:rPr>
        <w:t xml:space="preserve">: los estándares se definen de forma central; las decisiones dentro de cada dominio son locales. Y se apoya en un principio operativo: </w:t>
      </w:r>
      <w:r w:rsidRPr="000444D1">
        <w:rPr>
          <w:rFonts w:ascii="Times New Roman" w:eastAsia="Times New Roman" w:hAnsi="Times New Roman" w:cs="Times New Roman"/>
          <w:b/>
          <w:bCs/>
          <w:kern w:val="0"/>
          <w14:ligatures w14:val="none"/>
        </w:rPr>
        <w:t>el camino correcto debe ser el camino fácil</w:t>
      </w:r>
      <w:r w:rsidRPr="000444D1">
        <w:rPr>
          <w:rFonts w:ascii="Times New Roman" w:eastAsia="Times New Roman" w:hAnsi="Times New Roman" w:cs="Times New Roman"/>
          <w:kern w:val="0"/>
          <w14:ligatures w14:val="none"/>
        </w:rPr>
        <w:t>. Un gobierno que depende de la vigilancia se incumple; uno que llega incorporado en la plantilla de servicio se cumple por omisión.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2"/>
        <w:gridCol w:w="4488"/>
      </w:tblGrid>
      <w:tr w:rsidR="000444D1" w:rsidRPr="000444D1" w14:paraId="169CD46A" w14:textId="77777777">
        <w:trPr>
          <w:tblHeader/>
          <w:tblCellSpacing w:w="15" w:type="dxa"/>
        </w:trPr>
        <w:tc>
          <w:tcPr>
            <w:tcW w:w="0" w:type="auto"/>
            <w:vAlign w:val="center"/>
            <w:hideMark/>
          </w:tcPr>
          <w:p w14:paraId="502F74D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 define centralmente</w:t>
            </w:r>
          </w:p>
        </w:tc>
        <w:tc>
          <w:tcPr>
            <w:tcW w:w="0" w:type="auto"/>
            <w:vAlign w:val="center"/>
            <w:hideMark/>
          </w:tcPr>
          <w:p w14:paraId="47A16B4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 decide en el equipo de dominio</w:t>
            </w:r>
          </w:p>
        </w:tc>
      </w:tr>
      <w:tr w:rsidR="000444D1" w:rsidRPr="000444D1" w14:paraId="3D330A23" w14:textId="77777777">
        <w:trPr>
          <w:tblCellSpacing w:w="15" w:type="dxa"/>
        </w:trPr>
        <w:tc>
          <w:tcPr>
            <w:tcW w:w="0" w:type="auto"/>
            <w:vAlign w:val="center"/>
            <w:hideMark/>
          </w:tcPr>
          <w:p w14:paraId="198DAF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Estándares de contrato: OpenAPI, AsyncAPI, RFC 9457</w:t>
            </w:r>
          </w:p>
        </w:tc>
        <w:tc>
          <w:tcPr>
            <w:tcW w:w="0" w:type="auto"/>
            <w:vAlign w:val="center"/>
            <w:hideMark/>
          </w:tcPr>
          <w:p w14:paraId="6B97E4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Diseño interno del servicio</w:t>
            </w:r>
          </w:p>
        </w:tc>
      </w:tr>
      <w:tr w:rsidR="000444D1" w:rsidRPr="000444D1" w14:paraId="63421B43" w14:textId="77777777">
        <w:trPr>
          <w:tblCellSpacing w:w="15" w:type="dxa"/>
        </w:trPr>
        <w:tc>
          <w:tcPr>
            <w:tcW w:w="0" w:type="auto"/>
            <w:vAlign w:val="center"/>
            <w:hideMark/>
          </w:tcPr>
          <w:p w14:paraId="6A18A8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Convenciones de nomenclatura y versionado</w:t>
            </w:r>
          </w:p>
        </w:tc>
        <w:tc>
          <w:tcPr>
            <w:tcW w:w="0" w:type="auto"/>
            <w:vAlign w:val="center"/>
            <w:hideMark/>
          </w:tcPr>
          <w:p w14:paraId="4EF68B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Modelo de datos propio</w:t>
            </w:r>
          </w:p>
        </w:tc>
      </w:tr>
      <w:tr w:rsidR="000444D1" w:rsidRPr="000444D1" w14:paraId="0780A78F" w14:textId="77777777">
        <w:trPr>
          <w:tblCellSpacing w:w="15" w:type="dxa"/>
        </w:trPr>
        <w:tc>
          <w:tcPr>
            <w:tcW w:w="0" w:type="auto"/>
            <w:vAlign w:val="center"/>
            <w:hideMark/>
          </w:tcPr>
          <w:p w14:paraId="7A1CBE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Sobre común de eventos y política de DLQ</w:t>
            </w:r>
          </w:p>
        </w:tc>
        <w:tc>
          <w:tcPr>
            <w:tcW w:w="0" w:type="auto"/>
            <w:vAlign w:val="center"/>
            <w:hideMark/>
          </w:tcPr>
          <w:p w14:paraId="3BC4C9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Qué eventos publica y con qué payload</w:t>
            </w:r>
          </w:p>
        </w:tc>
      </w:tr>
      <w:tr w:rsidR="000444D1" w:rsidRPr="000444D1" w14:paraId="2C6565BE" w14:textId="77777777">
        <w:trPr>
          <w:tblCellSpacing w:w="15" w:type="dxa"/>
        </w:trPr>
        <w:tc>
          <w:tcPr>
            <w:tcW w:w="0" w:type="auto"/>
            <w:vAlign w:val="center"/>
            <w:hideMark/>
          </w:tcPr>
          <w:p w14:paraId="6DA8D9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Requisitos de observabilidad, seguridad y enmascaramiento</w:t>
            </w:r>
          </w:p>
        </w:tc>
        <w:tc>
          <w:tcPr>
            <w:tcW w:w="0" w:type="auto"/>
            <w:vAlign w:val="center"/>
            <w:hideMark/>
          </w:tcPr>
          <w:p w14:paraId="01BF8B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Tecnología de persistencia dentro del catálogo aprobado</w:t>
            </w:r>
          </w:p>
        </w:tc>
      </w:tr>
      <w:tr w:rsidR="000444D1" w:rsidRPr="000444D1" w14:paraId="2EE3587B" w14:textId="77777777">
        <w:trPr>
          <w:tblCellSpacing w:w="15" w:type="dxa"/>
        </w:trPr>
        <w:tc>
          <w:tcPr>
            <w:tcW w:w="0" w:type="auto"/>
            <w:vAlign w:val="center"/>
            <w:hideMark/>
          </w:tcPr>
          <w:p w14:paraId="48FCF6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Política de deprecación</w:t>
            </w:r>
          </w:p>
        </w:tc>
        <w:tc>
          <w:tcPr>
            <w:tcW w:w="0" w:type="auto"/>
            <w:vAlign w:val="center"/>
            <w:hideMark/>
          </w:tcPr>
          <w:p w14:paraId="2B81D5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Cadencia de despliegue</w:t>
            </w:r>
          </w:p>
        </w:tc>
      </w:tr>
      <w:tr w:rsidR="000444D1" w:rsidRPr="000444D1" w14:paraId="3E39CCD2" w14:textId="77777777">
        <w:trPr>
          <w:tblCellSpacing w:w="15" w:type="dxa"/>
        </w:trPr>
        <w:tc>
          <w:tcPr>
            <w:tcW w:w="0" w:type="auto"/>
            <w:vAlign w:val="center"/>
            <w:hideMark/>
          </w:tcPr>
          <w:p w14:paraId="62C63EA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Criterios de creación de un nuevo servicio</w:t>
            </w:r>
          </w:p>
        </w:tc>
        <w:tc>
          <w:tcPr>
            <w:tcW w:w="0" w:type="auto"/>
            <w:vAlign w:val="center"/>
            <w:hideMark/>
          </w:tcPr>
          <w:p w14:paraId="6A5E49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Evolución compatible de sus contratos</w:t>
            </w:r>
          </w:p>
        </w:tc>
      </w:tr>
    </w:tbl>
    <w:p w14:paraId="4A73592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16.2 Propiedad y responsabilidad</w:t>
      </w:r>
    </w:p>
    <w:p w14:paraId="462FDDD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Cada uno de los nueve dominios de la sección 5.2 tiene un equipo propietario. La propiedad no es nominal: comporta obligaciones concretas y verificables.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3"/>
        <w:gridCol w:w="3327"/>
      </w:tblGrid>
      <w:tr w:rsidR="000444D1" w:rsidRPr="000444D1" w14:paraId="0694EF53" w14:textId="77777777">
        <w:trPr>
          <w:tblHeader/>
          <w:tblCellSpacing w:w="15" w:type="dxa"/>
        </w:trPr>
        <w:tc>
          <w:tcPr>
            <w:tcW w:w="0" w:type="auto"/>
            <w:vAlign w:val="center"/>
            <w:hideMark/>
          </w:tcPr>
          <w:p w14:paraId="355F906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Obligación del equipo propietario</w:t>
            </w:r>
          </w:p>
        </w:tc>
        <w:tc>
          <w:tcPr>
            <w:tcW w:w="0" w:type="auto"/>
            <w:vAlign w:val="center"/>
            <w:hideMark/>
          </w:tcPr>
          <w:p w14:paraId="2E33717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Verificación</w:t>
            </w:r>
          </w:p>
        </w:tc>
      </w:tr>
      <w:tr w:rsidR="000444D1" w:rsidRPr="000444D1" w14:paraId="54BF42A5" w14:textId="77777777">
        <w:trPr>
          <w:tblCellSpacing w:w="15" w:type="dxa"/>
        </w:trPr>
        <w:tc>
          <w:tcPr>
            <w:tcW w:w="0" w:type="auto"/>
            <w:vAlign w:val="center"/>
            <w:hideMark/>
          </w:tcPr>
          <w:p w14:paraId="1AADF7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Mantener el contrato publicado y actualizado en el catálogo</w:t>
            </w:r>
          </w:p>
        </w:tc>
        <w:tc>
          <w:tcPr>
            <w:tcW w:w="0" w:type="auto"/>
            <w:vAlign w:val="center"/>
            <w:hideMark/>
          </w:tcPr>
          <w:p w14:paraId="1F066E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Automática en el despliegue</w:t>
            </w:r>
          </w:p>
        </w:tc>
      </w:tr>
      <w:tr w:rsidR="000444D1" w:rsidRPr="000444D1" w14:paraId="11F36FA8" w14:textId="77777777">
        <w:trPr>
          <w:tblCellSpacing w:w="15" w:type="dxa"/>
        </w:trPr>
        <w:tc>
          <w:tcPr>
            <w:tcW w:w="0" w:type="auto"/>
            <w:vAlign w:val="center"/>
            <w:hideMark/>
          </w:tcPr>
          <w:p w14:paraId="486C87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Atender la DLQ de sus consumidores dentro del día hábil siguiente (12.8)</w:t>
            </w:r>
          </w:p>
        </w:tc>
        <w:tc>
          <w:tcPr>
            <w:tcW w:w="0" w:type="auto"/>
            <w:vAlign w:val="center"/>
            <w:hideMark/>
          </w:tcPr>
          <w:p w14:paraId="06A20D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Alerta con responsable asignado (18.8)</w:t>
            </w:r>
          </w:p>
        </w:tc>
      </w:tr>
      <w:tr w:rsidR="000444D1" w:rsidRPr="000444D1" w14:paraId="27F52EA6" w14:textId="77777777">
        <w:trPr>
          <w:tblCellSpacing w:w="15" w:type="dxa"/>
        </w:trPr>
        <w:tc>
          <w:tcPr>
            <w:tcW w:w="0" w:type="auto"/>
            <w:vAlign w:val="center"/>
            <w:hideMark/>
          </w:tcPr>
          <w:p w14:paraId="430F30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Mantener una fila vigente en la matriz de degradación (15.3)</w:t>
            </w:r>
          </w:p>
        </w:tc>
        <w:tc>
          <w:tcPr>
            <w:tcW w:w="0" w:type="auto"/>
            <w:vAlign w:val="center"/>
            <w:hideMark/>
          </w:tcPr>
          <w:p w14:paraId="38BC39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Control de despliegue</w:t>
            </w:r>
          </w:p>
        </w:tc>
      </w:tr>
      <w:tr w:rsidR="000444D1" w:rsidRPr="000444D1" w14:paraId="7770DF60" w14:textId="77777777">
        <w:trPr>
          <w:tblCellSpacing w:w="15" w:type="dxa"/>
        </w:trPr>
        <w:tc>
          <w:tcPr>
            <w:tcW w:w="0" w:type="auto"/>
            <w:vAlign w:val="center"/>
            <w:hideMark/>
          </w:tcPr>
          <w:p w14:paraId="040B54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Responder por los objetivos de nivel de servicio de su dominio (15.1)</w:t>
            </w:r>
          </w:p>
        </w:tc>
        <w:tc>
          <w:tcPr>
            <w:tcW w:w="0" w:type="auto"/>
            <w:vAlign w:val="center"/>
            <w:hideMark/>
          </w:tcPr>
          <w:p w14:paraId="41B27CF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Tablero de operación</w:t>
            </w:r>
          </w:p>
        </w:tc>
      </w:tr>
      <w:tr w:rsidR="000444D1" w:rsidRPr="000444D1" w14:paraId="7CA73FDF" w14:textId="77777777">
        <w:trPr>
          <w:tblCellSpacing w:w="15" w:type="dxa"/>
        </w:trPr>
        <w:tc>
          <w:tcPr>
            <w:tcW w:w="0" w:type="auto"/>
            <w:vAlign w:val="center"/>
            <w:hideMark/>
          </w:tcPr>
          <w:p w14:paraId="403669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Declarar y sostener la compatibilidad de sus contratos</w:t>
            </w:r>
          </w:p>
        </w:tc>
        <w:tc>
          <w:tcPr>
            <w:tcW w:w="0" w:type="auto"/>
            <w:vAlign w:val="center"/>
            <w:hideMark/>
          </w:tcPr>
          <w:p w14:paraId="027279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Pruebas de contrato en la canalización</w:t>
            </w:r>
          </w:p>
        </w:tc>
      </w:tr>
    </w:tbl>
    <w:p w14:paraId="374A52B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dominio sin equipo propietario asignado no se despliega. Es la regla que impide la aparición de servicios huérfanos, que en una arquitectura distribuida terminan siendo mantenidos por nadie y temidos por todos.</w:t>
      </w:r>
    </w:p>
    <w:p w14:paraId="3953F4E5"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16.3 Ciclo de vida de una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4891"/>
        <w:gridCol w:w="3114"/>
      </w:tblGrid>
      <w:tr w:rsidR="000444D1" w:rsidRPr="000444D1" w14:paraId="29D2B698" w14:textId="77777777">
        <w:trPr>
          <w:tblHeader/>
          <w:tblCellSpacing w:w="15" w:type="dxa"/>
        </w:trPr>
        <w:tc>
          <w:tcPr>
            <w:tcW w:w="0" w:type="auto"/>
            <w:vAlign w:val="center"/>
            <w:hideMark/>
          </w:tcPr>
          <w:p w14:paraId="64E6DAC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Etapa</w:t>
            </w:r>
          </w:p>
        </w:tc>
        <w:tc>
          <w:tcPr>
            <w:tcW w:w="0" w:type="auto"/>
            <w:vAlign w:val="center"/>
            <w:hideMark/>
          </w:tcPr>
          <w:p w14:paraId="0764834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Qué ocurre</w:t>
            </w:r>
          </w:p>
        </w:tc>
        <w:tc>
          <w:tcPr>
            <w:tcW w:w="0" w:type="auto"/>
            <w:vAlign w:val="center"/>
            <w:hideMark/>
          </w:tcPr>
          <w:p w14:paraId="360CF2F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Quién decide</w:t>
            </w:r>
          </w:p>
        </w:tc>
      </w:tr>
      <w:tr w:rsidR="000444D1" w:rsidRPr="000444D1" w14:paraId="2F5FADFE" w14:textId="77777777">
        <w:trPr>
          <w:tblCellSpacing w:w="15" w:type="dxa"/>
        </w:trPr>
        <w:tc>
          <w:tcPr>
            <w:tcW w:w="0" w:type="auto"/>
            <w:vAlign w:val="center"/>
            <w:hideMark/>
          </w:tcPr>
          <w:p w14:paraId="13B3A1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Propuesta</w:t>
            </w:r>
          </w:p>
        </w:tc>
        <w:tc>
          <w:tcPr>
            <w:tcW w:w="0" w:type="auto"/>
            <w:vAlign w:val="center"/>
            <w:hideMark/>
          </w:tcPr>
          <w:p w14:paraId="6D3A87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declara la necesidad, el consumidor previsto y por qué no basta con un contrato existente</w:t>
            </w:r>
          </w:p>
        </w:tc>
        <w:tc>
          <w:tcPr>
            <w:tcW w:w="0" w:type="auto"/>
            <w:vAlign w:val="center"/>
            <w:hideMark/>
          </w:tcPr>
          <w:p w14:paraId="797598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 de dominio</w:t>
            </w:r>
          </w:p>
        </w:tc>
      </w:tr>
      <w:tr w:rsidR="000444D1" w:rsidRPr="000444D1" w14:paraId="64024698" w14:textId="77777777">
        <w:trPr>
          <w:tblCellSpacing w:w="15" w:type="dxa"/>
        </w:trPr>
        <w:tc>
          <w:tcPr>
            <w:tcW w:w="0" w:type="auto"/>
            <w:vAlign w:val="center"/>
            <w:hideMark/>
          </w:tcPr>
          <w:p w14:paraId="04A2A6C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Diseño</w:t>
            </w:r>
          </w:p>
        </w:tc>
        <w:tc>
          <w:tcPr>
            <w:tcW w:w="0" w:type="auto"/>
            <w:vAlign w:val="center"/>
            <w:hideMark/>
          </w:tcPr>
          <w:p w14:paraId="6EE572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Especificación primero: el contrato se escribe y se revisa antes de implementarlo</w:t>
            </w:r>
          </w:p>
        </w:tc>
        <w:tc>
          <w:tcPr>
            <w:tcW w:w="0" w:type="auto"/>
            <w:vAlign w:val="center"/>
            <w:hideMark/>
          </w:tcPr>
          <w:p w14:paraId="7356CCF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 con revisión de pares de otro dominio</w:t>
            </w:r>
          </w:p>
        </w:tc>
      </w:tr>
      <w:tr w:rsidR="000444D1" w:rsidRPr="000444D1" w14:paraId="5DC7F46C" w14:textId="77777777">
        <w:trPr>
          <w:tblCellSpacing w:w="15" w:type="dxa"/>
        </w:trPr>
        <w:tc>
          <w:tcPr>
            <w:tcW w:w="0" w:type="auto"/>
            <w:vAlign w:val="center"/>
            <w:hideMark/>
          </w:tcPr>
          <w:p w14:paraId="465B22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Publicación</w:t>
            </w:r>
          </w:p>
        </w:tc>
        <w:tc>
          <w:tcPr>
            <w:tcW w:w="0" w:type="auto"/>
            <w:vAlign w:val="center"/>
            <w:hideMark/>
          </w:tcPr>
          <w:p w14:paraId="315461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Alta en el catálogo con versión, propietario, contrato y contacto</w:t>
            </w:r>
          </w:p>
        </w:tc>
        <w:tc>
          <w:tcPr>
            <w:tcW w:w="0" w:type="auto"/>
            <w:vAlign w:val="center"/>
            <w:hideMark/>
          </w:tcPr>
          <w:p w14:paraId="0D3FA5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Automática desde la canalización</w:t>
            </w:r>
          </w:p>
        </w:tc>
      </w:tr>
      <w:tr w:rsidR="000444D1" w:rsidRPr="000444D1" w14:paraId="0FB85E57" w14:textId="77777777">
        <w:trPr>
          <w:tblCellSpacing w:w="15" w:type="dxa"/>
        </w:trPr>
        <w:tc>
          <w:tcPr>
            <w:tcW w:w="0" w:type="auto"/>
            <w:vAlign w:val="center"/>
            <w:hideMark/>
          </w:tcPr>
          <w:p w14:paraId="5AF8BC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Vigencia</w:t>
            </w:r>
          </w:p>
        </w:tc>
        <w:tc>
          <w:tcPr>
            <w:tcW w:w="0" w:type="auto"/>
            <w:vAlign w:val="center"/>
            <w:hideMark/>
          </w:tcPr>
          <w:p w14:paraId="135EE9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Evolución solo aditiva dentro de la versión mayor</w:t>
            </w:r>
          </w:p>
        </w:tc>
        <w:tc>
          <w:tcPr>
            <w:tcW w:w="0" w:type="auto"/>
            <w:vAlign w:val="center"/>
            <w:hideMark/>
          </w:tcPr>
          <w:p w14:paraId="3B24D9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w:t>
            </w:r>
          </w:p>
        </w:tc>
      </w:tr>
      <w:tr w:rsidR="000444D1" w:rsidRPr="000444D1" w14:paraId="72BD0946" w14:textId="77777777">
        <w:trPr>
          <w:tblCellSpacing w:w="15" w:type="dxa"/>
        </w:trPr>
        <w:tc>
          <w:tcPr>
            <w:tcW w:w="0" w:type="auto"/>
            <w:vAlign w:val="center"/>
            <w:hideMark/>
          </w:tcPr>
          <w:p w14:paraId="2F07DF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Deprecación</w:t>
            </w:r>
          </w:p>
        </w:tc>
        <w:tc>
          <w:tcPr>
            <w:tcW w:w="0" w:type="auto"/>
            <w:vAlign w:val="center"/>
            <w:hideMark/>
          </w:tcPr>
          <w:p w14:paraId="5C1574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Anuncio con fecha de retiro; la versión sigue operativa</w:t>
            </w:r>
          </w:p>
        </w:tc>
        <w:tc>
          <w:tcPr>
            <w:tcW w:w="0" w:type="auto"/>
            <w:vAlign w:val="center"/>
            <w:hideMark/>
          </w:tcPr>
          <w:p w14:paraId="3E237E9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 con notificación a consumidores registrados</w:t>
            </w:r>
          </w:p>
        </w:tc>
      </w:tr>
      <w:tr w:rsidR="000444D1" w:rsidRPr="000444D1" w14:paraId="677F46B5" w14:textId="77777777">
        <w:trPr>
          <w:tblCellSpacing w:w="15" w:type="dxa"/>
        </w:trPr>
        <w:tc>
          <w:tcPr>
            <w:tcW w:w="0" w:type="auto"/>
            <w:vAlign w:val="center"/>
            <w:hideMark/>
          </w:tcPr>
          <w:p w14:paraId="5919C4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Retiro</w:t>
            </w:r>
          </w:p>
        </w:tc>
        <w:tc>
          <w:tcPr>
            <w:tcW w:w="0" w:type="auto"/>
            <w:vAlign w:val="center"/>
            <w:hideMark/>
          </w:tcPr>
          <w:p w14:paraId="4C8610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Eliminación efectiva, previa verificación de ausencia de consumo</w:t>
            </w:r>
          </w:p>
        </w:tc>
        <w:tc>
          <w:tcPr>
            <w:tcW w:w="0" w:type="auto"/>
            <w:vAlign w:val="center"/>
            <w:hideMark/>
          </w:tcPr>
          <w:p w14:paraId="4E211D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 con evidencia de telemetría</w:t>
            </w:r>
          </w:p>
        </w:tc>
      </w:tr>
    </w:tbl>
    <w:p w14:paraId="18C8868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diseño de contrato precede a la implementación. La razón no es formal: un contrato derivado del código refleja las decisiones de implementación, y esas decisiones acaban filtrándose a los consumidores como acoplamiento no deseado.</w:t>
      </w:r>
    </w:p>
    <w:p w14:paraId="5FDE2E7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lastRenderedPageBreak/>
        <w:t>16.4 Versionado y deprecación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3123"/>
        <w:gridCol w:w="4432"/>
      </w:tblGrid>
      <w:tr w:rsidR="000444D1" w:rsidRPr="000444D1" w14:paraId="49416D15" w14:textId="77777777">
        <w:trPr>
          <w:tblHeader/>
          <w:tblCellSpacing w:w="15" w:type="dxa"/>
        </w:trPr>
        <w:tc>
          <w:tcPr>
            <w:tcW w:w="0" w:type="auto"/>
            <w:vAlign w:val="center"/>
            <w:hideMark/>
          </w:tcPr>
          <w:p w14:paraId="69A9F00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Ámbito</w:t>
            </w:r>
          </w:p>
        </w:tc>
        <w:tc>
          <w:tcPr>
            <w:tcW w:w="0" w:type="auto"/>
            <w:vAlign w:val="center"/>
            <w:hideMark/>
          </w:tcPr>
          <w:p w14:paraId="376B655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Periodo mínimo de deprecación</w:t>
            </w:r>
          </w:p>
        </w:tc>
        <w:tc>
          <w:tcPr>
            <w:tcW w:w="0" w:type="auto"/>
            <w:vAlign w:val="center"/>
            <w:hideMark/>
          </w:tcPr>
          <w:p w14:paraId="2E1A7D3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Condición de retiro</w:t>
            </w:r>
          </w:p>
        </w:tc>
      </w:tr>
      <w:tr w:rsidR="000444D1" w:rsidRPr="000444D1" w14:paraId="1C9EEA30" w14:textId="77777777">
        <w:trPr>
          <w:tblCellSpacing w:w="15" w:type="dxa"/>
        </w:trPr>
        <w:tc>
          <w:tcPr>
            <w:tcW w:w="0" w:type="auto"/>
            <w:vAlign w:val="center"/>
            <w:hideMark/>
          </w:tcPr>
          <w:p w14:paraId="6E02A5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interna</w:t>
            </w:r>
          </w:p>
        </w:tc>
        <w:tc>
          <w:tcPr>
            <w:tcW w:w="0" w:type="auto"/>
            <w:vAlign w:val="center"/>
            <w:hideMark/>
          </w:tcPr>
          <w:p w14:paraId="76A28E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 meses</w:t>
            </w:r>
          </w:p>
        </w:tc>
        <w:tc>
          <w:tcPr>
            <w:tcW w:w="0" w:type="auto"/>
            <w:vAlign w:val="center"/>
            <w:hideMark/>
          </w:tcPr>
          <w:p w14:paraId="5532E5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Telemetría sin consumo durante 30 días consecutivos</w:t>
            </w:r>
          </w:p>
        </w:tc>
      </w:tr>
      <w:tr w:rsidR="000444D1" w:rsidRPr="000444D1" w14:paraId="6C30BAC2" w14:textId="77777777">
        <w:trPr>
          <w:tblCellSpacing w:w="15" w:type="dxa"/>
        </w:trPr>
        <w:tc>
          <w:tcPr>
            <w:tcW w:w="0" w:type="auto"/>
            <w:vAlign w:val="center"/>
            <w:hideMark/>
          </w:tcPr>
          <w:p w14:paraId="178AF1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externa (Open Finance)</w:t>
            </w:r>
          </w:p>
        </w:tc>
        <w:tc>
          <w:tcPr>
            <w:tcW w:w="0" w:type="auto"/>
            <w:vAlign w:val="center"/>
            <w:hideMark/>
          </w:tcPr>
          <w:p w14:paraId="485EBE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12 meses, o el que exija la normativa si es mayor</w:t>
            </w:r>
          </w:p>
        </w:tc>
        <w:tc>
          <w:tcPr>
            <w:tcW w:w="0" w:type="auto"/>
            <w:vAlign w:val="center"/>
            <w:hideMark/>
          </w:tcPr>
          <w:p w14:paraId="75BCEF2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Notificación formal a todos los terceros registrados y confirmación de migración</w:t>
            </w:r>
          </w:p>
        </w:tc>
      </w:tr>
      <w:tr w:rsidR="000444D1" w:rsidRPr="000444D1" w14:paraId="5DCC4CDA" w14:textId="77777777">
        <w:trPr>
          <w:tblCellSpacing w:w="15" w:type="dxa"/>
        </w:trPr>
        <w:tc>
          <w:tcPr>
            <w:tcW w:w="0" w:type="auto"/>
            <w:vAlign w:val="center"/>
            <w:hideMark/>
          </w:tcPr>
          <w:p w14:paraId="247998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 de dominio</w:t>
            </w:r>
          </w:p>
        </w:tc>
        <w:tc>
          <w:tcPr>
            <w:tcW w:w="0" w:type="auto"/>
            <w:vAlign w:val="center"/>
            <w:hideMark/>
          </w:tcPr>
          <w:p w14:paraId="67E94D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 meses, con ambas versiones publicadas en paralelo</w:t>
            </w:r>
          </w:p>
        </w:tc>
        <w:tc>
          <w:tcPr>
            <w:tcW w:w="0" w:type="auto"/>
            <w:vAlign w:val="center"/>
            <w:hideMark/>
          </w:tcPr>
          <w:p w14:paraId="7C4AD4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Ningún consumidor registrado en la versión anterior</w:t>
            </w:r>
          </w:p>
        </w:tc>
      </w:tr>
    </w:tbl>
    <w:p w14:paraId="01AD26B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Ninguna versión se retira por calendario.</w:t>
      </w:r>
      <w:r w:rsidRPr="000444D1">
        <w:rPr>
          <w:rFonts w:ascii="Times New Roman" w:eastAsia="Times New Roman" w:hAnsi="Times New Roman" w:cs="Times New Roman"/>
          <w:kern w:val="0"/>
          <w14:ligatures w14:val="none"/>
        </w:rPr>
        <w:t xml:space="preserve"> El vencimiento del plazo habilita el retiro; la condición que lo autoriza es la evidencia de que nadie la consume. Un plazo cumplido con consumidores activos obliga a escalar la migración, no a romperlos.</w:t>
      </w:r>
    </w:p>
    <w:p w14:paraId="6AB39E1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16.5 Catálogo y descubrimiento</w:t>
      </w:r>
    </w:p>
    <w:p w14:paraId="07C591A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catálogo es la fuente única sobre qué existe, quién lo mantiene y cómo se consume. Se alimenta de la canalización de despliegue, no de una carga manual: un catálogo que se mantiene a mano queda desactualizado en semanas.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5"/>
        <w:gridCol w:w="3981"/>
      </w:tblGrid>
      <w:tr w:rsidR="000444D1" w:rsidRPr="000444D1" w14:paraId="08D0FFAA" w14:textId="77777777">
        <w:trPr>
          <w:tblHeader/>
          <w:tblCellSpacing w:w="15" w:type="dxa"/>
        </w:trPr>
        <w:tc>
          <w:tcPr>
            <w:tcW w:w="0" w:type="auto"/>
            <w:vAlign w:val="center"/>
            <w:hideMark/>
          </w:tcPr>
          <w:p w14:paraId="4170CF3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Contenido por entrada</w:t>
            </w:r>
          </w:p>
        </w:tc>
        <w:tc>
          <w:tcPr>
            <w:tcW w:w="0" w:type="auto"/>
            <w:vAlign w:val="center"/>
            <w:hideMark/>
          </w:tcPr>
          <w:p w14:paraId="1FC94E6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Origen</w:t>
            </w:r>
          </w:p>
        </w:tc>
      </w:tr>
      <w:tr w:rsidR="000444D1" w:rsidRPr="000444D1" w14:paraId="312397FF" w14:textId="77777777">
        <w:trPr>
          <w:tblCellSpacing w:w="15" w:type="dxa"/>
        </w:trPr>
        <w:tc>
          <w:tcPr>
            <w:tcW w:w="0" w:type="auto"/>
            <w:vAlign w:val="center"/>
            <w:hideMark/>
          </w:tcPr>
          <w:p w14:paraId="54ECCC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 vigente (OpenAPI / AsyncAPI)</w:t>
            </w:r>
          </w:p>
        </w:tc>
        <w:tc>
          <w:tcPr>
            <w:tcW w:w="0" w:type="auto"/>
            <w:vAlign w:val="center"/>
            <w:hideMark/>
          </w:tcPr>
          <w:p w14:paraId="1B5F46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Repositorio del servicio</w:t>
            </w:r>
          </w:p>
        </w:tc>
      </w:tr>
      <w:tr w:rsidR="000444D1" w:rsidRPr="000444D1" w14:paraId="1C546CB3" w14:textId="77777777">
        <w:trPr>
          <w:tblCellSpacing w:w="15" w:type="dxa"/>
        </w:trPr>
        <w:tc>
          <w:tcPr>
            <w:tcW w:w="0" w:type="auto"/>
            <w:vAlign w:val="center"/>
            <w:hideMark/>
          </w:tcPr>
          <w:p w14:paraId="3D8AF1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Versión desplegada por entorno</w:t>
            </w:r>
          </w:p>
        </w:tc>
        <w:tc>
          <w:tcPr>
            <w:tcW w:w="0" w:type="auto"/>
            <w:vAlign w:val="center"/>
            <w:hideMark/>
          </w:tcPr>
          <w:p w14:paraId="16642E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Canalización</w:t>
            </w:r>
          </w:p>
        </w:tc>
      </w:tr>
      <w:tr w:rsidR="000444D1" w:rsidRPr="000444D1" w14:paraId="1392FB5B" w14:textId="77777777">
        <w:trPr>
          <w:tblCellSpacing w:w="15" w:type="dxa"/>
        </w:trPr>
        <w:tc>
          <w:tcPr>
            <w:tcW w:w="0" w:type="auto"/>
            <w:vAlign w:val="center"/>
            <w:hideMark/>
          </w:tcPr>
          <w:p w14:paraId="6DDAD59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 propietario y contacto</w:t>
            </w:r>
          </w:p>
        </w:tc>
        <w:tc>
          <w:tcPr>
            <w:tcW w:w="0" w:type="auto"/>
            <w:vAlign w:val="center"/>
            <w:hideMark/>
          </w:tcPr>
          <w:p w14:paraId="7F419F8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propiedad</w:t>
            </w:r>
          </w:p>
        </w:tc>
      </w:tr>
      <w:tr w:rsidR="000444D1" w:rsidRPr="000444D1" w14:paraId="3BD621AB" w14:textId="77777777">
        <w:trPr>
          <w:tblCellSpacing w:w="15" w:type="dxa"/>
        </w:trPr>
        <w:tc>
          <w:tcPr>
            <w:tcW w:w="0" w:type="auto"/>
            <w:vAlign w:val="center"/>
            <w:hideMark/>
          </w:tcPr>
          <w:p w14:paraId="08C193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Consumidores registrados</w:t>
            </w:r>
          </w:p>
        </w:tc>
        <w:tc>
          <w:tcPr>
            <w:tcW w:w="0" w:type="auto"/>
            <w:vAlign w:val="center"/>
            <w:hideMark/>
          </w:tcPr>
          <w:p w14:paraId="054ED1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Declaración del consumidor y telemetría</w:t>
            </w:r>
          </w:p>
        </w:tc>
      </w:tr>
      <w:tr w:rsidR="000444D1" w:rsidRPr="000444D1" w14:paraId="5E98D90F" w14:textId="77777777">
        <w:trPr>
          <w:tblCellSpacing w:w="15" w:type="dxa"/>
        </w:trPr>
        <w:tc>
          <w:tcPr>
            <w:tcW w:w="0" w:type="auto"/>
            <w:vAlign w:val="center"/>
            <w:hideMark/>
          </w:tcPr>
          <w:p w14:paraId="20D665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Estado del ciclo de vida</w:t>
            </w:r>
          </w:p>
        </w:tc>
        <w:tc>
          <w:tcPr>
            <w:tcW w:w="0" w:type="auto"/>
            <w:vAlign w:val="center"/>
            <w:hideMark/>
          </w:tcPr>
          <w:p w14:paraId="5C0C4A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Canalización</w:t>
            </w:r>
          </w:p>
        </w:tc>
      </w:tr>
      <w:tr w:rsidR="000444D1" w:rsidRPr="000444D1" w14:paraId="50FEE52C" w14:textId="77777777">
        <w:trPr>
          <w:tblCellSpacing w:w="15" w:type="dxa"/>
        </w:trPr>
        <w:tc>
          <w:tcPr>
            <w:tcW w:w="0" w:type="auto"/>
            <w:vAlign w:val="center"/>
            <w:hideMark/>
          </w:tcPr>
          <w:p w14:paraId="28CBFFF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Objetivos de nivel de servicio</w:t>
            </w:r>
          </w:p>
        </w:tc>
        <w:tc>
          <w:tcPr>
            <w:tcW w:w="0" w:type="auto"/>
            <w:vAlign w:val="center"/>
            <w:hideMark/>
          </w:tcPr>
          <w:p w14:paraId="3527C0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Definición del dominio</w:t>
            </w:r>
          </w:p>
        </w:tc>
      </w:tr>
      <w:tr w:rsidR="000444D1" w:rsidRPr="000444D1" w14:paraId="63B7956E" w14:textId="77777777">
        <w:trPr>
          <w:tblCellSpacing w:w="15" w:type="dxa"/>
        </w:trPr>
        <w:tc>
          <w:tcPr>
            <w:tcW w:w="0" w:type="auto"/>
            <w:vAlign w:val="center"/>
            <w:hideMark/>
          </w:tcPr>
          <w:p w14:paraId="5DAAA2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 asociados a decisiones relevantes</w:t>
            </w:r>
          </w:p>
        </w:tc>
        <w:tc>
          <w:tcPr>
            <w:tcW w:w="0" w:type="auto"/>
            <w:vAlign w:val="center"/>
            <w:hideMark/>
          </w:tcPr>
          <w:p w14:paraId="76382A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Repositorio de decisiones</w:t>
            </w:r>
          </w:p>
        </w:tc>
      </w:tr>
    </w:tbl>
    <w:p w14:paraId="14EC91E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registro de consumidores es lo que hace viable la política de deprecación: sin saber quién consume qué, la única alternativa sería no retirar nunca nada, que es como las arquitecturas distribuidas acumulan deuda hasta volverse inmodificables.</w:t>
      </w:r>
    </w:p>
    <w:p w14:paraId="52A6F95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16.6 Compatibilidad y pruebas de contrato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7"/>
        <w:gridCol w:w="6073"/>
      </w:tblGrid>
      <w:tr w:rsidR="000444D1" w:rsidRPr="000444D1" w14:paraId="30BE52A4" w14:textId="77777777">
        <w:trPr>
          <w:tblHeader/>
          <w:tblCellSpacing w:w="15" w:type="dxa"/>
        </w:trPr>
        <w:tc>
          <w:tcPr>
            <w:tcW w:w="0" w:type="auto"/>
            <w:vAlign w:val="center"/>
            <w:hideMark/>
          </w:tcPr>
          <w:p w14:paraId="6AB7E94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Mecanismo</w:t>
            </w:r>
          </w:p>
        </w:tc>
        <w:tc>
          <w:tcPr>
            <w:tcW w:w="0" w:type="auto"/>
            <w:vAlign w:val="center"/>
            <w:hideMark/>
          </w:tcPr>
          <w:p w14:paraId="2C7C1F0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Qué previene</w:t>
            </w:r>
          </w:p>
        </w:tc>
      </w:tr>
      <w:tr w:rsidR="000444D1" w:rsidRPr="000444D1" w14:paraId="69A9B562" w14:textId="77777777">
        <w:trPr>
          <w:tblCellSpacing w:w="15" w:type="dxa"/>
        </w:trPr>
        <w:tc>
          <w:tcPr>
            <w:tcW w:w="0" w:type="auto"/>
            <w:vAlign w:val="center"/>
            <w:hideMark/>
          </w:tcPr>
          <w:p w14:paraId="107518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Pruebas de contrato dirigidas por el consumidor</w:t>
            </w:r>
          </w:p>
        </w:tc>
        <w:tc>
          <w:tcPr>
            <w:tcW w:w="0" w:type="auto"/>
            <w:vAlign w:val="center"/>
            <w:hideMark/>
          </w:tcPr>
          <w:p w14:paraId="7749EA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Que un cambio del productor rompa a un consumidor real. Los contratos esperados se verifican en la canalización del productor</w:t>
            </w:r>
          </w:p>
        </w:tc>
      </w:tr>
      <w:tr w:rsidR="000444D1" w:rsidRPr="000444D1" w14:paraId="69B87824" w14:textId="77777777">
        <w:trPr>
          <w:tblCellSpacing w:w="15" w:type="dxa"/>
        </w:trPr>
        <w:tc>
          <w:tcPr>
            <w:tcW w:w="0" w:type="auto"/>
            <w:vAlign w:val="center"/>
            <w:hideMark/>
          </w:tcPr>
          <w:p w14:paraId="2EA066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Validación automática de compatibilidad de esquema</w:t>
            </w:r>
          </w:p>
        </w:tc>
        <w:tc>
          <w:tcPr>
            <w:tcW w:w="0" w:type="auto"/>
            <w:vAlign w:val="center"/>
            <w:hideMark/>
          </w:tcPr>
          <w:p w14:paraId="5A7C32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Que un cambio incompatible se publique por descuido: la canalización compara con la versión vigente y falla</w:t>
            </w:r>
          </w:p>
        </w:tc>
      </w:tr>
      <w:tr w:rsidR="000444D1" w:rsidRPr="000444D1" w14:paraId="2C068F01" w14:textId="77777777">
        <w:trPr>
          <w:tblCellSpacing w:w="15" w:type="dxa"/>
        </w:trPr>
        <w:tc>
          <w:tcPr>
            <w:tcW w:w="0" w:type="auto"/>
            <w:vAlign w:val="center"/>
            <w:hideMark/>
          </w:tcPr>
          <w:p w14:paraId="64E5E2D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Registro de esquemas de eventos</w:t>
            </w:r>
          </w:p>
        </w:tc>
        <w:tc>
          <w:tcPr>
            <w:tcW w:w="0" w:type="auto"/>
            <w:vAlign w:val="center"/>
            <w:hideMark/>
          </w:tcPr>
          <w:p w14:paraId="623BD2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Que se publique un evento que no cumple su esquema declarado</w:t>
            </w:r>
          </w:p>
        </w:tc>
      </w:tr>
      <w:tr w:rsidR="000444D1" w:rsidRPr="000444D1" w14:paraId="46360EB0" w14:textId="77777777">
        <w:trPr>
          <w:tblCellSpacing w:w="15" w:type="dxa"/>
        </w:trPr>
        <w:tc>
          <w:tcPr>
            <w:tcW w:w="0" w:type="auto"/>
            <w:vAlign w:val="center"/>
            <w:hideMark/>
          </w:tcPr>
          <w:p w14:paraId="12A8D6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Análisis del contrato contra la guía de estilo</w:t>
            </w:r>
          </w:p>
        </w:tc>
        <w:tc>
          <w:tcPr>
            <w:tcW w:w="0" w:type="auto"/>
            <w:vAlign w:val="center"/>
            <w:hideMark/>
          </w:tcPr>
          <w:p w14:paraId="723715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Desviaciones de nomenclatura, formato de errores o versionado</w:t>
            </w:r>
          </w:p>
        </w:tc>
      </w:tr>
    </w:tbl>
    <w:p w14:paraId="22DE4DD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comprobación de compatibilidad se ejecuta en la canalización del productor, no en una revisión posterior. Un cambio incompatible no se rechaza en una reunión: no llega a desplegarse.</w:t>
      </w:r>
    </w:p>
    <w:p w14:paraId="455C9A5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16.7 Plantilla de servicio</w:t>
      </w:r>
    </w:p>
    <w:p w14:paraId="0C9959F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servicio nuevo parte de una plantilla que incorpora, sin que el equipo deba solicitarlo: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0"/>
        <w:gridCol w:w="2315"/>
      </w:tblGrid>
      <w:tr w:rsidR="000444D1" w:rsidRPr="000444D1" w14:paraId="4DA128BE" w14:textId="77777777">
        <w:trPr>
          <w:tblHeader/>
          <w:tblCellSpacing w:w="15" w:type="dxa"/>
        </w:trPr>
        <w:tc>
          <w:tcPr>
            <w:tcW w:w="0" w:type="auto"/>
            <w:vAlign w:val="center"/>
            <w:hideMark/>
          </w:tcPr>
          <w:p w14:paraId="721D1D3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Elemento incluido</w:t>
            </w:r>
          </w:p>
        </w:tc>
        <w:tc>
          <w:tcPr>
            <w:tcW w:w="0" w:type="auto"/>
            <w:vAlign w:val="center"/>
            <w:hideMark/>
          </w:tcPr>
          <w:p w14:paraId="61F6A19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Sección que lo exige</w:t>
            </w:r>
          </w:p>
        </w:tc>
      </w:tr>
      <w:tr w:rsidR="000444D1" w:rsidRPr="000444D1" w14:paraId="4E36D209" w14:textId="77777777">
        <w:trPr>
          <w:tblCellSpacing w:w="15" w:type="dxa"/>
        </w:trPr>
        <w:tc>
          <w:tcPr>
            <w:tcW w:w="0" w:type="auto"/>
            <w:vAlign w:val="center"/>
            <w:hideMark/>
          </w:tcPr>
          <w:p w14:paraId="3AA4DE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Instrumentación OpenTelemetry y propagación de contexto</w:t>
            </w:r>
          </w:p>
        </w:tc>
        <w:tc>
          <w:tcPr>
            <w:tcW w:w="0" w:type="auto"/>
            <w:vAlign w:val="center"/>
            <w:hideMark/>
          </w:tcPr>
          <w:p w14:paraId="61F9FB9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18.3</w:t>
            </w:r>
          </w:p>
        </w:tc>
      </w:tr>
      <w:tr w:rsidR="000444D1" w:rsidRPr="000444D1" w14:paraId="737DAE04" w14:textId="77777777">
        <w:trPr>
          <w:tblCellSpacing w:w="15" w:type="dxa"/>
        </w:trPr>
        <w:tc>
          <w:tcPr>
            <w:tcW w:w="0" w:type="auto"/>
            <w:vAlign w:val="center"/>
            <w:hideMark/>
          </w:tcPr>
          <w:p w14:paraId="282483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Biblioteca de enmascaramiento en registros</w:t>
            </w:r>
          </w:p>
        </w:tc>
        <w:tc>
          <w:tcPr>
            <w:tcW w:w="0" w:type="auto"/>
            <w:vAlign w:val="center"/>
            <w:hideMark/>
          </w:tcPr>
          <w:p w14:paraId="1BE321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13.6 control C-10, 18.6</w:t>
            </w:r>
          </w:p>
        </w:tc>
      </w:tr>
      <w:tr w:rsidR="000444D1" w:rsidRPr="000444D1" w14:paraId="6BFFDD81" w14:textId="77777777">
        <w:trPr>
          <w:tblCellSpacing w:w="15" w:type="dxa"/>
        </w:trPr>
        <w:tc>
          <w:tcPr>
            <w:tcW w:w="0" w:type="auto"/>
            <w:vAlign w:val="center"/>
            <w:hideMark/>
          </w:tcPr>
          <w:p w14:paraId="3789BF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Buzón transaccional con su despachador</w:t>
            </w:r>
          </w:p>
        </w:tc>
        <w:tc>
          <w:tcPr>
            <w:tcW w:w="0" w:type="auto"/>
            <w:vAlign w:val="center"/>
            <w:hideMark/>
          </w:tcPr>
          <w:p w14:paraId="3A806D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8.1</w:t>
            </w:r>
          </w:p>
        </w:tc>
      </w:tr>
      <w:tr w:rsidR="000444D1" w:rsidRPr="000444D1" w14:paraId="69F4BCB5" w14:textId="77777777">
        <w:trPr>
          <w:tblCellSpacing w:w="15" w:type="dxa"/>
        </w:trPr>
        <w:tc>
          <w:tcPr>
            <w:tcW w:w="0" w:type="auto"/>
            <w:vAlign w:val="center"/>
            <w:hideMark/>
          </w:tcPr>
          <w:p w14:paraId="51E18D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Consumo idempotente y configuración de DLQ</w:t>
            </w:r>
          </w:p>
        </w:tc>
        <w:tc>
          <w:tcPr>
            <w:tcW w:w="0" w:type="auto"/>
            <w:vAlign w:val="center"/>
            <w:hideMark/>
          </w:tcPr>
          <w:p w14:paraId="550CDF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12.8</w:t>
            </w:r>
          </w:p>
        </w:tc>
      </w:tr>
      <w:tr w:rsidR="000444D1" w:rsidRPr="000444D1" w14:paraId="0C362A53" w14:textId="77777777">
        <w:trPr>
          <w:tblCellSpacing w:w="15" w:type="dxa"/>
        </w:trPr>
        <w:tc>
          <w:tcPr>
            <w:tcW w:w="0" w:type="auto"/>
            <w:vAlign w:val="center"/>
            <w:hideMark/>
          </w:tcPr>
          <w:p w14:paraId="6CF858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Verificaciones de salud y disponibilidad</w:t>
            </w:r>
          </w:p>
        </w:tc>
        <w:tc>
          <w:tcPr>
            <w:tcW w:w="0" w:type="auto"/>
            <w:vAlign w:val="center"/>
            <w:hideMark/>
          </w:tcPr>
          <w:p w14:paraId="0E55CA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15.2</w:t>
            </w:r>
          </w:p>
        </w:tc>
      </w:tr>
      <w:tr w:rsidR="000444D1" w:rsidRPr="000444D1" w14:paraId="09E44DB6" w14:textId="77777777">
        <w:trPr>
          <w:tblCellSpacing w:w="15" w:type="dxa"/>
        </w:trPr>
        <w:tc>
          <w:tcPr>
            <w:tcW w:w="0" w:type="auto"/>
            <w:vAlign w:val="center"/>
            <w:hideMark/>
          </w:tcPr>
          <w:p w14:paraId="150269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Identidad de carga de trabajo y obtención de secretos</w:t>
            </w:r>
          </w:p>
        </w:tc>
        <w:tc>
          <w:tcPr>
            <w:tcW w:w="0" w:type="auto"/>
            <w:vAlign w:val="center"/>
            <w:hideMark/>
          </w:tcPr>
          <w:p w14:paraId="18943C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14.4</w:t>
            </w:r>
          </w:p>
        </w:tc>
      </w:tr>
      <w:tr w:rsidR="000444D1" w:rsidRPr="000444D1" w14:paraId="74039B48" w14:textId="77777777">
        <w:trPr>
          <w:tblCellSpacing w:w="15" w:type="dxa"/>
        </w:trPr>
        <w:tc>
          <w:tcPr>
            <w:tcW w:w="0" w:type="auto"/>
            <w:vAlign w:val="center"/>
            <w:hideMark/>
          </w:tcPr>
          <w:p w14:paraId="1685FA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Estructura de puertos y adaptadores</w:t>
            </w:r>
          </w:p>
        </w:tc>
        <w:tc>
          <w:tcPr>
            <w:tcW w:w="0" w:type="auto"/>
            <w:vAlign w:val="center"/>
            <w:hideMark/>
          </w:tcPr>
          <w:p w14:paraId="2CD7F5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8.1</w:t>
            </w:r>
          </w:p>
        </w:tc>
      </w:tr>
      <w:tr w:rsidR="000444D1" w:rsidRPr="000444D1" w14:paraId="58C74E5E" w14:textId="77777777">
        <w:trPr>
          <w:tblCellSpacing w:w="15" w:type="dxa"/>
        </w:trPr>
        <w:tc>
          <w:tcPr>
            <w:tcW w:w="0" w:type="auto"/>
            <w:vAlign w:val="center"/>
            <w:hideMark/>
          </w:tcPr>
          <w:p w14:paraId="49690C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Publicación automática del contrato en el catálogo</w:t>
            </w:r>
          </w:p>
        </w:tc>
        <w:tc>
          <w:tcPr>
            <w:tcW w:w="0" w:type="auto"/>
            <w:vAlign w:val="center"/>
            <w:hideMark/>
          </w:tcPr>
          <w:p w14:paraId="5E1EA5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16.5</w:t>
            </w:r>
          </w:p>
        </w:tc>
      </w:tr>
    </w:tbl>
    <w:p w14:paraId="7116488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 es la pieza que convierte el gobierno en algo aplicable. La mayoría de los requisitos transversales del documento —observabilidad, enmascaramiento, idempotencia, outbox— no se cumplen porque una norma los exija, sino porque vienen resueltos de origen y desviarse cuesta más que acatarlos.</w:t>
      </w:r>
    </w:p>
    <w:p w14:paraId="7EE9882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16.8 Criterios de creación de un nuevo servicio</w:t>
      </w:r>
    </w:p>
    <w:p w14:paraId="601A59C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Derivan de las reglas de descomposición de la sección 5.4 y funcionan como condiciones, no como recomendaciones.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930"/>
        <w:gridCol w:w="4235"/>
      </w:tblGrid>
      <w:tr w:rsidR="000444D1" w:rsidRPr="000444D1" w14:paraId="245C4369" w14:textId="77777777">
        <w:trPr>
          <w:tblHeader/>
          <w:tblCellSpacing w:w="15" w:type="dxa"/>
        </w:trPr>
        <w:tc>
          <w:tcPr>
            <w:tcW w:w="0" w:type="auto"/>
            <w:vAlign w:val="center"/>
            <w:hideMark/>
          </w:tcPr>
          <w:p w14:paraId="6DF3E88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412BB7A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Criterio</w:t>
            </w:r>
          </w:p>
        </w:tc>
        <w:tc>
          <w:tcPr>
            <w:tcW w:w="0" w:type="auto"/>
            <w:vAlign w:val="center"/>
            <w:hideMark/>
          </w:tcPr>
          <w:p w14:paraId="4531D8F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Consecuencia si no se cumple</w:t>
            </w:r>
          </w:p>
        </w:tc>
      </w:tr>
      <w:tr w:rsidR="000444D1" w:rsidRPr="000444D1" w14:paraId="4C4EBCBE" w14:textId="77777777">
        <w:trPr>
          <w:tblCellSpacing w:w="15" w:type="dxa"/>
        </w:trPr>
        <w:tc>
          <w:tcPr>
            <w:tcW w:w="0" w:type="auto"/>
            <w:vAlign w:val="center"/>
            <w:hideMark/>
          </w:tcPr>
          <w:p w14:paraId="0292CC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w:t>
            </w:r>
          </w:p>
        </w:tc>
        <w:tc>
          <w:tcPr>
            <w:tcW w:w="0" w:type="auto"/>
            <w:vAlign w:val="center"/>
            <w:hideMark/>
          </w:tcPr>
          <w:p w14:paraId="54CC08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 system of record de al menos una entidad, o una proyección declarada?</w:t>
            </w:r>
          </w:p>
        </w:tc>
        <w:tc>
          <w:tcPr>
            <w:tcW w:w="0" w:type="auto"/>
            <w:vAlign w:val="center"/>
            <w:hideMark/>
          </w:tcPr>
          <w:p w14:paraId="3271A1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Probablemente es un adaptador o una biblioteca, no un servicio</w:t>
            </w:r>
          </w:p>
        </w:tc>
      </w:tr>
      <w:tr w:rsidR="000444D1" w:rsidRPr="000444D1" w14:paraId="35CC8D46" w14:textId="77777777">
        <w:trPr>
          <w:tblCellSpacing w:w="15" w:type="dxa"/>
        </w:trPr>
        <w:tc>
          <w:tcPr>
            <w:tcW w:w="0" w:type="auto"/>
            <w:vAlign w:val="center"/>
            <w:hideMark/>
          </w:tcPr>
          <w:p w14:paraId="03AB92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w:t>
            </w:r>
          </w:p>
        </w:tc>
        <w:tc>
          <w:tcPr>
            <w:tcW w:w="0" w:type="auto"/>
            <w:vAlign w:val="center"/>
            <w:hideMark/>
          </w:tcPr>
          <w:p w14:paraId="682B8A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 responsabilidad se enuncia en una sola frase?</w:t>
            </w:r>
          </w:p>
        </w:tc>
        <w:tc>
          <w:tcPr>
            <w:tcW w:w="0" w:type="auto"/>
            <w:vAlign w:val="center"/>
            <w:hideMark/>
          </w:tcPr>
          <w:p w14:paraId="6977D8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corte es incorrecto</w:t>
            </w:r>
          </w:p>
        </w:tc>
      </w:tr>
      <w:tr w:rsidR="000444D1" w:rsidRPr="000444D1" w14:paraId="3BAEBEEB" w14:textId="77777777">
        <w:trPr>
          <w:tblCellSpacing w:w="15" w:type="dxa"/>
        </w:trPr>
        <w:tc>
          <w:tcPr>
            <w:tcW w:w="0" w:type="auto"/>
            <w:vAlign w:val="center"/>
            <w:hideMark/>
          </w:tcPr>
          <w:p w14:paraId="035479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c>
          <w:tcPr>
            <w:tcW w:w="0" w:type="auto"/>
            <w:vAlign w:val="center"/>
            <w:hideMark/>
          </w:tcPr>
          <w:p w14:paraId="5ACE3F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¿Tiene equipo propietario asignado?</w:t>
            </w:r>
          </w:p>
        </w:tc>
        <w:tc>
          <w:tcPr>
            <w:tcW w:w="0" w:type="auto"/>
            <w:vAlign w:val="center"/>
            <w:hideMark/>
          </w:tcPr>
          <w:p w14:paraId="356D42F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se despliega</w:t>
            </w:r>
          </w:p>
        </w:tc>
      </w:tr>
      <w:tr w:rsidR="000444D1" w:rsidRPr="000444D1" w14:paraId="1959427F" w14:textId="77777777">
        <w:trPr>
          <w:tblCellSpacing w:w="15" w:type="dxa"/>
        </w:trPr>
        <w:tc>
          <w:tcPr>
            <w:tcW w:w="0" w:type="auto"/>
            <w:vAlign w:val="center"/>
            <w:hideMark/>
          </w:tcPr>
          <w:p w14:paraId="39DF18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w:t>
            </w:r>
          </w:p>
        </w:tc>
        <w:tc>
          <w:tcPr>
            <w:tcW w:w="0" w:type="auto"/>
            <w:vAlign w:val="center"/>
            <w:hideMark/>
          </w:tcPr>
          <w:p w14:paraId="3EB282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¿Requiere una transacción atómica con datos de otro servicio?</w:t>
            </w:r>
          </w:p>
        </w:tc>
        <w:tc>
          <w:tcPr>
            <w:tcW w:w="0" w:type="auto"/>
            <w:vAlign w:val="center"/>
            <w:hideMark/>
          </w:tcPr>
          <w:p w14:paraId="61446E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Pertenece al mismo dominio que aquel</w:t>
            </w:r>
          </w:p>
        </w:tc>
      </w:tr>
      <w:tr w:rsidR="000444D1" w:rsidRPr="000444D1" w14:paraId="4D4233C2" w14:textId="77777777">
        <w:trPr>
          <w:tblCellSpacing w:w="15" w:type="dxa"/>
        </w:trPr>
        <w:tc>
          <w:tcPr>
            <w:tcW w:w="0" w:type="auto"/>
            <w:vAlign w:val="center"/>
            <w:hideMark/>
          </w:tcPr>
          <w:p w14:paraId="1058C2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w:t>
            </w:r>
          </w:p>
        </w:tc>
        <w:tc>
          <w:tcPr>
            <w:tcW w:w="0" w:type="auto"/>
            <w:vAlign w:val="center"/>
            <w:hideMark/>
          </w:tcPr>
          <w:p w14:paraId="383BC2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¿Tiene fila en la matriz de degradación?</w:t>
            </w:r>
          </w:p>
        </w:tc>
        <w:tc>
          <w:tcPr>
            <w:tcW w:w="0" w:type="auto"/>
            <w:vAlign w:val="center"/>
            <w:hideMark/>
          </w:tcPr>
          <w:p w14:paraId="67A8AE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se despliega</w:t>
            </w:r>
          </w:p>
        </w:tc>
      </w:tr>
      <w:tr w:rsidR="000444D1" w:rsidRPr="000444D1" w14:paraId="35A8C299" w14:textId="77777777">
        <w:trPr>
          <w:tblCellSpacing w:w="15" w:type="dxa"/>
        </w:trPr>
        <w:tc>
          <w:tcPr>
            <w:tcW w:w="0" w:type="auto"/>
            <w:vAlign w:val="center"/>
            <w:hideMark/>
          </w:tcPr>
          <w:p w14:paraId="7FC87E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6</w:t>
            </w:r>
          </w:p>
        </w:tc>
        <w:tc>
          <w:tcPr>
            <w:tcW w:w="0" w:type="auto"/>
            <w:vAlign w:val="center"/>
            <w:hideMark/>
          </w:tcPr>
          <w:p w14:paraId="49ABE8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 creación reduce el acoplamiento o solo lo desplaza?</w:t>
            </w:r>
          </w:p>
        </w:tc>
        <w:tc>
          <w:tcPr>
            <w:tcW w:w="0" w:type="auto"/>
            <w:vAlign w:val="center"/>
            <w:hideMark/>
          </w:tcPr>
          <w:p w14:paraId="630AF0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Reconsiderar</w:t>
            </w:r>
          </w:p>
        </w:tc>
      </w:tr>
    </w:tbl>
    <w:p w14:paraId="263E3C2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criterio 4 es el que más servicios evita. Cuando dos conjuntos de datos requieren cambiar juntos de forma atómica y recurrente, separarlos no elimina la transacción: la convierte en una saga, con su compensación y su complejidad. La pregunta correcta no es si pueden separarse, sino si deben.</w:t>
      </w:r>
    </w:p>
    <w:p w14:paraId="3C9766F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16.9 Gobierno de eventos</w:t>
      </w:r>
    </w:p>
    <w:p w14:paraId="1755B25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gobierno de eventos es más difícil que el de APIs por una razón estructural: </w:t>
      </w:r>
      <w:r w:rsidRPr="000444D1">
        <w:rPr>
          <w:rFonts w:ascii="Times New Roman" w:eastAsia="Times New Roman" w:hAnsi="Times New Roman" w:cs="Times New Roman"/>
          <w:b/>
          <w:bCs/>
          <w:kern w:val="0"/>
          <w14:ligatures w14:val="none"/>
        </w:rPr>
        <w:t>en una API el productor conoce a sus consumidores; en un bus, no</w:t>
      </w:r>
      <w:r w:rsidRPr="000444D1">
        <w:rPr>
          <w:rFonts w:ascii="Times New Roman" w:eastAsia="Times New Roman" w:hAnsi="Times New Roman" w:cs="Times New Roman"/>
          <w:kern w:val="0"/>
          <w14:ligatures w14:val="none"/>
        </w:rPr>
        <w:t>. Esa opacidad es justamente lo que aporta el desacoplamiento, y también lo que impide saber a quién se rompe con un cambio.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2"/>
        <w:gridCol w:w="5778"/>
      </w:tblGrid>
      <w:tr w:rsidR="000444D1" w:rsidRPr="000444D1" w14:paraId="147B8A8B" w14:textId="77777777">
        <w:trPr>
          <w:tblHeader/>
          <w:tblCellSpacing w:w="15" w:type="dxa"/>
        </w:trPr>
        <w:tc>
          <w:tcPr>
            <w:tcW w:w="0" w:type="auto"/>
            <w:vAlign w:val="center"/>
            <w:hideMark/>
          </w:tcPr>
          <w:p w14:paraId="4DA6F48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Problema</w:t>
            </w:r>
          </w:p>
        </w:tc>
        <w:tc>
          <w:tcPr>
            <w:tcW w:w="0" w:type="auto"/>
            <w:vAlign w:val="center"/>
            <w:hideMark/>
          </w:tcPr>
          <w:p w14:paraId="18FF480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w:t>
            </w:r>
          </w:p>
        </w:tc>
      </w:tr>
      <w:tr w:rsidR="000444D1" w:rsidRPr="000444D1" w14:paraId="2B8A3380" w14:textId="77777777">
        <w:trPr>
          <w:tblCellSpacing w:w="15" w:type="dxa"/>
        </w:trPr>
        <w:tc>
          <w:tcPr>
            <w:tcW w:w="0" w:type="auto"/>
            <w:vAlign w:val="center"/>
            <w:hideMark/>
          </w:tcPr>
          <w:p w14:paraId="627EA0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productor no sabe quién consume</w:t>
            </w:r>
          </w:p>
        </w:tc>
        <w:tc>
          <w:tcPr>
            <w:tcW w:w="0" w:type="auto"/>
            <w:vAlign w:val="center"/>
            <w:hideMark/>
          </w:tcPr>
          <w:p w14:paraId="2EF296A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obligatorio de suscripción en el catálogo, contrastado con la telemetría de los grupos de consumo</w:t>
            </w:r>
          </w:p>
        </w:tc>
      </w:tr>
      <w:tr w:rsidR="000444D1" w:rsidRPr="000444D1" w14:paraId="61C0CFD3" w14:textId="77777777">
        <w:trPr>
          <w:tblCellSpacing w:w="15" w:type="dxa"/>
        </w:trPr>
        <w:tc>
          <w:tcPr>
            <w:tcW w:w="0" w:type="auto"/>
            <w:vAlign w:val="center"/>
            <w:hideMark/>
          </w:tcPr>
          <w:p w14:paraId="6FE67D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cambio incompatible pasa desapercibido</w:t>
            </w:r>
          </w:p>
        </w:tc>
        <w:tc>
          <w:tcPr>
            <w:tcW w:w="0" w:type="auto"/>
            <w:vAlign w:val="center"/>
            <w:hideMark/>
          </w:tcPr>
          <w:p w14:paraId="785B4D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esquemas con validación de compatibilidad en la publicación</w:t>
            </w:r>
          </w:p>
        </w:tc>
      </w:tr>
      <w:tr w:rsidR="000444D1" w:rsidRPr="000444D1" w14:paraId="03B5C461" w14:textId="77777777">
        <w:trPr>
          <w:tblCellSpacing w:w="15" w:type="dxa"/>
        </w:trPr>
        <w:tc>
          <w:tcPr>
            <w:tcW w:w="0" w:type="auto"/>
            <w:vAlign w:val="center"/>
            <w:hideMark/>
          </w:tcPr>
          <w:p w14:paraId="3CF1BEF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evento se convierte en interfaz de facto de datos internos</w:t>
            </w:r>
          </w:p>
        </w:tc>
        <w:tc>
          <w:tcPr>
            <w:tcW w:w="0" w:type="auto"/>
            <w:vAlign w:val="center"/>
            <w:hideMark/>
          </w:tcPr>
          <w:p w14:paraId="213830D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Revisión de pares del payload: los eventos transportan hechos de negocio, no volcados del modelo interno</w:t>
            </w:r>
          </w:p>
        </w:tc>
      </w:tr>
      <w:tr w:rsidR="000444D1" w:rsidRPr="000444D1" w14:paraId="58883467" w14:textId="77777777">
        <w:trPr>
          <w:tblCellSpacing w:w="15" w:type="dxa"/>
        </w:trPr>
        <w:tc>
          <w:tcPr>
            <w:tcW w:w="0" w:type="auto"/>
            <w:vAlign w:val="center"/>
            <w:hideMark/>
          </w:tcPr>
          <w:p w14:paraId="6F3B79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Proliferación de tipos de evento</w:t>
            </w:r>
          </w:p>
        </w:tc>
        <w:tc>
          <w:tcPr>
            <w:tcW w:w="0" w:type="auto"/>
            <w:vAlign w:val="center"/>
            <w:hideMark/>
          </w:tcPr>
          <w:p w14:paraId="57BBBE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Alta en el catálogo con justificación; los eventos son contrato público del dominio</w:t>
            </w:r>
          </w:p>
        </w:tc>
      </w:tr>
    </w:tbl>
    <w:p w14:paraId="7C4F2F9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tercera fila es la degradación más común y la más difícil de revertir. Un evento que expone la estructura interna del productor crea un acoplamiento invisible: el productor no puede cambiar su modelo sin romper a consumidores que ni siquiera conoce.</w:t>
      </w:r>
    </w:p>
    <w:p w14:paraId="04E12AA5"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16.10 Órganos y cadencia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2168"/>
        <w:gridCol w:w="3381"/>
        <w:gridCol w:w="1211"/>
      </w:tblGrid>
      <w:tr w:rsidR="000444D1" w:rsidRPr="000444D1" w14:paraId="2DC22FD9" w14:textId="77777777">
        <w:trPr>
          <w:tblHeader/>
          <w:tblCellSpacing w:w="15" w:type="dxa"/>
        </w:trPr>
        <w:tc>
          <w:tcPr>
            <w:tcW w:w="0" w:type="auto"/>
            <w:vAlign w:val="center"/>
            <w:hideMark/>
          </w:tcPr>
          <w:p w14:paraId="4D2DA26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Instancia</w:t>
            </w:r>
          </w:p>
        </w:tc>
        <w:tc>
          <w:tcPr>
            <w:tcW w:w="0" w:type="auto"/>
            <w:vAlign w:val="center"/>
            <w:hideMark/>
          </w:tcPr>
          <w:p w14:paraId="6ABB440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Composición</w:t>
            </w:r>
          </w:p>
        </w:tc>
        <w:tc>
          <w:tcPr>
            <w:tcW w:w="0" w:type="auto"/>
            <w:vAlign w:val="center"/>
            <w:hideMark/>
          </w:tcPr>
          <w:p w14:paraId="2D2E4DE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646FBD6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Cadencia</w:t>
            </w:r>
          </w:p>
        </w:tc>
      </w:tr>
      <w:tr w:rsidR="000444D1" w:rsidRPr="000444D1" w14:paraId="0B088934" w14:textId="77777777">
        <w:trPr>
          <w:tblCellSpacing w:w="15" w:type="dxa"/>
        </w:trPr>
        <w:tc>
          <w:tcPr>
            <w:tcW w:w="0" w:type="auto"/>
            <w:vAlign w:val="center"/>
            <w:hideMark/>
          </w:tcPr>
          <w:p w14:paraId="0DB275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Revisión de pares de contrato</w:t>
            </w:r>
          </w:p>
        </w:tc>
        <w:tc>
          <w:tcPr>
            <w:tcW w:w="0" w:type="auto"/>
            <w:vAlign w:val="center"/>
            <w:hideMark/>
          </w:tcPr>
          <w:p w14:paraId="124C7ED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ingeniero de otro dominio</w:t>
            </w:r>
          </w:p>
        </w:tc>
        <w:tc>
          <w:tcPr>
            <w:tcW w:w="0" w:type="auto"/>
            <w:vAlign w:val="center"/>
            <w:hideMark/>
          </w:tcPr>
          <w:p w14:paraId="1BAA0D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contrato nuevo o cambio de versión mayor</w:t>
            </w:r>
          </w:p>
        </w:tc>
        <w:tc>
          <w:tcPr>
            <w:tcW w:w="0" w:type="auto"/>
            <w:vAlign w:val="center"/>
            <w:hideMark/>
          </w:tcPr>
          <w:p w14:paraId="65D72D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Por cambio</w:t>
            </w:r>
          </w:p>
        </w:tc>
      </w:tr>
      <w:tr w:rsidR="000444D1" w:rsidRPr="000444D1" w14:paraId="1E3418F5" w14:textId="77777777">
        <w:trPr>
          <w:tblCellSpacing w:w="15" w:type="dxa"/>
        </w:trPr>
        <w:tc>
          <w:tcPr>
            <w:tcW w:w="0" w:type="auto"/>
            <w:vAlign w:val="center"/>
            <w:hideMark/>
          </w:tcPr>
          <w:p w14:paraId="61844F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Grupo de arquitectura</w:t>
            </w:r>
          </w:p>
        </w:tc>
        <w:tc>
          <w:tcPr>
            <w:tcW w:w="0" w:type="auto"/>
            <w:vAlign w:val="center"/>
            <w:hideMark/>
          </w:tcPr>
          <w:p w14:paraId="2BF0A9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Representantes de cada dominio</w:t>
            </w:r>
          </w:p>
        </w:tc>
        <w:tc>
          <w:tcPr>
            <w:tcW w:w="0" w:type="auto"/>
            <w:vAlign w:val="center"/>
            <w:hideMark/>
          </w:tcPr>
          <w:p w14:paraId="4AA7AD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Estándares transversales, creación de servicios, ADR de alcance general</w:t>
            </w:r>
          </w:p>
        </w:tc>
        <w:tc>
          <w:tcPr>
            <w:tcW w:w="0" w:type="auto"/>
            <w:vAlign w:val="center"/>
            <w:hideMark/>
          </w:tcPr>
          <w:p w14:paraId="1DC15D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Quincenal</w:t>
            </w:r>
          </w:p>
        </w:tc>
      </w:tr>
      <w:tr w:rsidR="000444D1" w:rsidRPr="000444D1" w14:paraId="260C079E" w14:textId="77777777">
        <w:trPr>
          <w:tblCellSpacing w:w="15" w:type="dxa"/>
        </w:trPr>
        <w:tc>
          <w:tcPr>
            <w:tcW w:w="0" w:type="auto"/>
            <w:vAlign w:val="center"/>
            <w:hideMark/>
          </w:tcPr>
          <w:p w14:paraId="4FAE37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Revisión de excepciones</w:t>
            </w:r>
          </w:p>
        </w:tc>
        <w:tc>
          <w:tcPr>
            <w:tcW w:w="0" w:type="auto"/>
            <w:vAlign w:val="center"/>
            <w:hideMark/>
          </w:tcPr>
          <w:p w14:paraId="699B15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Grupo de arquitectura y seguridad</w:t>
            </w:r>
          </w:p>
        </w:tc>
        <w:tc>
          <w:tcPr>
            <w:tcW w:w="0" w:type="auto"/>
            <w:vAlign w:val="center"/>
            <w:hideMark/>
          </w:tcPr>
          <w:p w14:paraId="7D9E7D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Desviaciones de la plantilla o de los estándares</w:t>
            </w:r>
          </w:p>
        </w:tc>
        <w:tc>
          <w:tcPr>
            <w:tcW w:w="0" w:type="auto"/>
            <w:vAlign w:val="center"/>
            <w:hideMark/>
          </w:tcPr>
          <w:p w14:paraId="4441A96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Bajo demanda</w:t>
            </w:r>
          </w:p>
        </w:tc>
      </w:tr>
      <w:tr w:rsidR="000444D1" w:rsidRPr="000444D1" w14:paraId="2188802F" w14:textId="77777777">
        <w:trPr>
          <w:tblCellSpacing w:w="15" w:type="dxa"/>
        </w:trPr>
        <w:tc>
          <w:tcPr>
            <w:tcW w:w="0" w:type="auto"/>
            <w:vAlign w:val="center"/>
            <w:hideMark/>
          </w:tcPr>
          <w:p w14:paraId="368D0B4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Revisión de la matriz de degradación y de los ADR</w:t>
            </w:r>
          </w:p>
        </w:tc>
        <w:tc>
          <w:tcPr>
            <w:tcW w:w="0" w:type="auto"/>
            <w:vAlign w:val="center"/>
            <w:hideMark/>
          </w:tcPr>
          <w:p w14:paraId="5BF62B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Grupo de arquitectura</w:t>
            </w:r>
          </w:p>
        </w:tc>
        <w:tc>
          <w:tcPr>
            <w:tcW w:w="0" w:type="auto"/>
            <w:vAlign w:val="center"/>
            <w:hideMark/>
          </w:tcPr>
          <w:p w14:paraId="0DFD6FF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Vigencia frente al sistema real</w:t>
            </w:r>
          </w:p>
        </w:tc>
        <w:tc>
          <w:tcPr>
            <w:tcW w:w="0" w:type="auto"/>
            <w:vAlign w:val="center"/>
            <w:hideMark/>
          </w:tcPr>
          <w:p w14:paraId="4EBC1BE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Trimestral</w:t>
            </w:r>
          </w:p>
        </w:tc>
      </w:tr>
    </w:tbl>
    <w:p w14:paraId="0CAA552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Las decisiones del grupo de arquitectura se registran como ADR con el formato de la sección 4. Una decisión sin registro escrito se reabre cada seis meses, y su contexto original se pierde.</w:t>
      </w:r>
    </w:p>
    <w:p w14:paraId="7D9291D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16.11 Indicadores del gobierno</w:t>
      </w:r>
    </w:p>
    <w:p w14:paraId="7AF1AD8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modelo de gobierno también se mide. Sin indicadores, se degrada en un conjunto de normas que todos citan y nadie verifica.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3"/>
        <w:gridCol w:w="4337"/>
      </w:tblGrid>
      <w:tr w:rsidR="000444D1" w:rsidRPr="000444D1" w14:paraId="44A9A10C" w14:textId="77777777">
        <w:trPr>
          <w:tblHeader/>
          <w:tblCellSpacing w:w="15" w:type="dxa"/>
        </w:trPr>
        <w:tc>
          <w:tcPr>
            <w:tcW w:w="0" w:type="auto"/>
            <w:vAlign w:val="center"/>
            <w:hideMark/>
          </w:tcPr>
          <w:p w14:paraId="249C39A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Indicador</w:t>
            </w:r>
          </w:p>
        </w:tc>
        <w:tc>
          <w:tcPr>
            <w:tcW w:w="0" w:type="auto"/>
            <w:vAlign w:val="center"/>
            <w:hideMark/>
          </w:tcPr>
          <w:p w14:paraId="185D0C3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Qué revela</w:t>
            </w:r>
          </w:p>
        </w:tc>
      </w:tr>
      <w:tr w:rsidR="000444D1" w:rsidRPr="000444D1" w14:paraId="68864451" w14:textId="77777777">
        <w:trPr>
          <w:tblCellSpacing w:w="15" w:type="dxa"/>
        </w:trPr>
        <w:tc>
          <w:tcPr>
            <w:tcW w:w="0" w:type="auto"/>
            <w:vAlign w:val="center"/>
            <w:hideMark/>
          </w:tcPr>
          <w:p w14:paraId="3A941C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Proporción de servicios con propietario, fila de degradación y contrato publicado</w:t>
            </w:r>
          </w:p>
        </w:tc>
        <w:tc>
          <w:tcPr>
            <w:tcW w:w="0" w:type="auto"/>
            <w:vAlign w:val="center"/>
            <w:hideMark/>
          </w:tcPr>
          <w:p w14:paraId="5F1FF85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Cobertura real del modelo</w:t>
            </w:r>
          </w:p>
        </w:tc>
      </w:tr>
      <w:tr w:rsidR="000444D1" w:rsidRPr="000444D1" w14:paraId="6FA98544" w14:textId="77777777">
        <w:trPr>
          <w:tblCellSpacing w:w="15" w:type="dxa"/>
        </w:trPr>
        <w:tc>
          <w:tcPr>
            <w:tcW w:w="0" w:type="auto"/>
            <w:vAlign w:val="center"/>
            <w:hideMark/>
          </w:tcPr>
          <w:p w14:paraId="01F7D2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Proporción de contratos con pruebas dirigidas por el consumidor</w:t>
            </w:r>
          </w:p>
        </w:tc>
        <w:tc>
          <w:tcPr>
            <w:tcW w:w="0" w:type="auto"/>
            <w:vAlign w:val="center"/>
            <w:hideMark/>
          </w:tcPr>
          <w:p w14:paraId="1B4636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Riesgo de ruptura no detectada</w:t>
            </w:r>
          </w:p>
        </w:tc>
      </w:tr>
      <w:tr w:rsidR="000444D1" w:rsidRPr="000444D1" w14:paraId="3BDEB952" w14:textId="77777777">
        <w:trPr>
          <w:tblCellSpacing w:w="15" w:type="dxa"/>
        </w:trPr>
        <w:tc>
          <w:tcPr>
            <w:tcW w:w="0" w:type="auto"/>
            <w:vAlign w:val="center"/>
            <w:hideMark/>
          </w:tcPr>
          <w:p w14:paraId="556A71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Antigüedad media de las versiones en deprecación</w:t>
            </w:r>
          </w:p>
        </w:tc>
        <w:tc>
          <w:tcPr>
            <w:tcW w:w="0" w:type="auto"/>
            <w:vAlign w:val="center"/>
            <w:hideMark/>
          </w:tcPr>
          <w:p w14:paraId="6FA22E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las migraciones avanzan o se acumulan</w:t>
            </w:r>
          </w:p>
        </w:tc>
      </w:tr>
      <w:tr w:rsidR="000444D1" w:rsidRPr="000444D1" w14:paraId="1EF6EDB7" w14:textId="77777777">
        <w:trPr>
          <w:tblCellSpacing w:w="15" w:type="dxa"/>
        </w:trPr>
        <w:tc>
          <w:tcPr>
            <w:tcW w:w="0" w:type="auto"/>
            <w:vAlign w:val="center"/>
            <w:hideMark/>
          </w:tcPr>
          <w:p w14:paraId="6A7849F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Número de eventos sin consumidor registrado</w:t>
            </w:r>
          </w:p>
        </w:tc>
        <w:tc>
          <w:tcPr>
            <w:tcW w:w="0" w:type="auto"/>
            <w:vAlign w:val="center"/>
            <w:hideMark/>
          </w:tcPr>
          <w:p w14:paraId="23B983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Contratos publicados que nadie usa, o registro incompleto</w:t>
            </w:r>
          </w:p>
        </w:tc>
      </w:tr>
      <w:tr w:rsidR="000444D1" w:rsidRPr="000444D1" w14:paraId="7FFF0464" w14:textId="77777777">
        <w:trPr>
          <w:tblCellSpacing w:w="15" w:type="dxa"/>
        </w:trPr>
        <w:tc>
          <w:tcPr>
            <w:tcW w:w="0" w:type="auto"/>
            <w:vAlign w:val="center"/>
            <w:hideMark/>
          </w:tcPr>
          <w:p w14:paraId="020A57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Tiempo desde la propuesta de una API hasta su publicación</w:t>
            </w:r>
          </w:p>
        </w:tc>
        <w:tc>
          <w:tcPr>
            <w:tcW w:w="0" w:type="auto"/>
            <w:vAlign w:val="center"/>
            <w:hideMark/>
          </w:tcPr>
          <w:p w14:paraId="61B88C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Si el gobierno se ha convertido en un cuello de botella</w:t>
            </w:r>
          </w:p>
        </w:tc>
      </w:tr>
      <w:tr w:rsidR="000444D1" w:rsidRPr="000444D1" w14:paraId="54CC65D0" w14:textId="77777777">
        <w:trPr>
          <w:tblCellSpacing w:w="15" w:type="dxa"/>
        </w:trPr>
        <w:tc>
          <w:tcPr>
            <w:tcW w:w="0" w:type="auto"/>
            <w:vAlign w:val="center"/>
            <w:hideMark/>
          </w:tcPr>
          <w:p w14:paraId="755878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Excepciones concedidas por trimestre</w:t>
            </w:r>
          </w:p>
        </w:tc>
        <w:tc>
          <w:tcPr>
            <w:tcW w:w="0" w:type="auto"/>
            <w:vAlign w:val="center"/>
            <w:hideMark/>
          </w:tcPr>
          <w:p w14:paraId="5E1B34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los estándares son aplicables o se incumplen sistemáticamente</w:t>
            </w:r>
          </w:p>
        </w:tc>
      </w:tr>
    </w:tbl>
    <w:p w14:paraId="406AB43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dos últimos indicadores vigilan al propio modelo de gobierno. Un tiempo de publicación creciente o un número alto de excepciones no indican indisciplina de los equipos: indican que la norma no se ajusta a la realidad del trabajo y debe revisarse.</w:t>
      </w:r>
    </w:p>
    <w:p w14:paraId="589102D7"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058CB13E">
          <v:rect id="Horizontal Line 563"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E26CFEA"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17. Plan de migración gradual</w:t>
      </w:r>
    </w:p>
    <w:p w14:paraId="42032DB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plan desarrolla el ADR-001. Su objetivo declarado no es llegar rápido al core digital, sino </w:t>
      </w:r>
      <w:r w:rsidRPr="000444D1">
        <w:rPr>
          <w:rFonts w:ascii="Times New Roman" w:eastAsia="Times New Roman" w:hAnsi="Times New Roman" w:cs="Times New Roman"/>
          <w:b/>
          <w:bCs/>
          <w:kern w:val="0"/>
          <w14:ligatures w14:val="none"/>
        </w:rPr>
        <w:t>que ninguna fase pueda causar un incidente que afecte a saldos de clientes sin posibilidad de retorno</w:t>
      </w:r>
      <w:r w:rsidRPr="000444D1">
        <w:rPr>
          <w:rFonts w:ascii="Times New Roman" w:eastAsia="Times New Roman" w:hAnsi="Times New Roman" w:cs="Times New Roman"/>
          <w:kern w:val="0"/>
          <w14:ligatures w14:val="none"/>
        </w:rPr>
        <w:t>. Todo lo demás está subordinado a eso.</w:t>
      </w:r>
    </w:p>
    <w:p w14:paraId="0EFE4417"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17.1 Principios del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
        <w:gridCol w:w="4399"/>
        <w:gridCol w:w="4552"/>
      </w:tblGrid>
      <w:tr w:rsidR="000444D1" w:rsidRPr="000444D1" w14:paraId="1B575B11" w14:textId="77777777">
        <w:trPr>
          <w:tblHeader/>
          <w:tblCellSpacing w:w="15" w:type="dxa"/>
        </w:trPr>
        <w:tc>
          <w:tcPr>
            <w:tcW w:w="0" w:type="auto"/>
            <w:vAlign w:val="center"/>
            <w:hideMark/>
          </w:tcPr>
          <w:p w14:paraId="4B86E21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109BC3D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Principio</w:t>
            </w:r>
          </w:p>
        </w:tc>
        <w:tc>
          <w:tcPr>
            <w:tcW w:w="0" w:type="auto"/>
            <w:vAlign w:val="center"/>
            <w:hideMark/>
          </w:tcPr>
          <w:p w14:paraId="42B4561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Consecuencia práctica</w:t>
            </w:r>
          </w:p>
        </w:tc>
      </w:tr>
      <w:tr w:rsidR="000444D1" w:rsidRPr="000444D1" w14:paraId="71751FEB" w14:textId="77777777">
        <w:trPr>
          <w:tblCellSpacing w:w="15" w:type="dxa"/>
        </w:trPr>
        <w:tc>
          <w:tcPr>
            <w:tcW w:w="0" w:type="auto"/>
            <w:vAlign w:val="center"/>
            <w:hideMark/>
          </w:tcPr>
          <w:p w14:paraId="014D63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M1</w:t>
            </w:r>
          </w:p>
        </w:tc>
        <w:tc>
          <w:tcPr>
            <w:tcW w:w="0" w:type="auto"/>
            <w:vAlign w:val="center"/>
            <w:hideMark/>
          </w:tcPr>
          <w:p w14:paraId="10E2CA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Ninguna fase migra saldos y cambia comportamiento a la vez</w:t>
            </w:r>
          </w:p>
        </w:tc>
        <w:tc>
          <w:tcPr>
            <w:tcW w:w="0" w:type="auto"/>
            <w:vAlign w:val="center"/>
            <w:hideMark/>
          </w:tcPr>
          <w:p w14:paraId="678EEF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separa el traslado de datos del cambio de lógica; si algo falla, se sabe qué lo causó</w:t>
            </w:r>
          </w:p>
        </w:tc>
      </w:tr>
      <w:tr w:rsidR="000444D1" w:rsidRPr="000444D1" w14:paraId="6331F42B" w14:textId="77777777">
        <w:trPr>
          <w:tblCellSpacing w:w="15" w:type="dxa"/>
        </w:trPr>
        <w:tc>
          <w:tcPr>
            <w:tcW w:w="0" w:type="auto"/>
            <w:vAlign w:val="center"/>
            <w:hideMark/>
          </w:tcPr>
          <w:p w14:paraId="355675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M2</w:t>
            </w:r>
          </w:p>
        </w:tc>
        <w:tc>
          <w:tcPr>
            <w:tcW w:w="0" w:type="auto"/>
            <w:vAlign w:val="center"/>
            <w:hideMark/>
          </w:tcPr>
          <w:p w14:paraId="50DFF4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Toda fase tiene punto de retorno definido antes de comenzar</w:t>
            </w:r>
          </w:p>
        </w:tc>
        <w:tc>
          <w:tcPr>
            <w:tcW w:w="0" w:type="auto"/>
            <w:vAlign w:val="center"/>
            <w:hideMark/>
          </w:tcPr>
          <w:p w14:paraId="3AA83C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fase sin retorno posible no se aprueba</w:t>
            </w:r>
          </w:p>
        </w:tc>
      </w:tr>
      <w:tr w:rsidR="000444D1" w:rsidRPr="000444D1" w14:paraId="33271001" w14:textId="77777777">
        <w:trPr>
          <w:tblCellSpacing w:w="15" w:type="dxa"/>
        </w:trPr>
        <w:tc>
          <w:tcPr>
            <w:tcW w:w="0" w:type="auto"/>
            <w:vAlign w:val="center"/>
            <w:hideMark/>
          </w:tcPr>
          <w:p w14:paraId="0E70F2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M3</w:t>
            </w:r>
          </w:p>
        </w:tc>
        <w:tc>
          <w:tcPr>
            <w:tcW w:w="0" w:type="auto"/>
            <w:vAlign w:val="center"/>
            <w:hideMark/>
          </w:tcPr>
          <w:p w14:paraId="1E03EF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core tradicional sigue siendo la verdad hasta que se demuestre paridad</w:t>
            </w:r>
          </w:p>
        </w:tc>
        <w:tc>
          <w:tcPr>
            <w:tcW w:w="0" w:type="auto"/>
            <w:vAlign w:val="center"/>
            <w:hideMark/>
          </w:tcPr>
          <w:p w14:paraId="17F528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comparación precede a la sustitución, siempre</w:t>
            </w:r>
          </w:p>
        </w:tc>
      </w:tr>
      <w:tr w:rsidR="000444D1" w:rsidRPr="000444D1" w14:paraId="4740C044" w14:textId="77777777">
        <w:trPr>
          <w:tblCellSpacing w:w="15" w:type="dxa"/>
        </w:trPr>
        <w:tc>
          <w:tcPr>
            <w:tcW w:w="0" w:type="auto"/>
            <w:vAlign w:val="center"/>
            <w:hideMark/>
          </w:tcPr>
          <w:p w14:paraId="7C9DB9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M4</w:t>
            </w:r>
          </w:p>
        </w:tc>
        <w:tc>
          <w:tcPr>
            <w:tcW w:w="0" w:type="auto"/>
            <w:vAlign w:val="center"/>
            <w:hideMark/>
          </w:tcPr>
          <w:p w14:paraId="49F372F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Se despliega primero lo que no cambia nada</w:t>
            </w:r>
          </w:p>
        </w:tc>
        <w:tc>
          <w:tcPr>
            <w:tcW w:w="0" w:type="auto"/>
            <w:vAlign w:val="center"/>
            <w:hideMark/>
          </w:tcPr>
          <w:p w14:paraId="1B8E90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capa de integración se construye y se valida antes de que sustituya a nada</w:t>
            </w:r>
          </w:p>
        </w:tc>
      </w:tr>
      <w:tr w:rsidR="000444D1" w:rsidRPr="000444D1" w14:paraId="6758F26A" w14:textId="77777777">
        <w:trPr>
          <w:tblCellSpacing w:w="15" w:type="dxa"/>
        </w:trPr>
        <w:tc>
          <w:tcPr>
            <w:tcW w:w="0" w:type="auto"/>
            <w:vAlign w:val="center"/>
            <w:hideMark/>
          </w:tcPr>
          <w:p w14:paraId="1A1CC2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M5</w:t>
            </w:r>
          </w:p>
        </w:tc>
        <w:tc>
          <w:tcPr>
            <w:tcW w:w="0" w:type="auto"/>
            <w:vAlign w:val="center"/>
            <w:hideMark/>
          </w:tcPr>
          <w:p w14:paraId="5C5C96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Un producto se migra completo o no se migra</w:t>
            </w:r>
          </w:p>
        </w:tc>
        <w:tc>
          <w:tcPr>
            <w:tcW w:w="0" w:type="auto"/>
            <w:vAlign w:val="center"/>
            <w:hideMark/>
          </w:tcPr>
          <w:p w14:paraId="66F886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Evita el estado intermedio donde una misma cuenta existe en dos cores</w:t>
            </w:r>
          </w:p>
        </w:tc>
      </w:tr>
      <w:tr w:rsidR="000444D1" w:rsidRPr="000444D1" w14:paraId="3EB0BC1D" w14:textId="77777777">
        <w:trPr>
          <w:tblCellSpacing w:w="15" w:type="dxa"/>
        </w:trPr>
        <w:tc>
          <w:tcPr>
            <w:tcW w:w="0" w:type="auto"/>
            <w:vAlign w:val="center"/>
            <w:hideMark/>
          </w:tcPr>
          <w:p w14:paraId="5A58BB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M6</w:t>
            </w:r>
          </w:p>
        </w:tc>
        <w:tc>
          <w:tcPr>
            <w:tcW w:w="0" w:type="auto"/>
            <w:vAlign w:val="center"/>
            <w:hideMark/>
          </w:tcPr>
          <w:p w14:paraId="191751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avance lo determinan indicadores, no el calendario</w:t>
            </w:r>
          </w:p>
        </w:tc>
        <w:tc>
          <w:tcPr>
            <w:tcW w:w="0" w:type="auto"/>
            <w:vAlign w:val="center"/>
            <w:hideMark/>
          </w:tcPr>
          <w:p w14:paraId="2EA9AF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criterios de salida de 17.3 son condiciones, no objetivos deseables</w:t>
            </w:r>
          </w:p>
        </w:tc>
      </w:tr>
    </w:tbl>
    <w:p w14:paraId="1D2D7BA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M4 es el principio que más reduce el riesgo operativo.</w:t>
      </w:r>
      <w:r w:rsidRPr="000444D1">
        <w:rPr>
          <w:rFonts w:ascii="Times New Roman" w:eastAsia="Times New Roman" w:hAnsi="Times New Roman" w:cs="Times New Roman"/>
          <w:kern w:val="0"/>
          <w14:ligatures w14:val="none"/>
        </w:rPr>
        <w:t xml:space="preserve"> La primera mitad del programa no sustituye nada: construye la capa de integración en paralelo al sistema existente y la valida comparándola contra él. Cuando llega el momento de conmutar, la capa lleva meses procesando el tráfico real en modo observación. La alternativa —construir y conmutar en el mismo paso— concentra todo el riesgo en un único evento.</w:t>
      </w:r>
    </w:p>
    <w:p w14:paraId="74EE7F3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17.2 Modos de transición de un producto</w:t>
      </w:r>
    </w:p>
    <w:p w14:paraId="7C92C22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todos los productos requieren mover datos. La distinción reduce sustancialmente el riesgo del programa y determina el orden de las fases.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2440"/>
        <w:gridCol w:w="3473"/>
        <w:gridCol w:w="1946"/>
      </w:tblGrid>
      <w:tr w:rsidR="000444D1" w:rsidRPr="000444D1" w14:paraId="5464019F" w14:textId="77777777">
        <w:trPr>
          <w:tblHeader/>
          <w:tblCellSpacing w:w="15" w:type="dxa"/>
        </w:trPr>
        <w:tc>
          <w:tcPr>
            <w:tcW w:w="0" w:type="auto"/>
            <w:vAlign w:val="center"/>
            <w:hideMark/>
          </w:tcPr>
          <w:p w14:paraId="25306C4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Modo</w:t>
            </w:r>
          </w:p>
        </w:tc>
        <w:tc>
          <w:tcPr>
            <w:tcW w:w="0" w:type="auto"/>
            <w:vAlign w:val="center"/>
            <w:hideMark/>
          </w:tcPr>
          <w:p w14:paraId="4DB5B1B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Aplicable a</w:t>
            </w:r>
          </w:p>
        </w:tc>
        <w:tc>
          <w:tcPr>
            <w:tcW w:w="0" w:type="auto"/>
            <w:vAlign w:val="center"/>
            <w:hideMark/>
          </w:tcPr>
          <w:p w14:paraId="4E70550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Mecánica</w:t>
            </w:r>
          </w:p>
        </w:tc>
        <w:tc>
          <w:tcPr>
            <w:tcW w:w="0" w:type="auto"/>
            <w:vAlign w:val="center"/>
            <w:hideMark/>
          </w:tcPr>
          <w:p w14:paraId="467A142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Riesgo sobre saldos</w:t>
            </w:r>
          </w:p>
        </w:tc>
      </w:tr>
      <w:tr w:rsidR="000444D1" w:rsidRPr="000444D1" w14:paraId="73D6AF5A" w14:textId="77777777">
        <w:trPr>
          <w:tblCellSpacing w:w="15" w:type="dxa"/>
        </w:trPr>
        <w:tc>
          <w:tcPr>
            <w:tcW w:w="0" w:type="auto"/>
            <w:vAlign w:val="center"/>
            <w:hideMark/>
          </w:tcPr>
          <w:p w14:paraId="1B9F08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Nacimiento en digital</w:t>
            </w:r>
          </w:p>
        </w:tc>
        <w:tc>
          <w:tcPr>
            <w:tcW w:w="0" w:type="auto"/>
            <w:vAlign w:val="center"/>
            <w:hideMark/>
          </w:tcPr>
          <w:p w14:paraId="3F104B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Productos nuevos que no existen hoy</w:t>
            </w:r>
          </w:p>
        </w:tc>
        <w:tc>
          <w:tcPr>
            <w:tcW w:w="0" w:type="auto"/>
            <w:vAlign w:val="center"/>
            <w:hideMark/>
          </w:tcPr>
          <w:p w14:paraId="6F2D29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originan directamente en el core digital</w:t>
            </w:r>
          </w:p>
        </w:tc>
        <w:tc>
          <w:tcPr>
            <w:tcW w:w="0" w:type="auto"/>
            <w:vAlign w:val="center"/>
            <w:hideMark/>
          </w:tcPr>
          <w:p w14:paraId="328D5A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Ninguno: no hay dato preexistente</w:t>
            </w:r>
          </w:p>
        </w:tc>
      </w:tr>
      <w:tr w:rsidR="000444D1" w:rsidRPr="000444D1" w14:paraId="176DFB9D" w14:textId="77777777">
        <w:trPr>
          <w:tblCellSpacing w:w="15" w:type="dxa"/>
        </w:trPr>
        <w:tc>
          <w:tcPr>
            <w:tcW w:w="0" w:type="auto"/>
            <w:vAlign w:val="center"/>
            <w:hideMark/>
          </w:tcPr>
          <w:p w14:paraId="0E12066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Extinción natural</w:t>
            </w:r>
          </w:p>
        </w:tc>
        <w:tc>
          <w:tcPr>
            <w:tcW w:w="0" w:type="auto"/>
            <w:vAlign w:val="center"/>
            <w:hideMark/>
          </w:tcPr>
          <w:p w14:paraId="648BACA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Productos con vencimiento: depósitos a plazo, créditos, préstamos</w:t>
            </w:r>
          </w:p>
        </w:tc>
        <w:tc>
          <w:tcPr>
            <w:tcW w:w="0" w:type="auto"/>
            <w:vAlign w:val="center"/>
            <w:hideMark/>
          </w:tcPr>
          <w:p w14:paraId="5D6B4E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Dejan de originarse en el core tradicional; los vigentes permanecen allí hasta vencer. Los nuevos nacen en el digital</w:t>
            </w:r>
          </w:p>
        </w:tc>
        <w:tc>
          <w:tcPr>
            <w:tcW w:w="0" w:type="auto"/>
            <w:vAlign w:val="center"/>
            <w:hideMark/>
          </w:tcPr>
          <w:p w14:paraId="78A971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Ninguno: no se migra ningún saldo</w:t>
            </w:r>
          </w:p>
        </w:tc>
      </w:tr>
      <w:tr w:rsidR="000444D1" w:rsidRPr="000444D1" w14:paraId="4DB8379A" w14:textId="77777777">
        <w:trPr>
          <w:tblCellSpacing w:w="15" w:type="dxa"/>
        </w:trPr>
        <w:tc>
          <w:tcPr>
            <w:tcW w:w="0" w:type="auto"/>
            <w:vAlign w:val="center"/>
            <w:hideMark/>
          </w:tcPr>
          <w:p w14:paraId="715A63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Migración por cohorte</w:t>
            </w:r>
          </w:p>
        </w:tc>
        <w:tc>
          <w:tcPr>
            <w:tcW w:w="0" w:type="auto"/>
            <w:vAlign w:val="center"/>
            <w:hideMark/>
          </w:tcPr>
          <w:p w14:paraId="33B422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Productos sin vencimiento: cuentas de ahorro y corriente</w:t>
            </w:r>
          </w:p>
        </w:tc>
        <w:tc>
          <w:tcPr>
            <w:tcW w:w="0" w:type="auto"/>
            <w:vAlign w:val="center"/>
            <w:hideMark/>
          </w:tcPr>
          <w:p w14:paraId="208CAC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Traslado de contrato y saldo con ventana operativa acotada, por grupos de clientes</w:t>
            </w:r>
          </w:p>
        </w:tc>
        <w:tc>
          <w:tcPr>
            <w:tcW w:w="0" w:type="auto"/>
            <w:vAlign w:val="center"/>
            <w:hideMark/>
          </w:tcPr>
          <w:p w14:paraId="4FB0D3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 exige el procedimiento de 17.5</w:t>
            </w:r>
          </w:p>
        </w:tc>
      </w:tr>
    </w:tbl>
    <w:p w14:paraId="2F39FA6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consecuencia es que </w:t>
      </w:r>
      <w:r w:rsidRPr="000444D1">
        <w:rPr>
          <w:rFonts w:ascii="Times New Roman" w:eastAsia="Times New Roman" w:hAnsi="Times New Roman" w:cs="Times New Roman"/>
          <w:b/>
          <w:bCs/>
          <w:kern w:val="0"/>
          <w14:ligatures w14:val="none"/>
        </w:rPr>
        <w:t>la mayor parte del catálogo no requiere migrar saldos</w:t>
      </w:r>
      <w:r w:rsidRPr="000444D1">
        <w:rPr>
          <w:rFonts w:ascii="Times New Roman" w:eastAsia="Times New Roman" w:hAnsi="Times New Roman" w:cs="Times New Roman"/>
          <w:kern w:val="0"/>
          <w14:ligatures w14:val="none"/>
        </w:rPr>
        <w:t>. Solo las cuentas sin vencimiento lo exigen, y son las últimas del plan. Un programa que empieza migrando cuentas corrientes asume su mayor riesgo cuando menos experiencia operativa tiene; este empieza por donde el riesgo es estructuralmente nulo.</w:t>
      </w:r>
    </w:p>
    <w:p w14:paraId="5E47BA4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17.3 Fases</w:t>
      </w:r>
    </w:p>
    <w:p w14:paraId="00C2EC00"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0 — Fundaciones y observabilidad (no sustituye nada)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7565"/>
      </w:tblGrid>
      <w:tr w:rsidR="000444D1" w:rsidRPr="000444D1" w14:paraId="54698990" w14:textId="77777777">
        <w:trPr>
          <w:tblHeader/>
          <w:tblCellSpacing w:w="15" w:type="dxa"/>
        </w:trPr>
        <w:tc>
          <w:tcPr>
            <w:tcW w:w="0" w:type="auto"/>
            <w:vAlign w:val="center"/>
            <w:hideMark/>
          </w:tcPr>
          <w:p w14:paraId="50E46F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6689ED82"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18A3A45A" w14:textId="77777777">
        <w:trPr>
          <w:tblCellSpacing w:w="15" w:type="dxa"/>
        </w:trPr>
        <w:tc>
          <w:tcPr>
            <w:tcW w:w="0" w:type="auto"/>
            <w:vAlign w:val="center"/>
            <w:hideMark/>
          </w:tcPr>
          <w:p w14:paraId="6FCF44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7D7F53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 CDC, bus de eventos, D1, D2, D8, gateway interno, IdP, plataforma de observabilidad</w:t>
            </w:r>
          </w:p>
        </w:tc>
      </w:tr>
      <w:tr w:rsidR="000444D1" w:rsidRPr="000444D1" w14:paraId="2F677A7C" w14:textId="77777777">
        <w:trPr>
          <w:tblCellSpacing w:w="15" w:type="dxa"/>
        </w:trPr>
        <w:tc>
          <w:tcPr>
            <w:tcW w:w="0" w:type="auto"/>
            <w:vAlign w:val="center"/>
            <w:hideMark/>
          </w:tcPr>
          <w:p w14:paraId="58E4C2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Qué cambia para el cliente</w:t>
            </w:r>
          </w:p>
        </w:tc>
        <w:tc>
          <w:tcPr>
            <w:tcW w:w="0" w:type="auto"/>
            <w:vAlign w:val="center"/>
            <w:hideMark/>
          </w:tcPr>
          <w:p w14:paraId="5AF6214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Nada</w:t>
            </w:r>
          </w:p>
        </w:tc>
      </w:tr>
      <w:tr w:rsidR="000444D1" w:rsidRPr="000444D1" w14:paraId="3FEE905C" w14:textId="77777777">
        <w:trPr>
          <w:tblCellSpacing w:w="15" w:type="dxa"/>
        </w:trPr>
        <w:tc>
          <w:tcPr>
            <w:tcW w:w="0" w:type="auto"/>
            <w:vAlign w:val="center"/>
            <w:hideMark/>
          </w:tcPr>
          <w:p w14:paraId="2FD2AA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Valor entregado</w:t>
            </w:r>
          </w:p>
        </w:tc>
        <w:tc>
          <w:tcPr>
            <w:tcW w:w="0" w:type="auto"/>
            <w:vAlign w:val="center"/>
            <w:hideMark/>
          </w:tcPr>
          <w:p w14:paraId="3FEE9C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Por primera vez existe visibilidad unificada de lo que ocurre en el core, incluidas las operaciones presenciales</w:t>
            </w:r>
          </w:p>
        </w:tc>
      </w:tr>
      <w:tr w:rsidR="000444D1" w:rsidRPr="000444D1" w14:paraId="389221C2" w14:textId="77777777">
        <w:trPr>
          <w:tblCellSpacing w:w="15" w:type="dxa"/>
        </w:trPr>
        <w:tc>
          <w:tcPr>
            <w:tcW w:w="0" w:type="auto"/>
            <w:vAlign w:val="center"/>
            <w:hideMark/>
          </w:tcPr>
          <w:p w14:paraId="3E24EC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Criterio de salida</w:t>
            </w:r>
          </w:p>
        </w:tc>
        <w:tc>
          <w:tcPr>
            <w:tcW w:w="0" w:type="auto"/>
            <w:vAlign w:val="center"/>
            <w:hideMark/>
          </w:tcPr>
          <w:p w14:paraId="2986EF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CDC captura el 100 % de movimientos durante 30 días consecutivos; la brecha entre eventos del ACL y del CDC es explicable en su totalidad; D8 registra sin pérdidas</w:t>
            </w:r>
          </w:p>
        </w:tc>
      </w:tr>
      <w:tr w:rsidR="000444D1" w:rsidRPr="000444D1" w14:paraId="4D33CCD3" w14:textId="77777777">
        <w:trPr>
          <w:tblCellSpacing w:w="15" w:type="dxa"/>
        </w:trPr>
        <w:tc>
          <w:tcPr>
            <w:tcW w:w="0" w:type="auto"/>
            <w:vAlign w:val="center"/>
            <w:hideMark/>
          </w:tcPr>
          <w:p w14:paraId="5925E0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 de retorno</w:t>
            </w:r>
          </w:p>
        </w:tc>
        <w:tc>
          <w:tcPr>
            <w:tcW w:w="0" w:type="auto"/>
            <w:vAlign w:val="center"/>
            <w:hideMark/>
          </w:tcPr>
          <w:p w14:paraId="1D2FC8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Apagar los componentes nuevos; el sistema existente no fue modificado</w:t>
            </w:r>
          </w:p>
        </w:tc>
      </w:tr>
    </w:tbl>
    <w:p w14:paraId="5745AB45"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1 — Lecturas por la nueva capa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7510"/>
      </w:tblGrid>
      <w:tr w:rsidR="000444D1" w:rsidRPr="000444D1" w14:paraId="1D04CFB4" w14:textId="77777777">
        <w:trPr>
          <w:tblHeader/>
          <w:tblCellSpacing w:w="15" w:type="dxa"/>
        </w:trPr>
        <w:tc>
          <w:tcPr>
            <w:tcW w:w="0" w:type="auto"/>
            <w:vAlign w:val="center"/>
            <w:hideMark/>
          </w:tcPr>
          <w:p w14:paraId="26C850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6DB6E890"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705F1781" w14:textId="77777777">
        <w:trPr>
          <w:tblCellSpacing w:w="15" w:type="dxa"/>
        </w:trPr>
        <w:tc>
          <w:tcPr>
            <w:tcW w:w="0" w:type="auto"/>
            <w:vAlign w:val="center"/>
            <w:hideMark/>
          </w:tcPr>
          <w:p w14:paraId="5CA0FB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26E669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Posición consolidada, D9 Entitlements, BFF, canales apuntando a la nueva capa</w:t>
            </w:r>
          </w:p>
        </w:tc>
      </w:tr>
      <w:tr w:rsidR="000444D1" w:rsidRPr="000444D1" w14:paraId="7E2F76B8" w14:textId="77777777">
        <w:trPr>
          <w:tblCellSpacing w:w="15" w:type="dxa"/>
        </w:trPr>
        <w:tc>
          <w:tcPr>
            <w:tcW w:w="0" w:type="auto"/>
            <w:vAlign w:val="center"/>
            <w:hideMark/>
          </w:tcPr>
          <w:p w14:paraId="0B1596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Qué cambia para el cliente</w:t>
            </w:r>
          </w:p>
        </w:tc>
        <w:tc>
          <w:tcPr>
            <w:tcW w:w="0" w:type="auto"/>
            <w:vAlign w:val="center"/>
            <w:hideMark/>
          </w:tcPr>
          <w:p w14:paraId="56365A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Consultas más rápidas y disponibles durante la ventana de cierre</w:t>
            </w:r>
          </w:p>
        </w:tc>
      </w:tr>
      <w:tr w:rsidR="000444D1" w:rsidRPr="000444D1" w14:paraId="0949ABC8" w14:textId="77777777">
        <w:trPr>
          <w:tblCellSpacing w:w="15" w:type="dxa"/>
        </w:trPr>
        <w:tc>
          <w:tcPr>
            <w:tcW w:w="0" w:type="auto"/>
            <w:vAlign w:val="center"/>
            <w:hideMark/>
          </w:tcPr>
          <w:p w14:paraId="7DEA7E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Modo de validación</w:t>
            </w:r>
          </w:p>
        </w:tc>
        <w:tc>
          <w:tcPr>
            <w:tcW w:w="0" w:type="auto"/>
            <w:vAlign w:val="center"/>
            <w:hideMark/>
          </w:tcPr>
          <w:p w14:paraId="27FF54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Lectura en sombra: durante al menos 60 días D3 se compara contra el core en cada consulta, sin servir su resultado</w:t>
            </w:r>
          </w:p>
        </w:tc>
      </w:tr>
      <w:tr w:rsidR="000444D1" w:rsidRPr="000444D1" w14:paraId="5D9B1A08" w14:textId="77777777">
        <w:trPr>
          <w:tblCellSpacing w:w="15" w:type="dxa"/>
        </w:trPr>
        <w:tc>
          <w:tcPr>
            <w:tcW w:w="0" w:type="auto"/>
            <w:vAlign w:val="center"/>
            <w:hideMark/>
          </w:tcPr>
          <w:p w14:paraId="6A4FDE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Criterio de salida</w:t>
            </w:r>
          </w:p>
        </w:tc>
        <w:tc>
          <w:tcPr>
            <w:tcW w:w="0" w:type="auto"/>
            <w:vAlign w:val="center"/>
            <w:hideMark/>
          </w:tcPr>
          <w:p w14:paraId="151EE7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Paridad de saldos ≥ 99,99 % en la comparación en sombra; p95 de consulta por debajo de 500 ms; deriva diaria de reconciliación por debajo del umbral acordado</w:t>
            </w:r>
          </w:p>
        </w:tc>
      </w:tr>
      <w:tr w:rsidR="000444D1" w:rsidRPr="000444D1" w14:paraId="65C6320F" w14:textId="77777777">
        <w:trPr>
          <w:tblCellSpacing w:w="15" w:type="dxa"/>
        </w:trPr>
        <w:tc>
          <w:tcPr>
            <w:tcW w:w="0" w:type="auto"/>
            <w:vAlign w:val="center"/>
            <w:hideMark/>
          </w:tcPr>
          <w:p w14:paraId="224288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 de retorno</w:t>
            </w:r>
          </w:p>
        </w:tc>
        <w:tc>
          <w:tcPr>
            <w:tcW w:w="0" w:type="auto"/>
            <w:vAlign w:val="center"/>
            <w:hideMark/>
          </w:tcPr>
          <w:p w14:paraId="6D6F66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Conmutador de configuración que devuelve las consultas al core; sin migración de datos que revertir</w:t>
            </w:r>
          </w:p>
        </w:tc>
      </w:tr>
    </w:tbl>
    <w:p w14:paraId="7F7B66F3"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2 — Pagos por la nueva orquestación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7842"/>
      </w:tblGrid>
      <w:tr w:rsidR="000444D1" w:rsidRPr="000444D1" w14:paraId="300A7C90" w14:textId="77777777">
        <w:trPr>
          <w:tblHeader/>
          <w:tblCellSpacing w:w="15" w:type="dxa"/>
        </w:trPr>
        <w:tc>
          <w:tcPr>
            <w:tcW w:w="0" w:type="auto"/>
            <w:vAlign w:val="center"/>
            <w:hideMark/>
          </w:tcPr>
          <w:p w14:paraId="3C2981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1F6CE7EF"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0D9003FF" w14:textId="77777777">
        <w:trPr>
          <w:tblCellSpacing w:w="15" w:type="dxa"/>
        </w:trPr>
        <w:tc>
          <w:tcPr>
            <w:tcW w:w="0" w:type="auto"/>
            <w:vAlign w:val="center"/>
            <w:hideMark/>
          </w:tcPr>
          <w:p w14:paraId="1D5977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0C53FF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 D5 Evaluación de fraude, adaptador de redes de pago</w:t>
            </w:r>
          </w:p>
        </w:tc>
      </w:tr>
      <w:tr w:rsidR="000444D1" w:rsidRPr="000444D1" w14:paraId="1FA0521B" w14:textId="77777777">
        <w:trPr>
          <w:tblCellSpacing w:w="15" w:type="dxa"/>
        </w:trPr>
        <w:tc>
          <w:tcPr>
            <w:tcW w:w="0" w:type="auto"/>
            <w:vAlign w:val="center"/>
            <w:hideMark/>
          </w:tcPr>
          <w:p w14:paraId="68F60F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Qué cambia</w:t>
            </w:r>
          </w:p>
        </w:tc>
        <w:tc>
          <w:tcPr>
            <w:tcW w:w="0" w:type="auto"/>
            <w:vAlign w:val="center"/>
            <w:hideMark/>
          </w:tcPr>
          <w:p w14:paraId="42CBCD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Los pagos digitales se originan en D4 y se ejecutan contra el core mediante el puerto de ejecución. </w:t>
            </w:r>
            <w:r w:rsidRPr="000444D1">
              <w:rPr>
                <w:rFonts w:ascii="Times New Roman" w:eastAsia="Times New Roman" w:hAnsi="Times New Roman" w:cs="Times New Roman"/>
                <w:b/>
                <w:bCs/>
                <w:kern w:val="0"/>
                <w14:ligatures w14:val="none"/>
              </w:rPr>
              <w:t>El core sigue siendo el system of record de todo</w:t>
            </w:r>
          </w:p>
        </w:tc>
      </w:tr>
      <w:tr w:rsidR="000444D1" w:rsidRPr="000444D1" w14:paraId="0753C56D" w14:textId="77777777">
        <w:trPr>
          <w:tblCellSpacing w:w="15" w:type="dxa"/>
        </w:trPr>
        <w:tc>
          <w:tcPr>
            <w:tcW w:w="0" w:type="auto"/>
            <w:vAlign w:val="center"/>
            <w:hideMark/>
          </w:tcPr>
          <w:p w14:paraId="647AA1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Modo de despliegue</w:t>
            </w:r>
          </w:p>
        </w:tc>
        <w:tc>
          <w:tcPr>
            <w:tcW w:w="0" w:type="auto"/>
            <w:vAlign w:val="center"/>
            <w:hideMark/>
          </w:tcPr>
          <w:p w14:paraId="4F839E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Progresivo por porcentaje de tráfico, comenzando por transferencias internas de monto bajo</w:t>
            </w:r>
          </w:p>
        </w:tc>
      </w:tr>
      <w:tr w:rsidR="000444D1" w:rsidRPr="000444D1" w14:paraId="2743C5D6" w14:textId="77777777">
        <w:trPr>
          <w:tblCellSpacing w:w="15" w:type="dxa"/>
        </w:trPr>
        <w:tc>
          <w:tcPr>
            <w:tcW w:w="0" w:type="auto"/>
            <w:vAlign w:val="center"/>
            <w:hideMark/>
          </w:tcPr>
          <w:p w14:paraId="33C992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Criterio de salida</w:t>
            </w:r>
          </w:p>
        </w:tc>
        <w:tc>
          <w:tcPr>
            <w:tcW w:w="0" w:type="auto"/>
            <w:vAlign w:val="center"/>
            <w:hideMark/>
          </w:tcPr>
          <w:p w14:paraId="570649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100 % de pagos digitales por D4 durante 30 días; tasa de órdenes en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por debajo del umbral definido; cero descuadres no explicados en la reconciliación diaria</w:t>
            </w:r>
          </w:p>
        </w:tc>
      </w:tr>
      <w:tr w:rsidR="000444D1" w:rsidRPr="000444D1" w14:paraId="57B7270B" w14:textId="77777777">
        <w:trPr>
          <w:tblCellSpacing w:w="15" w:type="dxa"/>
        </w:trPr>
        <w:tc>
          <w:tcPr>
            <w:tcW w:w="0" w:type="auto"/>
            <w:vAlign w:val="center"/>
            <w:hideMark/>
          </w:tcPr>
          <w:p w14:paraId="6E0971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 de retorno</w:t>
            </w:r>
          </w:p>
        </w:tc>
        <w:tc>
          <w:tcPr>
            <w:tcW w:w="0" w:type="auto"/>
            <w:vAlign w:val="center"/>
            <w:hideMark/>
          </w:tcPr>
          <w:p w14:paraId="7B53C4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Devolver el tráfico al camino anterior. Las órdenes en curso se resuelven por reconciliación antes de conmutar</w:t>
            </w:r>
          </w:p>
        </w:tc>
      </w:tr>
    </w:tbl>
    <w:p w14:paraId="2861B494"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3 — Open Finance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7557"/>
      </w:tblGrid>
      <w:tr w:rsidR="000444D1" w:rsidRPr="000444D1" w14:paraId="70AF7C23" w14:textId="77777777">
        <w:trPr>
          <w:tblHeader/>
          <w:tblCellSpacing w:w="15" w:type="dxa"/>
        </w:trPr>
        <w:tc>
          <w:tcPr>
            <w:tcW w:w="0" w:type="auto"/>
            <w:vAlign w:val="center"/>
            <w:hideMark/>
          </w:tcPr>
          <w:p w14:paraId="475954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490F72AF"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41E50B18" w14:textId="77777777">
        <w:trPr>
          <w:tblCellSpacing w:w="15" w:type="dxa"/>
        </w:trPr>
        <w:tc>
          <w:tcPr>
            <w:tcW w:w="0" w:type="auto"/>
            <w:vAlign w:val="center"/>
            <w:hideMark/>
          </w:tcPr>
          <w:p w14:paraId="173A3F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309E3F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Consentimientos, gateway externo, APIs externas</w:t>
            </w:r>
          </w:p>
        </w:tc>
      </w:tr>
      <w:tr w:rsidR="000444D1" w:rsidRPr="000444D1" w14:paraId="3D2E7C57" w14:textId="77777777">
        <w:trPr>
          <w:tblCellSpacing w:w="15" w:type="dxa"/>
        </w:trPr>
        <w:tc>
          <w:tcPr>
            <w:tcW w:w="0" w:type="auto"/>
            <w:vAlign w:val="center"/>
            <w:hideMark/>
          </w:tcPr>
          <w:p w14:paraId="0AE774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Dependencia</w:t>
            </w:r>
          </w:p>
        </w:tc>
        <w:tc>
          <w:tcPr>
            <w:tcW w:w="0" w:type="auto"/>
            <w:vAlign w:val="center"/>
            <w:hideMark/>
          </w:tcPr>
          <w:p w14:paraId="6C7AC6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Solo requiere la Fase 1, no la 2</w:t>
            </w:r>
          </w:p>
        </w:tc>
      </w:tr>
      <w:tr w:rsidR="000444D1" w:rsidRPr="000444D1" w14:paraId="4B11042A" w14:textId="77777777">
        <w:trPr>
          <w:tblCellSpacing w:w="15" w:type="dxa"/>
        </w:trPr>
        <w:tc>
          <w:tcPr>
            <w:tcW w:w="0" w:type="auto"/>
            <w:vAlign w:val="center"/>
            <w:hideMark/>
          </w:tcPr>
          <w:p w14:paraId="3B64F4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Criterio de salida</w:t>
            </w:r>
          </w:p>
        </w:tc>
        <w:tc>
          <w:tcPr>
            <w:tcW w:w="0" w:type="auto"/>
            <w:vAlign w:val="center"/>
            <w:hideMark/>
          </w:tcPr>
          <w:p w14:paraId="2B0071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Certificación regulatoria obtenida; pruebas de interoperabilidad con terceros superadas</w:t>
            </w:r>
          </w:p>
        </w:tc>
      </w:tr>
      <w:tr w:rsidR="000444D1" w:rsidRPr="000444D1" w14:paraId="557E995E" w14:textId="77777777">
        <w:trPr>
          <w:tblCellSpacing w:w="15" w:type="dxa"/>
        </w:trPr>
        <w:tc>
          <w:tcPr>
            <w:tcW w:w="0" w:type="auto"/>
            <w:vAlign w:val="center"/>
            <w:hideMark/>
          </w:tcPr>
          <w:p w14:paraId="66D9A6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 de retorno</w:t>
            </w:r>
          </w:p>
        </w:tc>
        <w:tc>
          <w:tcPr>
            <w:tcW w:w="0" w:type="auto"/>
            <w:vAlign w:val="center"/>
            <w:hideMark/>
          </w:tcPr>
          <w:p w14:paraId="46CA2F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Suspensión de la exposición externa; no afecta a la operativa propia</w:t>
            </w:r>
          </w:p>
        </w:tc>
      </w:tr>
    </w:tbl>
    <w:p w14:paraId="74CE949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 fase es paralelizable. Su calendario lo marca la normativa, no el avance del resto del programa, y por eso se diseña sin dependencia del núcleo transaccional.</w:t>
      </w:r>
    </w:p>
    <w:p w14:paraId="342694AF"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4 — Primer producto en el core digital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7112"/>
      </w:tblGrid>
      <w:tr w:rsidR="000444D1" w:rsidRPr="000444D1" w14:paraId="4D3FA900" w14:textId="77777777">
        <w:trPr>
          <w:tblHeader/>
          <w:tblCellSpacing w:w="15" w:type="dxa"/>
        </w:trPr>
        <w:tc>
          <w:tcPr>
            <w:tcW w:w="0" w:type="auto"/>
            <w:vAlign w:val="center"/>
            <w:hideMark/>
          </w:tcPr>
          <w:p w14:paraId="4722C9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1CA3A6B8"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2A27A92B" w14:textId="77777777">
        <w:trPr>
          <w:tblCellSpacing w:w="15" w:type="dxa"/>
        </w:trPr>
        <w:tc>
          <w:tcPr>
            <w:tcW w:w="0" w:type="auto"/>
            <w:vAlign w:val="center"/>
            <w:hideMark/>
          </w:tcPr>
          <w:p w14:paraId="1E433B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1458B5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producto nuevo —cuenta digital— originado en el core digital</w:t>
            </w:r>
          </w:p>
        </w:tc>
      </w:tr>
      <w:tr w:rsidR="000444D1" w:rsidRPr="000444D1" w14:paraId="78844EE1" w14:textId="77777777">
        <w:trPr>
          <w:tblCellSpacing w:w="15" w:type="dxa"/>
        </w:trPr>
        <w:tc>
          <w:tcPr>
            <w:tcW w:w="0" w:type="auto"/>
            <w:vAlign w:val="center"/>
            <w:hideMark/>
          </w:tcPr>
          <w:p w14:paraId="4E9195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Qué se demuestra</w:t>
            </w:r>
          </w:p>
        </w:tc>
        <w:tc>
          <w:tcPr>
            <w:tcW w:w="0" w:type="auto"/>
            <w:vAlign w:val="center"/>
            <w:hideMark/>
          </w:tcPr>
          <w:p w14:paraId="42209F1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camino completo funciona: enrutamiento por producto, adaptador digital, coexistencia real en la posición consolidada</w:t>
            </w:r>
          </w:p>
        </w:tc>
      </w:tr>
      <w:tr w:rsidR="000444D1" w:rsidRPr="000444D1" w14:paraId="2E38E3EE" w14:textId="77777777">
        <w:trPr>
          <w:tblCellSpacing w:w="15" w:type="dxa"/>
        </w:trPr>
        <w:tc>
          <w:tcPr>
            <w:tcW w:w="0" w:type="auto"/>
            <w:vAlign w:val="center"/>
            <w:hideMark/>
          </w:tcPr>
          <w:p w14:paraId="06D314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Riesgo sobre saldos existentes</w:t>
            </w:r>
          </w:p>
        </w:tc>
        <w:tc>
          <w:tcPr>
            <w:tcW w:w="0" w:type="auto"/>
            <w:vAlign w:val="center"/>
            <w:hideMark/>
          </w:tcPr>
          <w:p w14:paraId="6AD5FC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Ninguno</w:t>
            </w:r>
            <w:r w:rsidRPr="000444D1">
              <w:rPr>
                <w:rFonts w:ascii="Times New Roman" w:eastAsia="Times New Roman" w:hAnsi="Times New Roman" w:cs="Times New Roman"/>
                <w:kern w:val="0"/>
                <w14:ligatures w14:val="none"/>
              </w:rPr>
              <w:t>: no se migra nada, se crea</w:t>
            </w:r>
          </w:p>
        </w:tc>
      </w:tr>
      <w:tr w:rsidR="000444D1" w:rsidRPr="000444D1" w14:paraId="24F1276B" w14:textId="77777777">
        <w:trPr>
          <w:tblCellSpacing w:w="15" w:type="dxa"/>
        </w:trPr>
        <w:tc>
          <w:tcPr>
            <w:tcW w:w="0" w:type="auto"/>
            <w:vAlign w:val="center"/>
            <w:hideMark/>
          </w:tcPr>
          <w:p w14:paraId="578CEC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Criterio de salida</w:t>
            </w:r>
          </w:p>
        </w:tc>
        <w:tc>
          <w:tcPr>
            <w:tcW w:w="0" w:type="auto"/>
            <w:vAlign w:val="center"/>
            <w:hideMark/>
          </w:tcPr>
          <w:p w14:paraId="544CE4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Operación estable durante 90 días; posición consolidada correcta para clientes con productos en ambos cores</w:t>
            </w:r>
          </w:p>
        </w:tc>
      </w:tr>
      <w:tr w:rsidR="000444D1" w:rsidRPr="000444D1" w14:paraId="2E125C31" w14:textId="77777777">
        <w:trPr>
          <w:tblCellSpacing w:w="15" w:type="dxa"/>
        </w:trPr>
        <w:tc>
          <w:tcPr>
            <w:tcW w:w="0" w:type="auto"/>
            <w:vAlign w:val="center"/>
            <w:hideMark/>
          </w:tcPr>
          <w:p w14:paraId="528203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 de retorno</w:t>
            </w:r>
          </w:p>
        </w:tc>
        <w:tc>
          <w:tcPr>
            <w:tcW w:w="0" w:type="auto"/>
            <w:vAlign w:val="center"/>
            <w:hideMark/>
          </w:tcPr>
          <w:p w14:paraId="60BF83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Suspender la originación del producto nuevo</w:t>
            </w:r>
          </w:p>
        </w:tc>
      </w:tr>
    </w:tbl>
    <w:p w14:paraId="1167839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Esta es la fase que valida la estrategia multicore sin arriesgar un solo saldo preexistente.</w:t>
      </w:r>
      <w:r w:rsidRPr="000444D1">
        <w:rPr>
          <w:rFonts w:ascii="Times New Roman" w:eastAsia="Times New Roman" w:hAnsi="Times New Roman" w:cs="Times New Roman"/>
          <w:kern w:val="0"/>
          <w14:ligatures w14:val="none"/>
        </w:rPr>
        <w:t xml:space="preserve"> Cuando termina, el banco ha demostrado en producción que dos cores pueden coexistir, que el enrutamiento por producto funciona y que la posición consolidada es correcta. Todo ello antes de mover un centavo de una cuenta existente.</w:t>
      </w:r>
    </w:p>
    <w:p w14:paraId="4B2F1B41"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5 — Extinción natural del catálogo con vencimiento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7370"/>
      </w:tblGrid>
      <w:tr w:rsidR="000444D1" w:rsidRPr="000444D1" w14:paraId="6A34392D" w14:textId="77777777">
        <w:trPr>
          <w:tblHeader/>
          <w:tblCellSpacing w:w="15" w:type="dxa"/>
        </w:trPr>
        <w:tc>
          <w:tcPr>
            <w:tcW w:w="0" w:type="auto"/>
            <w:vAlign w:val="center"/>
            <w:hideMark/>
          </w:tcPr>
          <w:p w14:paraId="693574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42CA693E"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4DC6A6B2" w14:textId="77777777">
        <w:trPr>
          <w:tblCellSpacing w:w="15" w:type="dxa"/>
        </w:trPr>
        <w:tc>
          <w:tcPr>
            <w:tcW w:w="0" w:type="auto"/>
            <w:vAlign w:val="center"/>
            <w:hideMark/>
          </w:tcPr>
          <w:p w14:paraId="708262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550577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Depósitos a plazo, créditos y préstamos dejan de originarse en el core tradicional</w:t>
            </w:r>
          </w:p>
        </w:tc>
      </w:tr>
      <w:tr w:rsidR="000444D1" w:rsidRPr="000444D1" w14:paraId="69A4F12A" w14:textId="77777777">
        <w:trPr>
          <w:tblCellSpacing w:w="15" w:type="dxa"/>
        </w:trPr>
        <w:tc>
          <w:tcPr>
            <w:tcW w:w="0" w:type="auto"/>
            <w:vAlign w:val="center"/>
            <w:hideMark/>
          </w:tcPr>
          <w:p w14:paraId="58F5C6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Mecánica</w:t>
            </w:r>
          </w:p>
        </w:tc>
        <w:tc>
          <w:tcPr>
            <w:tcW w:w="0" w:type="auto"/>
            <w:vAlign w:val="center"/>
            <w:hideMark/>
          </w:tcPr>
          <w:p w14:paraId="67D822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nuevos nacen en el digital; los vigentes vencen en el tradicional</w:t>
            </w:r>
          </w:p>
        </w:tc>
      </w:tr>
      <w:tr w:rsidR="000444D1" w:rsidRPr="000444D1" w14:paraId="3094988E" w14:textId="77777777">
        <w:trPr>
          <w:tblCellSpacing w:w="15" w:type="dxa"/>
        </w:trPr>
        <w:tc>
          <w:tcPr>
            <w:tcW w:w="0" w:type="auto"/>
            <w:vAlign w:val="center"/>
            <w:hideMark/>
          </w:tcPr>
          <w:p w14:paraId="77C4D5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Duración</w:t>
            </w:r>
          </w:p>
        </w:tc>
        <w:tc>
          <w:tcPr>
            <w:tcW w:w="0" w:type="auto"/>
            <w:vAlign w:val="center"/>
            <w:hideMark/>
          </w:tcPr>
          <w:p w14:paraId="552CBE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Determinada por el plazo del producto, no por el programa</w:t>
            </w:r>
          </w:p>
        </w:tc>
      </w:tr>
      <w:tr w:rsidR="000444D1" w:rsidRPr="000444D1" w14:paraId="6162FC8D" w14:textId="77777777">
        <w:trPr>
          <w:tblCellSpacing w:w="15" w:type="dxa"/>
        </w:trPr>
        <w:tc>
          <w:tcPr>
            <w:tcW w:w="0" w:type="auto"/>
            <w:vAlign w:val="center"/>
            <w:hideMark/>
          </w:tcPr>
          <w:p w14:paraId="4FAD3C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Riesgo sobre saldos</w:t>
            </w:r>
          </w:p>
        </w:tc>
        <w:tc>
          <w:tcPr>
            <w:tcW w:w="0" w:type="auto"/>
            <w:vAlign w:val="center"/>
            <w:hideMark/>
          </w:tcPr>
          <w:p w14:paraId="43F9CE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Ninguno</w:t>
            </w:r>
          </w:p>
        </w:tc>
      </w:tr>
      <w:tr w:rsidR="000444D1" w:rsidRPr="000444D1" w14:paraId="01CF2BF0" w14:textId="77777777">
        <w:trPr>
          <w:tblCellSpacing w:w="15" w:type="dxa"/>
        </w:trPr>
        <w:tc>
          <w:tcPr>
            <w:tcW w:w="0" w:type="auto"/>
            <w:vAlign w:val="center"/>
            <w:hideMark/>
          </w:tcPr>
          <w:p w14:paraId="2D7F84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 de retorno</w:t>
            </w:r>
          </w:p>
        </w:tc>
        <w:tc>
          <w:tcPr>
            <w:tcW w:w="0" w:type="auto"/>
            <w:vAlign w:val="center"/>
            <w:hideMark/>
          </w:tcPr>
          <w:p w14:paraId="101146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Reactivar la originación en el core tradicional</w:t>
            </w:r>
          </w:p>
        </w:tc>
      </w:tr>
    </w:tbl>
    <w:p w14:paraId="03D5586E"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6 — Migración por cohorte de cuentas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7592"/>
      </w:tblGrid>
      <w:tr w:rsidR="000444D1" w:rsidRPr="000444D1" w14:paraId="472E7E28" w14:textId="77777777">
        <w:trPr>
          <w:tblHeader/>
          <w:tblCellSpacing w:w="15" w:type="dxa"/>
        </w:trPr>
        <w:tc>
          <w:tcPr>
            <w:tcW w:w="0" w:type="auto"/>
            <w:vAlign w:val="center"/>
            <w:hideMark/>
          </w:tcPr>
          <w:p w14:paraId="2AAE16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73B378CE"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55A5220F" w14:textId="77777777">
        <w:trPr>
          <w:tblCellSpacing w:w="15" w:type="dxa"/>
        </w:trPr>
        <w:tc>
          <w:tcPr>
            <w:tcW w:w="0" w:type="auto"/>
            <w:vAlign w:val="center"/>
            <w:hideMark/>
          </w:tcPr>
          <w:p w14:paraId="5DAAA0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75C9B1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Cuentas de ahorro primero, cuentas corrientes al final</w:t>
            </w:r>
          </w:p>
        </w:tc>
      </w:tr>
      <w:tr w:rsidR="000444D1" w:rsidRPr="000444D1" w14:paraId="4B4080C9" w14:textId="77777777">
        <w:trPr>
          <w:tblCellSpacing w:w="15" w:type="dxa"/>
        </w:trPr>
        <w:tc>
          <w:tcPr>
            <w:tcW w:w="0" w:type="auto"/>
            <w:vAlign w:val="center"/>
            <w:hideMark/>
          </w:tcPr>
          <w:p w14:paraId="3B186F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Mecánica</w:t>
            </w:r>
          </w:p>
        </w:tc>
        <w:tc>
          <w:tcPr>
            <w:tcW w:w="0" w:type="auto"/>
            <w:vAlign w:val="center"/>
            <w:hideMark/>
          </w:tcPr>
          <w:p w14:paraId="338D35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Procedimiento de 17.5, por grupos de clientes</w:t>
            </w:r>
          </w:p>
        </w:tc>
      </w:tr>
      <w:tr w:rsidR="000444D1" w:rsidRPr="000444D1" w14:paraId="3C6188A1" w14:textId="77777777">
        <w:trPr>
          <w:tblCellSpacing w:w="15" w:type="dxa"/>
        </w:trPr>
        <w:tc>
          <w:tcPr>
            <w:tcW w:w="0" w:type="auto"/>
            <w:vAlign w:val="center"/>
            <w:hideMark/>
          </w:tcPr>
          <w:p w14:paraId="049983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Riesgo</w:t>
            </w:r>
          </w:p>
        </w:tc>
        <w:tc>
          <w:tcPr>
            <w:tcW w:w="0" w:type="auto"/>
            <w:vAlign w:val="center"/>
            <w:hideMark/>
          </w:tcPr>
          <w:p w14:paraId="10482F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más alto del programa; se aborda con la mayor experiencia operativa acumulada</w:t>
            </w:r>
          </w:p>
        </w:tc>
      </w:tr>
      <w:tr w:rsidR="000444D1" w:rsidRPr="000444D1" w14:paraId="147436DD" w14:textId="77777777">
        <w:trPr>
          <w:tblCellSpacing w:w="15" w:type="dxa"/>
        </w:trPr>
        <w:tc>
          <w:tcPr>
            <w:tcW w:w="0" w:type="auto"/>
            <w:vAlign w:val="center"/>
            <w:hideMark/>
          </w:tcPr>
          <w:p w14:paraId="04C363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 de retorno</w:t>
            </w:r>
          </w:p>
        </w:tc>
        <w:tc>
          <w:tcPr>
            <w:tcW w:w="0" w:type="auto"/>
            <w:vAlign w:val="center"/>
            <w:hideMark/>
          </w:tcPr>
          <w:p w14:paraId="56D3BF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Reversión de la cohorte al core tradicional dentro de la ventana definida</w:t>
            </w:r>
          </w:p>
        </w:tc>
      </w:tr>
    </w:tbl>
    <w:p w14:paraId="49696AE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Orden dentro de la fase.</w:t>
      </w:r>
      <w:r w:rsidRPr="000444D1">
        <w:rPr>
          <w:rFonts w:ascii="Times New Roman" w:eastAsia="Times New Roman" w:hAnsi="Times New Roman" w:cs="Times New Roman"/>
          <w:kern w:val="0"/>
          <w14:ligatures w14:val="none"/>
        </w:rPr>
        <w:t xml:space="preserve"> Las cuentas corrientes se dejan para el final porque concentran la mayor densidad de integraciones —acreditación de nómina, débitos automáticos, tarjetas asociadas, órdenes permanentes— y cada una de ellas es una superficie de fallo adicional. Las cuentas de ahorro, con menor volumen de movimientos y menos vínculos, permiten depurar el procedimiento antes de aplicarlo donde más duele.</w:t>
      </w:r>
    </w:p>
    <w:p w14:paraId="6C3685EA"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7 — Decisión sobre el core tradicional</w:t>
      </w:r>
    </w:p>
    <w:p w14:paraId="02BC611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 término de la Fase 6, el core tradicional conserva únicamente productos en extinción y datos históricos. La decisión de retirarlo, mantenerlo como repositorio histórico de solo lectura o prolongar su vida es económica y no técnica, y se toma con la información que el programa habrá generado. El diseño no la prejuzga.</w:t>
      </w:r>
    </w:p>
    <w:p w14:paraId="0FE5653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17.4 Criterios de selección y orden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1367"/>
        <w:gridCol w:w="5267"/>
      </w:tblGrid>
      <w:tr w:rsidR="000444D1" w:rsidRPr="000444D1" w14:paraId="350999D6" w14:textId="77777777">
        <w:trPr>
          <w:tblHeader/>
          <w:tblCellSpacing w:w="15" w:type="dxa"/>
        </w:trPr>
        <w:tc>
          <w:tcPr>
            <w:tcW w:w="0" w:type="auto"/>
            <w:vAlign w:val="center"/>
            <w:hideMark/>
          </w:tcPr>
          <w:p w14:paraId="6E6952E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Criterio</w:t>
            </w:r>
          </w:p>
        </w:tc>
        <w:tc>
          <w:tcPr>
            <w:tcW w:w="0" w:type="auto"/>
            <w:vAlign w:val="center"/>
            <w:hideMark/>
          </w:tcPr>
          <w:p w14:paraId="599EBA9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Peso</w:t>
            </w:r>
          </w:p>
        </w:tc>
        <w:tc>
          <w:tcPr>
            <w:tcW w:w="0" w:type="auto"/>
            <w:vAlign w:val="center"/>
            <w:hideMark/>
          </w:tcPr>
          <w:p w14:paraId="396A108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Razón</w:t>
            </w:r>
          </w:p>
        </w:tc>
      </w:tr>
      <w:tr w:rsidR="000444D1" w:rsidRPr="000444D1" w14:paraId="453DCD55" w14:textId="77777777">
        <w:trPr>
          <w:tblCellSpacing w:w="15" w:type="dxa"/>
        </w:trPr>
        <w:tc>
          <w:tcPr>
            <w:tcW w:w="0" w:type="auto"/>
            <w:vAlign w:val="center"/>
            <w:hideMark/>
          </w:tcPr>
          <w:p w14:paraId="4C5F6B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¿Requiere migrar saldos?</w:t>
            </w:r>
          </w:p>
        </w:tc>
        <w:tc>
          <w:tcPr>
            <w:tcW w:w="0" w:type="auto"/>
            <w:vAlign w:val="center"/>
            <w:hideMark/>
          </w:tcPr>
          <w:p w14:paraId="03AA0A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Determinante</w:t>
            </w:r>
          </w:p>
        </w:tc>
        <w:tc>
          <w:tcPr>
            <w:tcW w:w="0" w:type="auto"/>
            <w:vAlign w:val="center"/>
            <w:hideMark/>
          </w:tcPr>
          <w:p w14:paraId="2D58DD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que no lo requieren van primero, sin excepción</w:t>
            </w:r>
          </w:p>
        </w:tc>
      </w:tr>
      <w:tr w:rsidR="000444D1" w:rsidRPr="000444D1" w14:paraId="0EAF3851" w14:textId="77777777">
        <w:trPr>
          <w:tblCellSpacing w:w="15" w:type="dxa"/>
        </w:trPr>
        <w:tc>
          <w:tcPr>
            <w:tcW w:w="0" w:type="auto"/>
            <w:vAlign w:val="center"/>
            <w:hideMark/>
          </w:tcPr>
          <w:p w14:paraId="6EFAFD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Volumen transaccional</w:t>
            </w:r>
          </w:p>
        </w:tc>
        <w:tc>
          <w:tcPr>
            <w:tcW w:w="0" w:type="auto"/>
            <w:vAlign w:val="center"/>
            <w:hideMark/>
          </w:tcPr>
          <w:p w14:paraId="2DD3B7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w:t>
            </w:r>
          </w:p>
        </w:tc>
        <w:tc>
          <w:tcPr>
            <w:tcW w:w="0" w:type="auto"/>
            <w:vAlign w:val="center"/>
            <w:hideMark/>
          </w:tcPr>
          <w:p w14:paraId="2E2CFB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Menor volumen, menor impacto de un fallo</w:t>
            </w:r>
          </w:p>
        </w:tc>
      </w:tr>
      <w:tr w:rsidR="000444D1" w:rsidRPr="000444D1" w14:paraId="2152146B" w14:textId="77777777">
        <w:trPr>
          <w:tblCellSpacing w:w="15" w:type="dxa"/>
        </w:trPr>
        <w:tc>
          <w:tcPr>
            <w:tcW w:w="0" w:type="auto"/>
            <w:vAlign w:val="center"/>
            <w:hideMark/>
          </w:tcPr>
          <w:p w14:paraId="731037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Densidad de integraciones</w:t>
            </w:r>
          </w:p>
        </w:tc>
        <w:tc>
          <w:tcPr>
            <w:tcW w:w="0" w:type="auto"/>
            <w:vAlign w:val="center"/>
            <w:hideMark/>
          </w:tcPr>
          <w:p w14:paraId="502057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w:t>
            </w:r>
          </w:p>
        </w:tc>
        <w:tc>
          <w:tcPr>
            <w:tcW w:w="0" w:type="auto"/>
            <w:vAlign w:val="center"/>
            <w:hideMark/>
          </w:tcPr>
          <w:p w14:paraId="03C46B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Cada integración asociada es una superficie de fallo</w:t>
            </w:r>
          </w:p>
        </w:tc>
      </w:tr>
      <w:tr w:rsidR="000444D1" w:rsidRPr="000444D1" w14:paraId="7BF99CE5" w14:textId="77777777">
        <w:trPr>
          <w:tblCellSpacing w:w="15" w:type="dxa"/>
        </w:trPr>
        <w:tc>
          <w:tcPr>
            <w:tcW w:w="0" w:type="auto"/>
            <w:vAlign w:val="center"/>
            <w:hideMark/>
          </w:tcPr>
          <w:p w14:paraId="64E614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Complejidad contable</w:t>
            </w:r>
          </w:p>
        </w:tc>
        <w:tc>
          <w:tcPr>
            <w:tcW w:w="0" w:type="auto"/>
            <w:vAlign w:val="center"/>
            <w:hideMark/>
          </w:tcPr>
          <w:p w14:paraId="69BBC4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Medio</w:t>
            </w:r>
          </w:p>
        </w:tc>
        <w:tc>
          <w:tcPr>
            <w:tcW w:w="0" w:type="auto"/>
            <w:vAlign w:val="center"/>
            <w:hideMark/>
          </w:tcPr>
          <w:p w14:paraId="6370DDC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Productos con devengo, intereses o comisiones complejas exigen más validación</w:t>
            </w:r>
          </w:p>
        </w:tc>
      </w:tr>
      <w:tr w:rsidR="000444D1" w:rsidRPr="000444D1" w14:paraId="4D772A87" w14:textId="77777777">
        <w:trPr>
          <w:tblCellSpacing w:w="15" w:type="dxa"/>
        </w:trPr>
        <w:tc>
          <w:tcPr>
            <w:tcW w:w="0" w:type="auto"/>
            <w:vAlign w:val="center"/>
            <w:hideMark/>
          </w:tcPr>
          <w:p w14:paraId="3204E9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Proporción de clientes digitales</w:t>
            </w:r>
          </w:p>
        </w:tc>
        <w:tc>
          <w:tcPr>
            <w:tcW w:w="0" w:type="auto"/>
            <w:vAlign w:val="center"/>
            <w:hideMark/>
          </w:tcPr>
          <w:p w14:paraId="017D3F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Medio</w:t>
            </w:r>
          </w:p>
        </w:tc>
        <w:tc>
          <w:tcPr>
            <w:tcW w:w="0" w:type="auto"/>
            <w:vAlign w:val="center"/>
            <w:hideMark/>
          </w:tcPr>
          <w:p w14:paraId="3D06EB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Mayor proporción digital facilita la comunicación y el soporte</w:t>
            </w:r>
          </w:p>
        </w:tc>
      </w:tr>
      <w:tr w:rsidR="000444D1" w:rsidRPr="000444D1" w14:paraId="53722353" w14:textId="77777777">
        <w:trPr>
          <w:tblCellSpacing w:w="15" w:type="dxa"/>
        </w:trPr>
        <w:tc>
          <w:tcPr>
            <w:tcW w:w="0" w:type="auto"/>
            <w:vAlign w:val="center"/>
            <w:hideMark/>
          </w:tcPr>
          <w:p w14:paraId="6FA764A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Valor de negocio del producto nuevo</w:t>
            </w:r>
          </w:p>
        </w:tc>
        <w:tc>
          <w:tcPr>
            <w:tcW w:w="0" w:type="auto"/>
            <w:vAlign w:val="center"/>
            <w:hideMark/>
          </w:tcPr>
          <w:p w14:paraId="03CDD5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Bajo</w:t>
            </w:r>
          </w:p>
        </w:tc>
        <w:tc>
          <w:tcPr>
            <w:tcW w:w="0" w:type="auto"/>
            <w:vAlign w:val="center"/>
            <w:hideMark/>
          </w:tcPr>
          <w:p w14:paraId="0A96BA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Relevante para priorizar, nunca para adelantar una migración riesgosa</w:t>
            </w:r>
          </w:p>
        </w:tc>
      </w:tr>
    </w:tbl>
    <w:p w14:paraId="5CC1F719"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17.5 Procedimiento de migración de una cohorte</w:t>
      </w:r>
    </w:p>
    <w:p w14:paraId="1831730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 exclusivamente a la Fase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063"/>
        <w:gridCol w:w="3102"/>
      </w:tblGrid>
      <w:tr w:rsidR="000444D1" w:rsidRPr="000444D1" w14:paraId="0B9AE882" w14:textId="77777777">
        <w:trPr>
          <w:tblHeader/>
          <w:tblCellSpacing w:w="15" w:type="dxa"/>
        </w:trPr>
        <w:tc>
          <w:tcPr>
            <w:tcW w:w="0" w:type="auto"/>
            <w:vAlign w:val="center"/>
            <w:hideMark/>
          </w:tcPr>
          <w:p w14:paraId="3C1640B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3CBE55C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Paso</w:t>
            </w:r>
          </w:p>
        </w:tc>
        <w:tc>
          <w:tcPr>
            <w:tcW w:w="0" w:type="auto"/>
            <w:vAlign w:val="center"/>
            <w:hideMark/>
          </w:tcPr>
          <w:p w14:paraId="6CEE435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Reversible</w:t>
            </w:r>
          </w:p>
        </w:tc>
      </w:tr>
      <w:tr w:rsidR="000444D1" w:rsidRPr="000444D1" w14:paraId="038431F3" w14:textId="77777777">
        <w:trPr>
          <w:tblCellSpacing w:w="15" w:type="dxa"/>
        </w:trPr>
        <w:tc>
          <w:tcPr>
            <w:tcW w:w="0" w:type="auto"/>
            <w:vAlign w:val="center"/>
            <w:hideMark/>
          </w:tcPr>
          <w:p w14:paraId="50D66C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w:t>
            </w:r>
          </w:p>
        </w:tc>
        <w:tc>
          <w:tcPr>
            <w:tcW w:w="0" w:type="auto"/>
            <w:vAlign w:val="center"/>
            <w:hideMark/>
          </w:tcPr>
          <w:p w14:paraId="4D137A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Selección de la cohorte, con criterios de exclusión: cuentas con operaciones en curso, litigios o embargos</w:t>
            </w:r>
          </w:p>
        </w:tc>
        <w:tc>
          <w:tcPr>
            <w:tcW w:w="0" w:type="auto"/>
            <w:vAlign w:val="center"/>
            <w:hideMark/>
          </w:tcPr>
          <w:p w14:paraId="7F4B36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r>
      <w:tr w:rsidR="000444D1" w:rsidRPr="000444D1" w14:paraId="0DF4FDFB" w14:textId="77777777">
        <w:trPr>
          <w:tblCellSpacing w:w="15" w:type="dxa"/>
        </w:trPr>
        <w:tc>
          <w:tcPr>
            <w:tcW w:w="0" w:type="auto"/>
            <w:vAlign w:val="center"/>
            <w:hideMark/>
          </w:tcPr>
          <w:p w14:paraId="017CE8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w:t>
            </w:r>
          </w:p>
        </w:tc>
        <w:tc>
          <w:tcPr>
            <w:tcW w:w="0" w:type="auto"/>
            <w:vAlign w:val="center"/>
            <w:hideMark/>
          </w:tcPr>
          <w:p w14:paraId="2FE504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Ejecución en sombra: durante 30 días el core digital replica los movimientos de la cohorte sin ser autoritativo, y se comparan saldos diariamente</w:t>
            </w:r>
          </w:p>
        </w:tc>
        <w:tc>
          <w:tcPr>
            <w:tcW w:w="0" w:type="auto"/>
            <w:vAlign w:val="center"/>
            <w:hideMark/>
          </w:tcPr>
          <w:p w14:paraId="7FDE4B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12235219" w14:textId="77777777">
        <w:trPr>
          <w:tblCellSpacing w:w="15" w:type="dxa"/>
        </w:trPr>
        <w:tc>
          <w:tcPr>
            <w:tcW w:w="0" w:type="auto"/>
            <w:vAlign w:val="center"/>
            <w:hideMark/>
          </w:tcPr>
          <w:p w14:paraId="0AC03E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c>
          <w:tcPr>
            <w:tcW w:w="0" w:type="auto"/>
            <w:vAlign w:val="center"/>
            <w:hideMark/>
          </w:tcPr>
          <w:p w14:paraId="0C3A11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Comunicación al cliente con antelación, indicando la ventana y su duración</w:t>
            </w:r>
          </w:p>
        </w:tc>
        <w:tc>
          <w:tcPr>
            <w:tcW w:w="0" w:type="auto"/>
            <w:vAlign w:val="center"/>
            <w:hideMark/>
          </w:tcPr>
          <w:p w14:paraId="2AAB8B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794957E2" w14:textId="77777777">
        <w:trPr>
          <w:tblCellSpacing w:w="15" w:type="dxa"/>
        </w:trPr>
        <w:tc>
          <w:tcPr>
            <w:tcW w:w="0" w:type="auto"/>
            <w:vAlign w:val="center"/>
            <w:hideMark/>
          </w:tcPr>
          <w:p w14:paraId="701144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w:t>
            </w:r>
          </w:p>
        </w:tc>
        <w:tc>
          <w:tcPr>
            <w:tcW w:w="0" w:type="auto"/>
            <w:vAlign w:val="center"/>
            <w:hideMark/>
          </w:tcPr>
          <w:p w14:paraId="617DBD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Ventana operativa: suspensión de operaciones de la cohorte, fuera del horario de mayor actividad</w:t>
            </w:r>
          </w:p>
        </w:tc>
        <w:tc>
          <w:tcPr>
            <w:tcW w:w="0" w:type="auto"/>
            <w:vAlign w:val="center"/>
            <w:hideMark/>
          </w:tcPr>
          <w:p w14:paraId="2FEB84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0E4E49E1" w14:textId="77777777">
        <w:trPr>
          <w:tblCellSpacing w:w="15" w:type="dxa"/>
        </w:trPr>
        <w:tc>
          <w:tcPr>
            <w:tcW w:w="0" w:type="auto"/>
            <w:vAlign w:val="center"/>
            <w:hideMark/>
          </w:tcPr>
          <w:p w14:paraId="0DBD75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w:t>
            </w:r>
          </w:p>
        </w:tc>
        <w:tc>
          <w:tcPr>
            <w:tcW w:w="0" w:type="auto"/>
            <w:vAlign w:val="center"/>
            <w:hideMark/>
          </w:tcPr>
          <w:p w14:paraId="3853BD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Traslado de contratos y saldos; cuadre contable; verificación automatizada cuenta por cuenta</w:t>
            </w:r>
          </w:p>
        </w:tc>
        <w:tc>
          <w:tcPr>
            <w:tcW w:w="0" w:type="auto"/>
            <w:vAlign w:val="center"/>
            <w:hideMark/>
          </w:tcPr>
          <w:p w14:paraId="7F9B92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 dentro de la ventana</w:t>
            </w:r>
          </w:p>
        </w:tc>
      </w:tr>
      <w:tr w:rsidR="000444D1" w:rsidRPr="000444D1" w14:paraId="6D3B7D01" w14:textId="77777777">
        <w:trPr>
          <w:tblCellSpacing w:w="15" w:type="dxa"/>
        </w:trPr>
        <w:tc>
          <w:tcPr>
            <w:tcW w:w="0" w:type="auto"/>
            <w:vAlign w:val="center"/>
            <w:hideMark/>
          </w:tcPr>
          <w:p w14:paraId="6C74F9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6</w:t>
            </w:r>
          </w:p>
        </w:tc>
        <w:tc>
          <w:tcPr>
            <w:tcW w:w="0" w:type="auto"/>
            <w:vAlign w:val="center"/>
            <w:hideMark/>
          </w:tcPr>
          <w:p w14:paraId="5E8930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Actualización del catálogo de productos (D2): la cuenta pasa a resolver al core digital</w:t>
            </w:r>
          </w:p>
        </w:tc>
        <w:tc>
          <w:tcPr>
            <w:tcW w:w="0" w:type="auto"/>
            <w:vAlign w:val="center"/>
            <w:hideMark/>
          </w:tcPr>
          <w:p w14:paraId="500865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5DC85394" w14:textId="77777777">
        <w:trPr>
          <w:tblCellSpacing w:w="15" w:type="dxa"/>
        </w:trPr>
        <w:tc>
          <w:tcPr>
            <w:tcW w:w="0" w:type="auto"/>
            <w:vAlign w:val="center"/>
            <w:hideMark/>
          </w:tcPr>
          <w:p w14:paraId="1E3780E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w:t>
            </w:r>
          </w:p>
        </w:tc>
        <w:tc>
          <w:tcPr>
            <w:tcW w:w="0" w:type="auto"/>
            <w:vAlign w:val="center"/>
            <w:hideMark/>
          </w:tcPr>
          <w:p w14:paraId="525818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Reapertura y observación reforzada durante 72 horas</w:t>
            </w:r>
          </w:p>
        </w:tc>
        <w:tc>
          <w:tcPr>
            <w:tcW w:w="0" w:type="auto"/>
            <w:vAlign w:val="center"/>
            <w:hideMark/>
          </w:tcPr>
          <w:p w14:paraId="18BB20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Reversión posible durante este periodo</w:t>
            </w:r>
          </w:p>
        </w:tc>
      </w:tr>
      <w:tr w:rsidR="000444D1" w:rsidRPr="000444D1" w14:paraId="7E610E86" w14:textId="77777777">
        <w:trPr>
          <w:tblCellSpacing w:w="15" w:type="dxa"/>
        </w:trPr>
        <w:tc>
          <w:tcPr>
            <w:tcW w:w="0" w:type="auto"/>
            <w:vAlign w:val="center"/>
            <w:hideMark/>
          </w:tcPr>
          <w:p w14:paraId="693B46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8</w:t>
            </w:r>
          </w:p>
        </w:tc>
        <w:tc>
          <w:tcPr>
            <w:tcW w:w="0" w:type="auto"/>
            <w:vAlign w:val="center"/>
            <w:hideMark/>
          </w:tcPr>
          <w:p w14:paraId="221DF7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Confirmación y cierre de la cohorte</w:t>
            </w:r>
          </w:p>
        </w:tc>
        <w:tc>
          <w:tcPr>
            <w:tcW w:w="0" w:type="auto"/>
            <w:vAlign w:val="center"/>
            <w:hideMark/>
          </w:tcPr>
          <w:p w14:paraId="72BE02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Desde aquí la reversión es un proyecto, no un procedimiento</w:t>
            </w:r>
          </w:p>
        </w:tc>
      </w:tr>
    </w:tbl>
    <w:p w14:paraId="6C77233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paso 6 es el conmutador real.</w:t>
      </w:r>
      <w:r w:rsidRPr="000444D1">
        <w:rPr>
          <w:rFonts w:ascii="Times New Roman" w:eastAsia="Times New Roman" w:hAnsi="Times New Roman" w:cs="Times New Roman"/>
          <w:kern w:val="0"/>
          <w14:ligatures w14:val="none"/>
        </w:rPr>
        <w:t xml:space="preserve"> Toda la estrategia multicore converge en una actualización del catálogo de productos: es lo que hace que el enrutador de core dirija esa cuenta al otro sistema. Que la conmutación sea un cambio de dato y no un despliegue es lo que la hace reversible en segundos.</w:t>
      </w:r>
    </w:p>
    <w:p w14:paraId="318FBF0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17.6 Indicadores del programa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0"/>
        <w:gridCol w:w="2813"/>
        <w:gridCol w:w="2987"/>
      </w:tblGrid>
      <w:tr w:rsidR="000444D1" w:rsidRPr="000444D1" w14:paraId="03F71F5A" w14:textId="77777777">
        <w:trPr>
          <w:tblHeader/>
          <w:tblCellSpacing w:w="15" w:type="dxa"/>
        </w:trPr>
        <w:tc>
          <w:tcPr>
            <w:tcW w:w="0" w:type="auto"/>
            <w:vAlign w:val="center"/>
            <w:hideMark/>
          </w:tcPr>
          <w:p w14:paraId="72A0C16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Indicador</w:t>
            </w:r>
          </w:p>
        </w:tc>
        <w:tc>
          <w:tcPr>
            <w:tcW w:w="0" w:type="auto"/>
            <w:vAlign w:val="center"/>
            <w:hideMark/>
          </w:tcPr>
          <w:p w14:paraId="1C28F71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Qué vigila</w:t>
            </w:r>
          </w:p>
        </w:tc>
        <w:tc>
          <w:tcPr>
            <w:tcW w:w="0" w:type="auto"/>
            <w:vAlign w:val="center"/>
            <w:hideMark/>
          </w:tcPr>
          <w:p w14:paraId="6A9C29A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Umbral de alarma</w:t>
            </w:r>
          </w:p>
        </w:tc>
      </w:tr>
      <w:tr w:rsidR="000444D1" w:rsidRPr="000444D1" w14:paraId="52D38F41" w14:textId="77777777">
        <w:trPr>
          <w:tblCellSpacing w:w="15" w:type="dxa"/>
        </w:trPr>
        <w:tc>
          <w:tcPr>
            <w:tcW w:w="0" w:type="auto"/>
            <w:vAlign w:val="center"/>
            <w:hideMark/>
          </w:tcPr>
          <w:p w14:paraId="3A7A62D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Paridad de saldos en comparación en sombra</w:t>
            </w:r>
          </w:p>
        </w:tc>
        <w:tc>
          <w:tcPr>
            <w:tcW w:w="0" w:type="auto"/>
            <w:vAlign w:val="center"/>
            <w:hideMark/>
          </w:tcPr>
          <w:p w14:paraId="042E8C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Corrección de la proyección y del core digital</w:t>
            </w:r>
          </w:p>
        </w:tc>
        <w:tc>
          <w:tcPr>
            <w:tcW w:w="0" w:type="auto"/>
            <w:vAlign w:val="center"/>
            <w:hideMark/>
          </w:tcPr>
          <w:p w14:paraId="08DE4A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Por debajo de 99,99 % detiene el avance</w:t>
            </w:r>
          </w:p>
        </w:tc>
      </w:tr>
      <w:tr w:rsidR="000444D1" w:rsidRPr="000444D1" w14:paraId="262CF2C8" w14:textId="77777777">
        <w:trPr>
          <w:tblCellSpacing w:w="15" w:type="dxa"/>
        </w:trPr>
        <w:tc>
          <w:tcPr>
            <w:tcW w:w="0" w:type="auto"/>
            <w:vAlign w:val="center"/>
            <w:hideMark/>
          </w:tcPr>
          <w:p w14:paraId="192BA32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Órdenes en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sobre el total</w:t>
            </w:r>
          </w:p>
        </w:tc>
        <w:tc>
          <w:tcPr>
            <w:tcW w:w="0" w:type="auto"/>
            <w:vAlign w:val="center"/>
            <w:hideMark/>
          </w:tcPr>
          <w:p w14:paraId="3A1FEB2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Salud de la integración con el core</w:t>
            </w:r>
          </w:p>
        </w:tc>
        <w:tc>
          <w:tcPr>
            <w:tcW w:w="0" w:type="auto"/>
            <w:vAlign w:val="center"/>
            <w:hideMark/>
          </w:tcPr>
          <w:p w14:paraId="758C65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Tendencia creciente detiene el avance</w:t>
            </w:r>
          </w:p>
        </w:tc>
      </w:tr>
      <w:tr w:rsidR="000444D1" w:rsidRPr="000444D1" w14:paraId="6A713D8B" w14:textId="77777777">
        <w:trPr>
          <w:tblCellSpacing w:w="15" w:type="dxa"/>
        </w:trPr>
        <w:tc>
          <w:tcPr>
            <w:tcW w:w="0" w:type="auto"/>
            <w:vAlign w:val="center"/>
            <w:hideMark/>
          </w:tcPr>
          <w:p w14:paraId="256AA3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Diferencias no resueltas en reconciliación diaria</w:t>
            </w:r>
          </w:p>
        </w:tc>
        <w:tc>
          <w:tcPr>
            <w:tcW w:w="0" w:type="auto"/>
            <w:vAlign w:val="center"/>
            <w:hideMark/>
          </w:tcPr>
          <w:p w14:paraId="0702918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Integridad contable</w:t>
            </w:r>
          </w:p>
        </w:tc>
        <w:tc>
          <w:tcPr>
            <w:tcW w:w="0" w:type="auto"/>
            <w:vAlign w:val="center"/>
            <w:hideMark/>
          </w:tcPr>
          <w:p w14:paraId="089580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Cualquier diferencia sin explicar detiene el avance</w:t>
            </w:r>
          </w:p>
        </w:tc>
      </w:tr>
      <w:tr w:rsidR="000444D1" w:rsidRPr="000444D1" w14:paraId="57AA84D0" w14:textId="77777777">
        <w:trPr>
          <w:tblCellSpacing w:w="15" w:type="dxa"/>
        </w:trPr>
        <w:tc>
          <w:tcPr>
            <w:tcW w:w="0" w:type="auto"/>
            <w:vAlign w:val="center"/>
            <w:hideMark/>
          </w:tcPr>
          <w:p w14:paraId="1552F0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Proporción de eventos capturados por CDC frente a ACL</w:t>
            </w:r>
          </w:p>
        </w:tc>
        <w:tc>
          <w:tcPr>
            <w:tcW w:w="0" w:type="auto"/>
            <w:vAlign w:val="center"/>
            <w:hideMark/>
          </w:tcPr>
          <w:p w14:paraId="29E764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Salud del doble mecanismo del ADR-004</w:t>
            </w:r>
          </w:p>
        </w:tc>
        <w:tc>
          <w:tcPr>
            <w:tcW w:w="0" w:type="auto"/>
            <w:vAlign w:val="center"/>
            <w:hideMark/>
          </w:tcPr>
          <w:p w14:paraId="2CFBEC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Desviación respecto de la línea base</w:t>
            </w:r>
          </w:p>
        </w:tc>
      </w:tr>
      <w:tr w:rsidR="000444D1" w:rsidRPr="000444D1" w14:paraId="35E1B178" w14:textId="77777777">
        <w:trPr>
          <w:tblCellSpacing w:w="15" w:type="dxa"/>
        </w:trPr>
        <w:tc>
          <w:tcPr>
            <w:tcW w:w="0" w:type="auto"/>
            <w:vAlign w:val="center"/>
            <w:hideMark/>
          </w:tcPr>
          <w:p w14:paraId="43B610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p95 de las operaciones por fase</w:t>
            </w:r>
          </w:p>
        </w:tc>
        <w:tc>
          <w:tcPr>
            <w:tcW w:w="0" w:type="auto"/>
            <w:vAlign w:val="center"/>
            <w:hideMark/>
          </w:tcPr>
          <w:p w14:paraId="3AA8CE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Cumplimiento de los objetivos de latencia</w:t>
            </w:r>
          </w:p>
        </w:tc>
        <w:tc>
          <w:tcPr>
            <w:tcW w:w="0" w:type="auto"/>
            <w:vAlign w:val="center"/>
            <w:hideMark/>
          </w:tcPr>
          <w:p w14:paraId="78F3A3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Superación sostenida detiene el avance</w:t>
            </w:r>
          </w:p>
        </w:tc>
      </w:tr>
      <w:tr w:rsidR="000444D1" w:rsidRPr="000444D1" w14:paraId="274FD205" w14:textId="77777777">
        <w:trPr>
          <w:tblCellSpacing w:w="15" w:type="dxa"/>
        </w:trPr>
        <w:tc>
          <w:tcPr>
            <w:tcW w:w="0" w:type="auto"/>
            <w:vAlign w:val="center"/>
            <w:hideMark/>
          </w:tcPr>
          <w:p w14:paraId="2E6229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Incidentes de severidad alta por fase</w:t>
            </w:r>
          </w:p>
        </w:tc>
        <w:tc>
          <w:tcPr>
            <w:tcW w:w="0" w:type="auto"/>
            <w:vAlign w:val="center"/>
            <w:hideMark/>
          </w:tcPr>
          <w:p w14:paraId="06D282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Estabilidad</w:t>
            </w:r>
          </w:p>
        </w:tc>
        <w:tc>
          <w:tcPr>
            <w:tcW w:w="0" w:type="auto"/>
            <w:vAlign w:val="center"/>
            <w:hideMark/>
          </w:tcPr>
          <w:p w14:paraId="54DFC3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Dos en una fase obligan a revisión antes de continuar</w:t>
            </w:r>
          </w:p>
        </w:tc>
      </w:tr>
      <w:tr w:rsidR="000444D1" w:rsidRPr="000444D1" w14:paraId="52A00C97" w14:textId="77777777">
        <w:trPr>
          <w:tblCellSpacing w:w="15" w:type="dxa"/>
        </w:trPr>
        <w:tc>
          <w:tcPr>
            <w:tcW w:w="0" w:type="auto"/>
            <w:vAlign w:val="center"/>
            <w:hideMark/>
          </w:tcPr>
          <w:p w14:paraId="3C38CB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Proporción de transacciones por core</w:t>
            </w:r>
          </w:p>
        </w:tc>
        <w:tc>
          <w:tcPr>
            <w:tcW w:w="0" w:type="auto"/>
            <w:vAlign w:val="center"/>
            <w:hideMark/>
          </w:tcPr>
          <w:p w14:paraId="69E4DF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Avance real de la migración</w:t>
            </w:r>
          </w:p>
        </w:tc>
        <w:tc>
          <w:tcPr>
            <w:tcW w:w="0" w:type="auto"/>
            <w:vAlign w:val="center"/>
            <w:hideMark/>
          </w:tcPr>
          <w:p w14:paraId="0C5922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Indicador de progreso, no de alarma</w:t>
            </w:r>
          </w:p>
        </w:tc>
      </w:tr>
    </w:tbl>
    <w:p w14:paraId="610FDE0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indicador de avance figura deliberadamente en último lugar. Un programa de este tipo fracasa cuando el porcentaje migrado se convierte en el objetivo y desplaza a los indicadores de corrección.</w:t>
      </w:r>
    </w:p>
    <w:p w14:paraId="38C5EFA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17.7 Riesgos del programa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2040"/>
        <w:gridCol w:w="4619"/>
      </w:tblGrid>
      <w:tr w:rsidR="000444D1" w:rsidRPr="000444D1" w14:paraId="30D20CA0" w14:textId="77777777">
        <w:trPr>
          <w:tblHeader/>
          <w:tblCellSpacing w:w="15" w:type="dxa"/>
        </w:trPr>
        <w:tc>
          <w:tcPr>
            <w:tcW w:w="0" w:type="auto"/>
            <w:vAlign w:val="center"/>
            <w:hideMark/>
          </w:tcPr>
          <w:p w14:paraId="1C8811E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Riesgo</w:t>
            </w:r>
          </w:p>
        </w:tc>
        <w:tc>
          <w:tcPr>
            <w:tcW w:w="0" w:type="auto"/>
            <w:vAlign w:val="center"/>
            <w:hideMark/>
          </w:tcPr>
          <w:p w14:paraId="2B2430F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Impacto</w:t>
            </w:r>
          </w:p>
        </w:tc>
        <w:tc>
          <w:tcPr>
            <w:tcW w:w="0" w:type="auto"/>
            <w:vAlign w:val="center"/>
            <w:hideMark/>
          </w:tcPr>
          <w:p w14:paraId="2676A62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Mitigación</w:t>
            </w:r>
          </w:p>
        </w:tc>
      </w:tr>
      <w:tr w:rsidR="000444D1" w:rsidRPr="000444D1" w14:paraId="159E202F" w14:textId="77777777">
        <w:trPr>
          <w:tblCellSpacing w:w="15" w:type="dxa"/>
        </w:trPr>
        <w:tc>
          <w:tcPr>
            <w:tcW w:w="0" w:type="auto"/>
            <w:vAlign w:val="center"/>
            <w:hideMark/>
          </w:tcPr>
          <w:p w14:paraId="053B2E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Calidad de los datos del core tradicional inferior a la esperada</w:t>
            </w:r>
          </w:p>
        </w:tc>
        <w:tc>
          <w:tcPr>
            <w:tcW w:w="0" w:type="auto"/>
            <w:vAlign w:val="center"/>
            <w:hideMark/>
          </w:tcPr>
          <w:p w14:paraId="4A7DEA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Retrasos en las fases de migración de cohortes</w:t>
            </w:r>
          </w:p>
        </w:tc>
        <w:tc>
          <w:tcPr>
            <w:tcW w:w="0" w:type="auto"/>
            <w:vAlign w:val="center"/>
            <w:hideMark/>
          </w:tcPr>
          <w:p w14:paraId="5B98F28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ejecución en sombra de la Fase 1 revela los problemas de calidad años antes de necesitar migrarlos</w:t>
            </w:r>
          </w:p>
        </w:tc>
      </w:tr>
      <w:tr w:rsidR="000444D1" w:rsidRPr="000444D1" w14:paraId="651D86F9" w14:textId="77777777">
        <w:trPr>
          <w:tblCellSpacing w:w="15" w:type="dxa"/>
        </w:trPr>
        <w:tc>
          <w:tcPr>
            <w:tcW w:w="0" w:type="auto"/>
            <w:vAlign w:val="center"/>
            <w:hideMark/>
          </w:tcPr>
          <w:p w14:paraId="6E4562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El core digital no cubre una funcionalidad del producto</w:t>
            </w:r>
          </w:p>
        </w:tc>
        <w:tc>
          <w:tcPr>
            <w:tcW w:w="0" w:type="auto"/>
            <w:vAlign w:val="center"/>
            <w:hideMark/>
          </w:tcPr>
          <w:p w14:paraId="76DE92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Bloqueo de una fase</w:t>
            </w:r>
          </w:p>
        </w:tc>
        <w:tc>
          <w:tcPr>
            <w:tcW w:w="0" w:type="auto"/>
            <w:vAlign w:val="center"/>
            <w:hideMark/>
          </w:tcPr>
          <w:p w14:paraId="539A64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Validación funcional producto a producto antes de comprometer la fase; el modo de extinción natural permite aplazar sin bloquear</w:t>
            </w:r>
          </w:p>
        </w:tc>
      </w:tr>
      <w:tr w:rsidR="000444D1" w:rsidRPr="000444D1" w14:paraId="6F1E6957" w14:textId="77777777">
        <w:trPr>
          <w:tblCellSpacing w:w="15" w:type="dxa"/>
        </w:trPr>
        <w:tc>
          <w:tcPr>
            <w:tcW w:w="0" w:type="auto"/>
            <w:vAlign w:val="center"/>
            <w:hideMark/>
          </w:tcPr>
          <w:p w14:paraId="38CFD9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Duración del programa y pérdida de patrocinio</w:t>
            </w:r>
          </w:p>
        </w:tc>
        <w:tc>
          <w:tcPr>
            <w:tcW w:w="0" w:type="auto"/>
            <w:vAlign w:val="center"/>
            <w:hideMark/>
          </w:tcPr>
          <w:p w14:paraId="18E60A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Abandono a medio camino</w:t>
            </w:r>
          </w:p>
        </w:tc>
        <w:tc>
          <w:tcPr>
            <w:tcW w:w="0" w:type="auto"/>
            <w:vAlign w:val="center"/>
            <w:hideMark/>
          </w:tcPr>
          <w:p w14:paraId="4C302C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Cada fase entrega valor por sí misma. La Fase 1 mejora la experiencia sin migrar nada</w:t>
            </w:r>
          </w:p>
        </w:tc>
      </w:tr>
      <w:tr w:rsidR="000444D1" w:rsidRPr="000444D1" w14:paraId="21086EE6" w14:textId="77777777">
        <w:trPr>
          <w:tblCellSpacing w:w="15" w:type="dxa"/>
        </w:trPr>
        <w:tc>
          <w:tcPr>
            <w:tcW w:w="0" w:type="auto"/>
            <w:vAlign w:val="center"/>
            <w:hideMark/>
          </w:tcPr>
          <w:p w14:paraId="7CBC23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Dependencia de un proveedor único de core digital</w:t>
            </w:r>
          </w:p>
        </w:tc>
        <w:tc>
          <w:tcPr>
            <w:tcW w:w="0" w:type="auto"/>
            <w:vAlign w:val="center"/>
            <w:hideMark/>
          </w:tcPr>
          <w:p w14:paraId="58AA80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Riesgo comercial y técnico</w:t>
            </w:r>
          </w:p>
        </w:tc>
        <w:tc>
          <w:tcPr>
            <w:tcW w:w="0" w:type="auto"/>
            <w:vAlign w:val="center"/>
            <w:hideMark/>
          </w:tcPr>
          <w:p w14:paraId="200CAA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adaptador del core digital aísla su contrato; el puerto canónico permitiría sustituirlo con un costo acotado</w:t>
            </w:r>
          </w:p>
        </w:tc>
      </w:tr>
      <w:tr w:rsidR="000444D1" w:rsidRPr="000444D1" w14:paraId="387928E8" w14:textId="77777777">
        <w:trPr>
          <w:tblCellSpacing w:w="15" w:type="dxa"/>
        </w:trPr>
        <w:tc>
          <w:tcPr>
            <w:tcW w:w="0" w:type="auto"/>
            <w:vAlign w:val="center"/>
            <w:hideMark/>
          </w:tcPr>
          <w:p w14:paraId="5B932F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Coexistencia prolongada como estado permanente</w:t>
            </w:r>
          </w:p>
        </w:tc>
        <w:tc>
          <w:tcPr>
            <w:tcW w:w="0" w:type="auto"/>
            <w:vAlign w:val="center"/>
            <w:hideMark/>
          </w:tcPr>
          <w:p w14:paraId="38A027F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Doble costo operativo indefinido</w:t>
            </w:r>
          </w:p>
        </w:tc>
        <w:tc>
          <w:tcPr>
            <w:tcW w:w="0" w:type="auto"/>
            <w:vAlign w:val="center"/>
            <w:hideMark/>
          </w:tcPr>
          <w:p w14:paraId="732A4A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Fase 7 obliga a una decisión explícita en lugar de dejar la coexistencia por omisión</w:t>
            </w:r>
          </w:p>
        </w:tc>
      </w:tr>
      <w:tr w:rsidR="000444D1" w:rsidRPr="000444D1" w14:paraId="1E5319D7" w14:textId="77777777">
        <w:trPr>
          <w:tblCellSpacing w:w="15" w:type="dxa"/>
        </w:trPr>
        <w:tc>
          <w:tcPr>
            <w:tcW w:w="0" w:type="auto"/>
            <w:vAlign w:val="center"/>
            <w:hideMark/>
          </w:tcPr>
          <w:p w14:paraId="1B2311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Fatiga operativa por ventanas de migración repetidas</w:t>
            </w:r>
          </w:p>
        </w:tc>
        <w:tc>
          <w:tcPr>
            <w:tcW w:w="0" w:type="auto"/>
            <w:vAlign w:val="center"/>
            <w:hideMark/>
          </w:tcPr>
          <w:p w14:paraId="2B5B28E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Errores humanos</w:t>
            </w:r>
          </w:p>
        </w:tc>
        <w:tc>
          <w:tcPr>
            <w:tcW w:w="0" w:type="auto"/>
            <w:vAlign w:val="center"/>
            <w:hideMark/>
          </w:tcPr>
          <w:p w14:paraId="633C609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Cohortes espaciadas, procedimiento automatizado y verificación por comparación, no manual</w:t>
            </w:r>
          </w:p>
        </w:tc>
      </w:tr>
    </w:tbl>
    <w:p w14:paraId="7513066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riesgo de coexistencia permanente merece atención.</w:t>
      </w:r>
      <w:r w:rsidRPr="000444D1">
        <w:rPr>
          <w:rFonts w:ascii="Times New Roman" w:eastAsia="Times New Roman" w:hAnsi="Times New Roman" w:cs="Times New Roman"/>
          <w:kern w:val="0"/>
          <w14:ligatures w14:val="none"/>
        </w:rPr>
        <w:t xml:space="preserve"> El escenario más frecuente en programas multicore no es el fallo técnico, sino quedarse a mitad de camino: dos cores operando indefinidamente, con doble costo de mantenimiento y doble complejidad. El plan lo aborda convirtiendo el final en una decisión explícita y fechada, en lugar de un estado al que se llega por inercia.</w:t>
      </w:r>
    </w:p>
    <w:p w14:paraId="75EA5BB6"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2FD1193B">
          <v:rect id="Horizontal Line 451"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CD4656"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18. Observabilidad y trazabilidad</w:t>
      </w:r>
    </w:p>
    <w:p w14:paraId="7010166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18.1 Dos trazabilidades que no deben confundirse</w:t>
      </w:r>
    </w:p>
    <w:p w14:paraId="343839F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requisito de trazabilidad en un sistema bancario tiene dos naturalezas distintas, con audiencias, retenciones y garantías diferentes. Tratarlas con la misma herramienta es un error frecuente y produce dos fallos simétricos: trazas técnicas que se conservan siete años y encarecen la operación sin aportar valor, o registros de auditoría que caducan a los noventa días y dejan al banco sin capacidad de acreditar una operación ante el regulador.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3402"/>
        <w:gridCol w:w="4312"/>
      </w:tblGrid>
      <w:tr w:rsidR="000444D1" w:rsidRPr="000444D1" w14:paraId="0AFD2146" w14:textId="77777777">
        <w:trPr>
          <w:tblHeader/>
          <w:tblCellSpacing w:w="15" w:type="dxa"/>
        </w:trPr>
        <w:tc>
          <w:tcPr>
            <w:tcW w:w="0" w:type="auto"/>
            <w:vAlign w:val="center"/>
            <w:hideMark/>
          </w:tcPr>
          <w:p w14:paraId="6C15B7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182F030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Trazabilidad técnica</w:t>
            </w:r>
          </w:p>
        </w:tc>
        <w:tc>
          <w:tcPr>
            <w:tcW w:w="0" w:type="auto"/>
            <w:vAlign w:val="center"/>
            <w:hideMark/>
          </w:tcPr>
          <w:p w14:paraId="5E94BBF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Trazabilidad de negocio y regulatoria</w:t>
            </w:r>
          </w:p>
        </w:tc>
      </w:tr>
      <w:tr w:rsidR="000444D1" w:rsidRPr="000444D1" w14:paraId="2D4662B8" w14:textId="77777777">
        <w:trPr>
          <w:tblCellSpacing w:w="15" w:type="dxa"/>
        </w:trPr>
        <w:tc>
          <w:tcPr>
            <w:tcW w:w="0" w:type="auto"/>
            <w:vAlign w:val="center"/>
            <w:hideMark/>
          </w:tcPr>
          <w:p w14:paraId="2BF222A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Pregunta que responde</w:t>
            </w:r>
          </w:p>
        </w:tc>
        <w:tc>
          <w:tcPr>
            <w:tcW w:w="0" w:type="auto"/>
            <w:vAlign w:val="center"/>
            <w:hideMark/>
          </w:tcPr>
          <w:p w14:paraId="0328C2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¿Por qué esta operación tardó 4 segundos? ¿Dónde falló?</w:t>
            </w:r>
          </w:p>
        </w:tc>
        <w:tc>
          <w:tcPr>
            <w:tcW w:w="0" w:type="auto"/>
            <w:vAlign w:val="center"/>
            <w:hideMark/>
          </w:tcPr>
          <w:p w14:paraId="4DB4D4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¿Qué ocurrió con esta operación, quién la originó y bajo qué autorización?</w:t>
            </w:r>
          </w:p>
        </w:tc>
      </w:tr>
      <w:tr w:rsidR="000444D1" w:rsidRPr="000444D1" w14:paraId="464D7397" w14:textId="77777777">
        <w:trPr>
          <w:tblCellSpacing w:w="15" w:type="dxa"/>
        </w:trPr>
        <w:tc>
          <w:tcPr>
            <w:tcW w:w="0" w:type="auto"/>
            <w:vAlign w:val="center"/>
            <w:hideMark/>
          </w:tcPr>
          <w:p w14:paraId="004606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Audiencia</w:t>
            </w:r>
          </w:p>
        </w:tc>
        <w:tc>
          <w:tcPr>
            <w:tcW w:w="0" w:type="auto"/>
            <w:vAlign w:val="center"/>
            <w:hideMark/>
          </w:tcPr>
          <w:p w14:paraId="197E19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Equipos de ingeniería y operación</w:t>
            </w:r>
          </w:p>
        </w:tc>
        <w:tc>
          <w:tcPr>
            <w:tcW w:w="0" w:type="auto"/>
            <w:vAlign w:val="center"/>
            <w:hideMark/>
          </w:tcPr>
          <w:p w14:paraId="159669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Auditoría, cumplimiento, regulador, el propio titular</w:t>
            </w:r>
          </w:p>
        </w:tc>
      </w:tr>
      <w:tr w:rsidR="000444D1" w:rsidRPr="000444D1" w14:paraId="77D95329" w14:textId="77777777">
        <w:trPr>
          <w:tblCellSpacing w:w="15" w:type="dxa"/>
        </w:trPr>
        <w:tc>
          <w:tcPr>
            <w:tcW w:w="0" w:type="auto"/>
            <w:vAlign w:val="center"/>
            <w:hideMark/>
          </w:tcPr>
          <w:p w14:paraId="245833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Soporte</w:t>
            </w:r>
          </w:p>
        </w:tc>
        <w:tc>
          <w:tcPr>
            <w:tcW w:w="0" w:type="auto"/>
            <w:vAlign w:val="center"/>
            <w:hideMark/>
          </w:tcPr>
          <w:p w14:paraId="66AEBC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Trazas distribuidas, métricas y registros</w:t>
            </w:r>
          </w:p>
        </w:tc>
        <w:tc>
          <w:tcPr>
            <w:tcW w:w="0" w:type="auto"/>
            <w:vAlign w:val="center"/>
            <w:hideMark/>
          </w:tcPr>
          <w:p w14:paraId="58816A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Historial de eventos</w:t>
            </w:r>
          </w:p>
        </w:tc>
      </w:tr>
      <w:tr w:rsidR="000444D1" w:rsidRPr="000444D1" w14:paraId="3693B8BC" w14:textId="77777777">
        <w:trPr>
          <w:tblCellSpacing w:w="15" w:type="dxa"/>
        </w:trPr>
        <w:tc>
          <w:tcPr>
            <w:tcW w:w="0" w:type="auto"/>
            <w:vAlign w:val="center"/>
            <w:hideMark/>
          </w:tcPr>
          <w:p w14:paraId="675837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Retención</w:t>
            </w:r>
          </w:p>
        </w:tc>
        <w:tc>
          <w:tcPr>
            <w:tcW w:w="0" w:type="auto"/>
            <w:vAlign w:val="center"/>
            <w:hideMark/>
          </w:tcPr>
          <w:p w14:paraId="3E5B70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90 días</w:t>
            </w:r>
          </w:p>
        </w:tc>
        <w:tc>
          <w:tcPr>
            <w:tcW w:w="0" w:type="auto"/>
            <w:vAlign w:val="center"/>
            <w:hideMark/>
          </w:tcPr>
          <w:p w14:paraId="54E6D5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 años</w:t>
            </w:r>
          </w:p>
        </w:tc>
      </w:tr>
      <w:tr w:rsidR="000444D1" w:rsidRPr="000444D1" w14:paraId="1572BA74" w14:textId="77777777">
        <w:trPr>
          <w:tblCellSpacing w:w="15" w:type="dxa"/>
        </w:trPr>
        <w:tc>
          <w:tcPr>
            <w:tcW w:w="0" w:type="auto"/>
            <w:vAlign w:val="center"/>
            <w:hideMark/>
          </w:tcPr>
          <w:p w14:paraId="5C22D2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Garantía</w:t>
            </w:r>
          </w:p>
        </w:tc>
        <w:tc>
          <w:tcPr>
            <w:tcW w:w="0" w:type="auto"/>
            <w:vAlign w:val="center"/>
            <w:hideMark/>
          </w:tcPr>
          <w:p w14:paraId="3EED6A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Mejor esfuerzo; el muestreo es aceptable</w:t>
            </w:r>
          </w:p>
        </w:tc>
        <w:tc>
          <w:tcPr>
            <w:tcW w:w="0" w:type="auto"/>
            <w:vAlign w:val="center"/>
            <w:hideMark/>
          </w:tcPr>
          <w:p w14:paraId="3522DC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Completitud e inmutabilidad; el muestreo es inaceptable</w:t>
            </w:r>
          </w:p>
        </w:tc>
      </w:tr>
      <w:tr w:rsidR="000444D1" w:rsidRPr="000444D1" w14:paraId="4F3F0638" w14:textId="77777777">
        <w:trPr>
          <w:tblCellSpacing w:w="15" w:type="dxa"/>
        </w:trPr>
        <w:tc>
          <w:tcPr>
            <w:tcW w:w="0" w:type="auto"/>
            <w:vAlign w:val="center"/>
            <w:hideMark/>
          </w:tcPr>
          <w:p w14:paraId="6D67A9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Contenido</w:t>
            </w:r>
          </w:p>
        </w:tc>
        <w:tc>
          <w:tcPr>
            <w:tcW w:w="0" w:type="auto"/>
            <w:vAlign w:val="center"/>
            <w:hideMark/>
          </w:tcPr>
          <w:p w14:paraId="3CD8471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Latencias, errores, dependencias, enmascarado</w:t>
            </w:r>
          </w:p>
        </w:tc>
        <w:tc>
          <w:tcPr>
            <w:tcW w:w="0" w:type="auto"/>
            <w:vAlign w:val="center"/>
            <w:hideMark/>
          </w:tcPr>
          <w:p w14:paraId="502C51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Hechos de negocio con su contexto de autorización</w:t>
            </w:r>
          </w:p>
        </w:tc>
      </w:tr>
    </w:tbl>
    <w:p w14:paraId="3FDE7C1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consecuencia de diseño es directa: </w:t>
      </w:r>
      <w:r w:rsidRPr="000444D1">
        <w:rPr>
          <w:rFonts w:ascii="Times New Roman" w:eastAsia="Times New Roman" w:hAnsi="Times New Roman" w:cs="Times New Roman"/>
          <w:b/>
          <w:bCs/>
          <w:kern w:val="0"/>
          <w14:ligatures w14:val="none"/>
        </w:rPr>
        <w:t>el registro de auditoría no se deriva de la telemetría, se deriva de los eventos de dominio.</w:t>
      </w:r>
      <w:r w:rsidRPr="000444D1">
        <w:rPr>
          <w:rFonts w:ascii="Times New Roman" w:eastAsia="Times New Roman" w:hAnsi="Times New Roman" w:cs="Times New Roman"/>
          <w:kern w:val="0"/>
          <w14:ligatures w14:val="none"/>
        </w:rPr>
        <w:t xml:space="preserve"> D8 consume el bus, no el sistema de trazas. Un evento perdido en la telemetría es una molestia; un evento perdido en la auditoría es un incumplimiento.</w:t>
      </w:r>
    </w:p>
    <w:p w14:paraId="554A7D5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18.2 Modelo de correlación</w:t>
      </w:r>
    </w:p>
    <w:p w14:paraId="25B6E19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Seis identificadores recorren el sistema, cada uno con un propósito distinto. Su combinación es lo que permite reconstruir una operación de extremo a extremo.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2290"/>
        <w:gridCol w:w="2011"/>
        <w:gridCol w:w="3061"/>
      </w:tblGrid>
      <w:tr w:rsidR="000444D1" w:rsidRPr="000444D1" w14:paraId="70532BD9" w14:textId="77777777">
        <w:trPr>
          <w:tblHeader/>
          <w:tblCellSpacing w:w="15" w:type="dxa"/>
        </w:trPr>
        <w:tc>
          <w:tcPr>
            <w:tcW w:w="0" w:type="auto"/>
            <w:vAlign w:val="center"/>
            <w:hideMark/>
          </w:tcPr>
          <w:p w14:paraId="73F97B8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Identificador</w:t>
            </w:r>
          </w:p>
        </w:tc>
        <w:tc>
          <w:tcPr>
            <w:tcW w:w="0" w:type="auto"/>
            <w:vAlign w:val="center"/>
            <w:hideMark/>
          </w:tcPr>
          <w:p w14:paraId="4503E44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Origen</w:t>
            </w:r>
          </w:p>
        </w:tc>
        <w:tc>
          <w:tcPr>
            <w:tcW w:w="0" w:type="auto"/>
            <w:vAlign w:val="center"/>
            <w:hideMark/>
          </w:tcPr>
          <w:p w14:paraId="415A08C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360EC97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Propósito</w:t>
            </w:r>
          </w:p>
        </w:tc>
      </w:tr>
      <w:tr w:rsidR="000444D1" w:rsidRPr="000444D1" w14:paraId="231BBDC3" w14:textId="77777777">
        <w:trPr>
          <w:tblCellSpacing w:w="15" w:type="dxa"/>
        </w:trPr>
        <w:tc>
          <w:tcPr>
            <w:tcW w:w="0" w:type="auto"/>
            <w:vAlign w:val="center"/>
            <w:hideMark/>
          </w:tcPr>
          <w:p w14:paraId="41C613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traceparent</w:t>
            </w:r>
          </w:p>
        </w:tc>
        <w:tc>
          <w:tcPr>
            <w:tcW w:w="0" w:type="auto"/>
            <w:vAlign w:val="center"/>
            <w:hideMark/>
          </w:tcPr>
          <w:p w14:paraId="66E03B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Generado en el borde si el cliente no lo aporta</w:t>
            </w:r>
          </w:p>
        </w:tc>
        <w:tc>
          <w:tcPr>
            <w:tcW w:w="0" w:type="auto"/>
            <w:vAlign w:val="center"/>
            <w:hideMark/>
          </w:tcPr>
          <w:p w14:paraId="43623F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la operación, síncrona y asíncrona</w:t>
            </w:r>
          </w:p>
        </w:tc>
        <w:tc>
          <w:tcPr>
            <w:tcW w:w="0" w:type="auto"/>
            <w:vAlign w:val="center"/>
            <w:hideMark/>
          </w:tcPr>
          <w:p w14:paraId="2B241A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Correlación técnica extremo a extremo (W3C Trace Context)</w:t>
            </w:r>
          </w:p>
        </w:tc>
      </w:tr>
      <w:tr w:rsidR="000444D1" w:rsidRPr="000444D1" w14:paraId="48EF270E" w14:textId="77777777">
        <w:trPr>
          <w:tblCellSpacing w:w="15" w:type="dxa"/>
        </w:trPr>
        <w:tc>
          <w:tcPr>
            <w:tcW w:w="0" w:type="auto"/>
            <w:vAlign w:val="center"/>
            <w:hideMark/>
          </w:tcPr>
          <w:p w14:paraId="7A4BA5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idCorrelacion</w:t>
            </w:r>
          </w:p>
        </w:tc>
        <w:tc>
          <w:tcPr>
            <w:tcW w:w="0" w:type="auto"/>
            <w:vAlign w:val="center"/>
            <w:hideMark/>
          </w:tcPr>
          <w:p w14:paraId="430D7A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Copia del </w:t>
            </w:r>
            <w:r w:rsidRPr="000444D1">
              <w:rPr>
                <w:rFonts w:ascii="Courier New" w:eastAsia="Times New Roman" w:hAnsi="Courier New" w:cs="Courier New"/>
                <w:kern w:val="0"/>
                <w:sz w:val="20"/>
                <w:szCs w:val="20"/>
                <w14:ligatures w14:val="none"/>
              </w:rPr>
              <w:t>traceparent</w:t>
            </w:r>
            <w:r w:rsidRPr="000444D1">
              <w:rPr>
                <w:rFonts w:ascii="Times New Roman" w:eastAsia="Times New Roman" w:hAnsi="Times New Roman" w:cs="Times New Roman"/>
                <w:kern w:val="0"/>
                <w14:ligatures w14:val="none"/>
              </w:rPr>
              <w:t xml:space="preserve"> en el sobre del evento</w:t>
            </w:r>
          </w:p>
        </w:tc>
        <w:tc>
          <w:tcPr>
            <w:tcW w:w="0" w:type="auto"/>
            <w:vAlign w:val="center"/>
            <w:hideMark/>
          </w:tcPr>
          <w:p w14:paraId="772847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Cadena de eventos derivados</w:t>
            </w:r>
          </w:p>
        </w:tc>
        <w:tc>
          <w:tcPr>
            <w:tcW w:w="0" w:type="auto"/>
            <w:vAlign w:val="center"/>
            <w:hideMark/>
          </w:tcPr>
          <w:p w14:paraId="5F43D9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Enlaza la propagación asíncrona con la traza original</w:t>
            </w:r>
          </w:p>
        </w:tc>
      </w:tr>
      <w:tr w:rsidR="000444D1" w:rsidRPr="000444D1" w14:paraId="67EEAA16" w14:textId="77777777">
        <w:trPr>
          <w:tblCellSpacing w:w="15" w:type="dxa"/>
        </w:trPr>
        <w:tc>
          <w:tcPr>
            <w:tcW w:w="0" w:type="auto"/>
            <w:vAlign w:val="center"/>
            <w:hideMark/>
          </w:tcPr>
          <w:p w14:paraId="19BA152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claveNegocio</w:t>
            </w:r>
          </w:p>
        </w:tc>
        <w:tc>
          <w:tcPr>
            <w:tcW w:w="0" w:type="auto"/>
            <w:vAlign w:val="center"/>
            <w:hideMark/>
          </w:tcPr>
          <w:p w14:paraId="12CA8DE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Servicio de dominio productor</w:t>
            </w:r>
          </w:p>
        </w:tc>
        <w:tc>
          <w:tcPr>
            <w:tcW w:w="0" w:type="auto"/>
            <w:vAlign w:val="center"/>
            <w:hideMark/>
          </w:tcPr>
          <w:p w14:paraId="7FB29F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Hecho de negocio</w:t>
            </w:r>
          </w:p>
        </w:tc>
        <w:tc>
          <w:tcPr>
            <w:tcW w:w="0" w:type="auto"/>
            <w:vAlign w:val="center"/>
            <w:hideMark/>
          </w:tcPr>
          <w:p w14:paraId="02A751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Deduplicación entre las dos fuentes del ADR-004 e identidad del hecho</w:t>
            </w:r>
          </w:p>
        </w:tc>
      </w:tr>
      <w:tr w:rsidR="000444D1" w:rsidRPr="000444D1" w14:paraId="192B86CE" w14:textId="77777777">
        <w:trPr>
          <w:tblCellSpacing w:w="15" w:type="dxa"/>
        </w:trPr>
        <w:tc>
          <w:tcPr>
            <w:tcW w:w="0" w:type="auto"/>
            <w:vAlign w:val="center"/>
            <w:hideMark/>
          </w:tcPr>
          <w:p w14:paraId="4A0001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Idempotency-Key</w:t>
            </w:r>
          </w:p>
        </w:tc>
        <w:tc>
          <w:tcPr>
            <w:tcW w:w="0" w:type="auto"/>
            <w:vAlign w:val="center"/>
            <w:hideMark/>
          </w:tcPr>
          <w:p w14:paraId="7D3C33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Generada por el canal</w:t>
            </w:r>
          </w:p>
        </w:tc>
        <w:tc>
          <w:tcPr>
            <w:tcW w:w="0" w:type="auto"/>
            <w:vAlign w:val="center"/>
            <w:hideMark/>
          </w:tcPr>
          <w:p w14:paraId="098585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Intento de operación</w:t>
            </w:r>
          </w:p>
        </w:tc>
        <w:tc>
          <w:tcPr>
            <w:tcW w:w="0" w:type="auto"/>
            <w:vAlign w:val="center"/>
            <w:hideMark/>
          </w:tcPr>
          <w:p w14:paraId="62595C0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Distingue un reintento de una operación nueva</w:t>
            </w:r>
          </w:p>
        </w:tc>
      </w:tr>
      <w:tr w:rsidR="000444D1" w:rsidRPr="000444D1" w14:paraId="332C18EF" w14:textId="77777777">
        <w:trPr>
          <w:tblCellSpacing w:w="15" w:type="dxa"/>
        </w:trPr>
        <w:tc>
          <w:tcPr>
            <w:tcW w:w="0" w:type="auto"/>
            <w:vAlign w:val="center"/>
            <w:hideMark/>
          </w:tcPr>
          <w:p w14:paraId="35DF4A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referenciaCore</w:t>
            </w:r>
          </w:p>
        </w:tc>
        <w:tc>
          <w:tcPr>
            <w:tcW w:w="0" w:type="auto"/>
            <w:vAlign w:val="center"/>
            <w:hideMark/>
          </w:tcPr>
          <w:p w14:paraId="523FBCE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Devuelta por el core al confirmar</w:t>
            </w:r>
          </w:p>
        </w:tc>
        <w:tc>
          <w:tcPr>
            <w:tcW w:w="0" w:type="auto"/>
            <w:vAlign w:val="center"/>
            <w:hideMark/>
          </w:tcPr>
          <w:p w14:paraId="723E30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Movimiento contable</w:t>
            </w:r>
          </w:p>
        </w:tc>
        <w:tc>
          <w:tcPr>
            <w:tcW w:w="0" w:type="auto"/>
            <w:vAlign w:val="center"/>
            <w:hideMark/>
          </w:tcPr>
          <w:p w14:paraId="56DB39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Puente entre el registro del banco y el del sistema legado</w:t>
            </w:r>
          </w:p>
        </w:tc>
      </w:tr>
      <w:tr w:rsidR="000444D1" w:rsidRPr="000444D1" w14:paraId="2E3C7559" w14:textId="77777777">
        <w:trPr>
          <w:tblCellSpacing w:w="15" w:type="dxa"/>
        </w:trPr>
        <w:tc>
          <w:tcPr>
            <w:tcW w:w="0" w:type="auto"/>
            <w:vAlign w:val="center"/>
            <w:hideMark/>
          </w:tcPr>
          <w:p w14:paraId="3DC550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x-fapi-interaction-id</w:t>
            </w:r>
          </w:p>
        </w:tc>
        <w:tc>
          <w:tcPr>
            <w:tcW w:w="0" w:type="auto"/>
            <w:vAlign w:val="center"/>
            <w:hideMark/>
          </w:tcPr>
          <w:p w14:paraId="55A0E5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Generado por el TPP</w:t>
            </w:r>
          </w:p>
        </w:tc>
        <w:tc>
          <w:tcPr>
            <w:tcW w:w="0" w:type="auto"/>
            <w:vAlign w:val="center"/>
            <w:hideMark/>
          </w:tcPr>
          <w:p w14:paraId="188C5B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Petición externa</w:t>
            </w:r>
          </w:p>
        </w:tc>
        <w:tc>
          <w:tcPr>
            <w:tcW w:w="0" w:type="auto"/>
            <w:vAlign w:val="center"/>
            <w:hideMark/>
          </w:tcPr>
          <w:p w14:paraId="5B9996D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Correlación con el registro del tercero ante una disputa</w:t>
            </w:r>
          </w:p>
        </w:tc>
      </w:tr>
    </w:tbl>
    <w:p w14:paraId="606E967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b/>
          <w:bCs/>
          <w:kern w:val="0"/>
          <w:sz w:val="20"/>
          <w:szCs w:val="20"/>
          <w14:ligatures w14:val="none"/>
        </w:rPr>
        <w:t>referenciaCore</w:t>
      </w:r>
      <w:r w:rsidRPr="000444D1">
        <w:rPr>
          <w:rFonts w:ascii="Times New Roman" w:eastAsia="Times New Roman" w:hAnsi="Times New Roman" w:cs="Times New Roman"/>
          <w:b/>
          <w:bCs/>
          <w:kern w:val="0"/>
          <w14:ligatures w14:val="none"/>
        </w:rPr>
        <w:t xml:space="preserve"> es el identificador que más se subestima.</w:t>
      </w:r>
      <w:r w:rsidRPr="000444D1">
        <w:rPr>
          <w:rFonts w:ascii="Times New Roman" w:eastAsia="Times New Roman" w:hAnsi="Times New Roman" w:cs="Times New Roman"/>
          <w:kern w:val="0"/>
          <w14:ligatures w14:val="none"/>
        </w:rPr>
        <w:t xml:space="preserve"> Es el único punto de unión entre la traza de la plataforma y los registros propios del core tradicional. Ante una discrepancia contable, es lo que permite pasar de "la orden 9c4f2a71 quedó en verificación" a un asiento concreto en el sistema legado. Sin él, ambos registros serían universos incomunicados y toda reconciliación tendría que hacerse por coincidencia de importes y fechas, que es aproximada y no resiste una auditoría.</w:t>
      </w:r>
    </w:p>
    <w:p w14:paraId="0D9064B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18.3 Trazas distribuidas y la frontera asíncrona</w:t>
      </w:r>
    </w:p>
    <w:p w14:paraId="7773E35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instrumentación se basa en </w:t>
      </w:r>
      <w:r w:rsidRPr="000444D1">
        <w:rPr>
          <w:rFonts w:ascii="Times New Roman" w:eastAsia="Times New Roman" w:hAnsi="Times New Roman" w:cs="Times New Roman"/>
          <w:b/>
          <w:bCs/>
          <w:kern w:val="0"/>
          <w14:ligatures w14:val="none"/>
        </w:rPr>
        <w:t>OpenTelemetry</w:t>
      </w:r>
      <w:r w:rsidRPr="000444D1">
        <w:rPr>
          <w:rFonts w:ascii="Times New Roman" w:eastAsia="Times New Roman" w:hAnsi="Times New Roman" w:cs="Times New Roman"/>
          <w:kern w:val="0"/>
          <w14:ligatures w14:val="none"/>
        </w:rPr>
        <w:t>, con propagación automática en los enlaces síncronos. Los dos puntos que exigen tratamiento explícito son las fronteras donde la propagación automática no ocurre: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7564"/>
      </w:tblGrid>
      <w:tr w:rsidR="000444D1" w:rsidRPr="000444D1" w14:paraId="57A5400C" w14:textId="77777777">
        <w:trPr>
          <w:tblHeader/>
          <w:tblCellSpacing w:w="15" w:type="dxa"/>
        </w:trPr>
        <w:tc>
          <w:tcPr>
            <w:tcW w:w="0" w:type="auto"/>
            <w:vAlign w:val="center"/>
            <w:hideMark/>
          </w:tcPr>
          <w:p w14:paraId="33E5894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Frontera</w:t>
            </w:r>
          </w:p>
        </w:tc>
        <w:tc>
          <w:tcPr>
            <w:tcW w:w="0" w:type="auto"/>
            <w:vAlign w:val="center"/>
            <w:hideMark/>
          </w:tcPr>
          <w:p w14:paraId="07D0284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w:t>
            </w:r>
          </w:p>
        </w:tc>
      </w:tr>
      <w:tr w:rsidR="000444D1" w:rsidRPr="000444D1" w14:paraId="0441C113" w14:textId="77777777">
        <w:trPr>
          <w:tblCellSpacing w:w="15" w:type="dxa"/>
        </w:trPr>
        <w:tc>
          <w:tcPr>
            <w:tcW w:w="0" w:type="auto"/>
            <w:vAlign w:val="center"/>
            <w:hideMark/>
          </w:tcPr>
          <w:p w14:paraId="7996DE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Publicación de un evento</w:t>
            </w:r>
          </w:p>
        </w:tc>
        <w:tc>
          <w:tcPr>
            <w:tcW w:w="0" w:type="auto"/>
            <w:vAlign w:val="center"/>
            <w:hideMark/>
          </w:tcPr>
          <w:p w14:paraId="2BE4D1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publicador outbox copia el </w:t>
            </w:r>
            <w:r w:rsidRPr="000444D1">
              <w:rPr>
                <w:rFonts w:ascii="Courier New" w:eastAsia="Times New Roman" w:hAnsi="Courier New" w:cs="Courier New"/>
                <w:kern w:val="0"/>
                <w:sz w:val="20"/>
                <w:szCs w:val="20"/>
                <w14:ligatures w14:val="none"/>
              </w:rPr>
              <w:t>traceparent</w:t>
            </w:r>
            <w:r w:rsidRPr="000444D1">
              <w:rPr>
                <w:rFonts w:ascii="Times New Roman" w:eastAsia="Times New Roman" w:hAnsi="Times New Roman" w:cs="Times New Roman"/>
                <w:kern w:val="0"/>
                <w14:ligatures w14:val="none"/>
              </w:rPr>
              <w:t xml:space="preserve"> vigente al sobre del evento. La traza no termina en la publicación: continúa en el consumidor</w:t>
            </w:r>
          </w:p>
        </w:tc>
      </w:tr>
      <w:tr w:rsidR="000444D1" w:rsidRPr="000444D1" w14:paraId="5007DDC3" w14:textId="77777777">
        <w:trPr>
          <w:tblCellSpacing w:w="15" w:type="dxa"/>
        </w:trPr>
        <w:tc>
          <w:tcPr>
            <w:tcW w:w="0" w:type="auto"/>
            <w:vAlign w:val="center"/>
            <w:hideMark/>
          </w:tcPr>
          <w:p w14:paraId="69989D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Consumo de un evento</w:t>
            </w:r>
          </w:p>
        </w:tc>
        <w:tc>
          <w:tcPr>
            <w:tcW w:w="0" w:type="auto"/>
            <w:vAlign w:val="center"/>
            <w:hideMark/>
          </w:tcPr>
          <w:p w14:paraId="1EEEF3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consumidor abre un tramo enlazado al contexto del sobre, no un tramo nuevo e inconexo. Se modela como enlace, no como continuación, porque el consumo puede ocurrir minutos después y no es un tramo hijo en sentido estricto</w:t>
            </w:r>
          </w:p>
        </w:tc>
      </w:tr>
      <w:tr w:rsidR="000444D1" w:rsidRPr="000444D1" w14:paraId="37E4031F" w14:textId="77777777">
        <w:trPr>
          <w:tblCellSpacing w:w="15" w:type="dxa"/>
        </w:trPr>
        <w:tc>
          <w:tcPr>
            <w:tcW w:w="0" w:type="auto"/>
            <w:vAlign w:val="center"/>
            <w:hideMark/>
          </w:tcPr>
          <w:p w14:paraId="58D3637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Despacho diferido del outbox</w:t>
            </w:r>
          </w:p>
        </w:tc>
        <w:tc>
          <w:tcPr>
            <w:tcW w:w="0" w:type="auto"/>
            <w:vAlign w:val="center"/>
            <w:hideMark/>
          </w:tcPr>
          <w:p w14:paraId="409BE6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tramo de publicación registra la latencia entre la escritura del evento y su envío efectivo. Es la métrica que revela un despachador rezagado antes de que la proyección se desactualice de forma visible</w:t>
            </w:r>
          </w:p>
        </w:tc>
      </w:tr>
      <w:tr w:rsidR="000444D1" w:rsidRPr="000444D1" w14:paraId="382ACB5C" w14:textId="77777777">
        <w:trPr>
          <w:tblCellSpacing w:w="15" w:type="dxa"/>
        </w:trPr>
        <w:tc>
          <w:tcPr>
            <w:tcW w:w="0" w:type="auto"/>
            <w:vAlign w:val="center"/>
            <w:hideMark/>
          </w:tcPr>
          <w:p w14:paraId="41588B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Invocación al core tradicional</w:t>
            </w:r>
          </w:p>
        </w:tc>
        <w:tc>
          <w:tcPr>
            <w:tcW w:w="0" w:type="auto"/>
            <w:vAlign w:val="center"/>
            <w:hideMark/>
          </w:tcPr>
          <w:p w14:paraId="7CDCA8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ACL abre un tramo que abarca la llamada y registra en él el </w:t>
            </w:r>
            <w:r w:rsidRPr="000444D1">
              <w:rPr>
                <w:rFonts w:ascii="Courier New" w:eastAsia="Times New Roman" w:hAnsi="Courier New" w:cs="Courier New"/>
                <w:kern w:val="0"/>
                <w:sz w:val="20"/>
                <w:szCs w:val="20"/>
                <w14:ligatures w14:val="none"/>
              </w:rPr>
              <w:t>referenciaCore</w:t>
            </w:r>
            <w:r w:rsidRPr="000444D1">
              <w:rPr>
                <w:rFonts w:ascii="Times New Roman" w:eastAsia="Times New Roman" w:hAnsi="Times New Roman" w:cs="Times New Roman"/>
                <w:kern w:val="0"/>
                <w14:ligatures w14:val="none"/>
              </w:rPr>
              <w:t xml:space="preserve"> devuelto. El tramo termina donde termina la instrumentación posible</w:t>
            </w:r>
          </w:p>
        </w:tc>
      </w:tr>
    </w:tbl>
    <w:p w14:paraId="5CC86C4D"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18.4 El límite de la observabilidad: el sistema legado</w:t>
      </w:r>
    </w:p>
    <w:p w14:paraId="0FEFA4A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core tradicional no puede instrumentarse.</w:t>
      </w:r>
      <w:r w:rsidRPr="000444D1">
        <w:rPr>
          <w:rFonts w:ascii="Times New Roman" w:eastAsia="Times New Roman" w:hAnsi="Times New Roman" w:cs="Times New Roman"/>
          <w:kern w:val="0"/>
          <w14:ligatures w14:val="none"/>
        </w:rPr>
        <w:t xml:space="preserve"> No acepta cabeceras de propagación, no emite tramos y sus registros internos siguen un formato propio y un ciclo de retención ajeno al programa. Declararlo es preferible a presentar un modelo de observabilidad que implícitamente supone lo contrario.</w:t>
      </w:r>
    </w:p>
    <w:p w14:paraId="778D97D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 que el diseño sí garantiza en esa frontera: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8"/>
        <w:gridCol w:w="5852"/>
      </w:tblGrid>
      <w:tr w:rsidR="000444D1" w:rsidRPr="000444D1" w14:paraId="1D19267F" w14:textId="77777777">
        <w:trPr>
          <w:tblHeader/>
          <w:tblCellSpacing w:w="15" w:type="dxa"/>
        </w:trPr>
        <w:tc>
          <w:tcPr>
            <w:tcW w:w="0" w:type="auto"/>
            <w:vAlign w:val="center"/>
            <w:hideMark/>
          </w:tcPr>
          <w:p w14:paraId="0E067A1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Aspecto</w:t>
            </w:r>
          </w:p>
        </w:tc>
        <w:tc>
          <w:tcPr>
            <w:tcW w:w="0" w:type="auto"/>
            <w:vAlign w:val="center"/>
            <w:hideMark/>
          </w:tcPr>
          <w:p w14:paraId="298637D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Garantía</w:t>
            </w:r>
          </w:p>
        </w:tc>
      </w:tr>
      <w:tr w:rsidR="000444D1" w:rsidRPr="000444D1" w14:paraId="61E46178" w14:textId="77777777">
        <w:trPr>
          <w:tblCellSpacing w:w="15" w:type="dxa"/>
        </w:trPr>
        <w:tc>
          <w:tcPr>
            <w:tcW w:w="0" w:type="auto"/>
            <w:vAlign w:val="center"/>
            <w:hideMark/>
          </w:tcPr>
          <w:p w14:paraId="68E6A5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y resultado de cada invocación</w:t>
            </w:r>
          </w:p>
        </w:tc>
        <w:tc>
          <w:tcPr>
            <w:tcW w:w="0" w:type="auto"/>
            <w:vAlign w:val="center"/>
            <w:hideMark/>
          </w:tcPr>
          <w:p w14:paraId="73676D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Medidos por el ACL desde fuera</w:t>
            </w:r>
          </w:p>
        </w:tc>
      </w:tr>
      <w:tr w:rsidR="000444D1" w:rsidRPr="000444D1" w14:paraId="506E4A70" w14:textId="77777777">
        <w:trPr>
          <w:tblCellSpacing w:w="15" w:type="dxa"/>
        </w:trPr>
        <w:tc>
          <w:tcPr>
            <w:tcW w:w="0" w:type="auto"/>
            <w:vAlign w:val="center"/>
            <w:hideMark/>
          </w:tcPr>
          <w:p w14:paraId="117C1F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Correlación con el registro del core</w:t>
            </w:r>
          </w:p>
        </w:tc>
        <w:tc>
          <w:tcPr>
            <w:tcW w:w="0" w:type="auto"/>
            <w:vAlign w:val="center"/>
            <w:hideMark/>
          </w:tcPr>
          <w:p w14:paraId="61C4A8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Mediante </w:t>
            </w:r>
            <w:r w:rsidRPr="000444D1">
              <w:rPr>
                <w:rFonts w:ascii="Courier New" w:eastAsia="Times New Roman" w:hAnsi="Courier New" w:cs="Courier New"/>
                <w:kern w:val="0"/>
                <w:sz w:val="20"/>
                <w:szCs w:val="20"/>
                <w14:ligatures w14:val="none"/>
              </w:rPr>
              <w:t>referenciaCore</w:t>
            </w:r>
            <w:r w:rsidRPr="000444D1">
              <w:rPr>
                <w:rFonts w:ascii="Times New Roman" w:eastAsia="Times New Roman" w:hAnsi="Times New Roman" w:cs="Times New Roman"/>
                <w:kern w:val="0"/>
                <w14:ligatures w14:val="none"/>
              </w:rPr>
              <w:t>, capturado en el tramo y en el evento</w:t>
            </w:r>
          </w:p>
        </w:tc>
      </w:tr>
      <w:tr w:rsidR="000444D1" w:rsidRPr="000444D1" w14:paraId="751CF7DC" w14:textId="77777777">
        <w:trPr>
          <w:tblCellSpacing w:w="15" w:type="dxa"/>
        </w:trPr>
        <w:tc>
          <w:tcPr>
            <w:tcW w:w="0" w:type="auto"/>
            <w:vAlign w:val="center"/>
            <w:hideMark/>
          </w:tcPr>
          <w:p w14:paraId="322A92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Visibilidad de lo que ocurre dentro del core</w:t>
            </w:r>
          </w:p>
        </w:tc>
        <w:tc>
          <w:tcPr>
            <w:tcW w:w="0" w:type="auto"/>
            <w:vAlign w:val="center"/>
            <w:hideMark/>
          </w:tcPr>
          <w:p w14:paraId="263909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Ninguna.</w:t>
            </w:r>
            <w:r w:rsidRPr="000444D1">
              <w:rPr>
                <w:rFonts w:ascii="Times New Roman" w:eastAsia="Times New Roman" w:hAnsi="Times New Roman" w:cs="Times New Roman"/>
                <w:kern w:val="0"/>
                <w14:ligatures w14:val="none"/>
              </w:rPr>
              <w:t xml:space="preserve"> El ACL es una caja negra observada desde su exterior</w:t>
            </w:r>
          </w:p>
        </w:tc>
      </w:tr>
      <w:tr w:rsidR="000444D1" w:rsidRPr="000444D1" w14:paraId="23EA7DD0" w14:textId="77777777">
        <w:trPr>
          <w:tblCellSpacing w:w="15" w:type="dxa"/>
        </w:trPr>
        <w:tc>
          <w:tcPr>
            <w:tcW w:w="0" w:type="auto"/>
            <w:vAlign w:val="center"/>
            <w:hideMark/>
          </w:tcPr>
          <w:p w14:paraId="735D9F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Operaciones no originadas por el ACL</w:t>
            </w:r>
          </w:p>
        </w:tc>
        <w:tc>
          <w:tcPr>
            <w:tcW w:w="0" w:type="auto"/>
            <w:vAlign w:val="center"/>
            <w:hideMark/>
          </w:tcPr>
          <w:p w14:paraId="69B6C6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Visibles únicamente a través del CDC, con la latencia propia de la captura</w:t>
            </w:r>
          </w:p>
        </w:tc>
      </w:tr>
    </w:tbl>
    <w:p w14:paraId="75E94F7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consecuencia operativa es que un incidente localizado dentro del core requiere la colaboración del equipo que lo opera. El diseño acota el problema —permite afirmar con precisión que la latencia se origina más allá del ACL— pero no lo resuelve, y no debe presentarse como si lo hiciera.</w:t>
      </w:r>
    </w:p>
    <w:p w14:paraId="129A0C8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18.5 Métricas</w:t>
      </w:r>
    </w:p>
    <w:p w14:paraId="3ADE71F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Por servicio</w:t>
      </w:r>
      <w:r w:rsidRPr="000444D1">
        <w:rPr>
          <w:rFonts w:ascii="Times New Roman" w:eastAsia="Times New Roman" w:hAnsi="Times New Roman" w:cs="Times New Roman"/>
          <w:kern w:val="0"/>
          <w14:ligatures w14:val="none"/>
        </w:rPr>
        <w:t>, tres métricas obligatorias, uniformes en todos los componentes: tasa de peticiones, proporción de errores y distribución de latencia. La uniformidad es lo que permite un tablero común y una alerta común.</w:t>
      </w:r>
    </w:p>
    <w:p w14:paraId="02C757B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Por naturaleza del componente: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7191"/>
      </w:tblGrid>
      <w:tr w:rsidR="000444D1" w:rsidRPr="000444D1" w14:paraId="3EFC6EE3" w14:textId="77777777">
        <w:trPr>
          <w:tblHeader/>
          <w:tblCellSpacing w:w="15" w:type="dxa"/>
        </w:trPr>
        <w:tc>
          <w:tcPr>
            <w:tcW w:w="0" w:type="auto"/>
            <w:vAlign w:val="center"/>
            <w:hideMark/>
          </w:tcPr>
          <w:p w14:paraId="347DD84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c>
          <w:tcPr>
            <w:tcW w:w="0" w:type="auto"/>
            <w:vAlign w:val="center"/>
            <w:hideMark/>
          </w:tcPr>
          <w:p w14:paraId="5ADF2E3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Métricas específicas</w:t>
            </w:r>
          </w:p>
        </w:tc>
      </w:tr>
      <w:tr w:rsidR="000444D1" w:rsidRPr="000444D1" w14:paraId="3B4E5FCC" w14:textId="77777777">
        <w:trPr>
          <w:tblCellSpacing w:w="15" w:type="dxa"/>
        </w:trPr>
        <w:tc>
          <w:tcPr>
            <w:tcW w:w="0" w:type="auto"/>
            <w:vAlign w:val="center"/>
            <w:hideMark/>
          </w:tcPr>
          <w:p w14:paraId="7536C6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Consumidores de eventos</w:t>
            </w:r>
          </w:p>
        </w:tc>
        <w:tc>
          <w:tcPr>
            <w:tcW w:w="0" w:type="auto"/>
            <w:vAlign w:val="center"/>
            <w:hideMark/>
          </w:tcPr>
          <w:p w14:paraId="51761D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Retraso de consumo por partición, profundidad de la DLQ, edad del mensaje más antiguo</w:t>
            </w:r>
          </w:p>
        </w:tc>
      </w:tr>
      <w:tr w:rsidR="000444D1" w:rsidRPr="000444D1" w14:paraId="5824BE0E" w14:textId="77777777">
        <w:trPr>
          <w:tblCellSpacing w:w="15" w:type="dxa"/>
        </w:trPr>
        <w:tc>
          <w:tcPr>
            <w:tcW w:w="0" w:type="auto"/>
            <w:vAlign w:val="center"/>
            <w:hideMark/>
          </w:tcPr>
          <w:p w14:paraId="48BDEC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Despachador outbox</w:t>
            </w:r>
          </w:p>
        </w:tc>
        <w:tc>
          <w:tcPr>
            <w:tcW w:w="0" w:type="auto"/>
            <w:vAlign w:val="center"/>
            <w:hideMark/>
          </w:tcPr>
          <w:p w14:paraId="392B95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Eventos pendientes, latencia entre escritura y publicación</w:t>
            </w:r>
          </w:p>
        </w:tc>
      </w:tr>
      <w:tr w:rsidR="000444D1" w:rsidRPr="000444D1" w14:paraId="087485E0" w14:textId="77777777">
        <w:trPr>
          <w:tblCellSpacing w:w="15" w:type="dxa"/>
        </w:trPr>
        <w:tc>
          <w:tcPr>
            <w:tcW w:w="0" w:type="auto"/>
            <w:vAlign w:val="center"/>
            <w:hideMark/>
          </w:tcPr>
          <w:p w14:paraId="149C08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40EE13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Órdenes por estado, proporción en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duración de las sagas, compensaciones emitidas</w:t>
            </w:r>
          </w:p>
        </w:tc>
      </w:tr>
      <w:tr w:rsidR="000444D1" w:rsidRPr="000444D1" w14:paraId="7B563F96" w14:textId="77777777">
        <w:trPr>
          <w:tblCellSpacing w:w="15" w:type="dxa"/>
        </w:trPr>
        <w:tc>
          <w:tcPr>
            <w:tcW w:w="0" w:type="auto"/>
            <w:vAlign w:val="center"/>
            <w:hideMark/>
          </w:tcPr>
          <w:p w14:paraId="794089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 Evaluación de fraude</w:t>
            </w:r>
          </w:p>
        </w:tc>
        <w:tc>
          <w:tcPr>
            <w:tcW w:w="0" w:type="auto"/>
            <w:vAlign w:val="center"/>
            <w:hideMark/>
          </w:tcPr>
          <w:p w14:paraId="3BDBD3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del motor, proporción de aprobaciones por degradación, tiempos de espera agotados</w:t>
            </w:r>
          </w:p>
        </w:tc>
      </w:tr>
      <w:tr w:rsidR="000444D1" w:rsidRPr="000444D1" w14:paraId="7828ECD6" w14:textId="77777777">
        <w:trPr>
          <w:tblCellSpacing w:w="15" w:type="dxa"/>
        </w:trPr>
        <w:tc>
          <w:tcPr>
            <w:tcW w:w="0" w:type="auto"/>
            <w:vAlign w:val="center"/>
            <w:hideMark/>
          </w:tcPr>
          <w:p w14:paraId="36D266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y adaptador de core</w:t>
            </w:r>
          </w:p>
        </w:tc>
        <w:tc>
          <w:tcPr>
            <w:tcW w:w="0" w:type="auto"/>
            <w:vAlign w:val="center"/>
            <w:hideMark/>
          </w:tcPr>
          <w:p w14:paraId="40B198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por operación, estado del cortocircuito, detección de ventana de cierre</w:t>
            </w:r>
          </w:p>
        </w:tc>
      </w:tr>
      <w:tr w:rsidR="000444D1" w:rsidRPr="000444D1" w14:paraId="12A6DEB9" w14:textId="77777777">
        <w:trPr>
          <w:tblCellSpacing w:w="15" w:type="dxa"/>
        </w:trPr>
        <w:tc>
          <w:tcPr>
            <w:tcW w:w="0" w:type="auto"/>
            <w:vAlign w:val="center"/>
            <w:hideMark/>
          </w:tcPr>
          <w:p w14:paraId="5512C7C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Posición consolidada</w:t>
            </w:r>
          </w:p>
        </w:tc>
        <w:tc>
          <w:tcPr>
            <w:tcW w:w="0" w:type="auto"/>
            <w:vAlign w:val="center"/>
            <w:hideMark/>
          </w:tcPr>
          <w:p w14:paraId="4C87D94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Antigüedad de la proyección, deriva detectada en reconciliación</w:t>
            </w:r>
          </w:p>
        </w:tc>
      </w:tr>
      <w:tr w:rsidR="000444D1" w:rsidRPr="000444D1" w14:paraId="315DBF16" w14:textId="77777777">
        <w:trPr>
          <w:tblCellSpacing w:w="15" w:type="dxa"/>
        </w:trPr>
        <w:tc>
          <w:tcPr>
            <w:tcW w:w="0" w:type="auto"/>
            <w:vAlign w:val="center"/>
            <w:hideMark/>
          </w:tcPr>
          <w:p w14:paraId="26BB0A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Gateways</w:t>
            </w:r>
          </w:p>
        </w:tc>
        <w:tc>
          <w:tcPr>
            <w:tcW w:w="0" w:type="auto"/>
            <w:vAlign w:val="center"/>
            <w:hideMark/>
          </w:tcPr>
          <w:p w14:paraId="709223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Peticiones por tercero, denegaciones por consentimiento, consumo de cuota</w:t>
            </w:r>
          </w:p>
        </w:tc>
      </w:tr>
    </w:tbl>
    <w:p w14:paraId="74787B3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Métricas de negocio</w:t>
      </w:r>
      <w:r w:rsidRPr="000444D1">
        <w:rPr>
          <w:rFonts w:ascii="Times New Roman" w:eastAsia="Times New Roman" w:hAnsi="Times New Roman" w:cs="Times New Roman"/>
          <w:kern w:val="0"/>
          <w14:ligatures w14:val="none"/>
        </w:rPr>
        <w:t>, que no son técnicas pero son las que revelan un incidente antes que cualquier otra señal: pagos por minuto frente a la línea base histórica, tasa de aprobación, proporción de transacciones por core.</w:t>
      </w:r>
    </w:p>
    <w:p w14:paraId="4D1AFC9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Sobre la cardinalidad.</w:t>
      </w:r>
      <w:r w:rsidRPr="000444D1">
        <w:rPr>
          <w:rFonts w:ascii="Times New Roman" w:eastAsia="Times New Roman" w:hAnsi="Times New Roman" w:cs="Times New Roman"/>
          <w:kern w:val="0"/>
          <w14:ligatures w14:val="none"/>
        </w:rPr>
        <w:t xml:space="preserve"> Ningún identificador de cliente, cuenta u orden se usa como etiqueta de métrica. Hacerlo genera series temporales ilimitadas, degrada el sistema de métricas y, en un sistema bancario, convierte la plataforma de telemetría en un almacén de datos personales sujeto a la LOPDP. La correlación con entidades concretas es función de las trazas y de D8, no de las métricas.</w:t>
      </w:r>
    </w:p>
    <w:p w14:paraId="1F58F50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18.6 Registros y enmascaramiento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4"/>
        <w:gridCol w:w="4456"/>
      </w:tblGrid>
      <w:tr w:rsidR="000444D1" w:rsidRPr="000444D1" w14:paraId="52817D39" w14:textId="77777777">
        <w:trPr>
          <w:tblHeader/>
          <w:tblCellSpacing w:w="15" w:type="dxa"/>
        </w:trPr>
        <w:tc>
          <w:tcPr>
            <w:tcW w:w="0" w:type="auto"/>
            <w:vAlign w:val="center"/>
            <w:hideMark/>
          </w:tcPr>
          <w:p w14:paraId="32BC4AD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Regla</w:t>
            </w:r>
          </w:p>
        </w:tc>
        <w:tc>
          <w:tcPr>
            <w:tcW w:w="0" w:type="auto"/>
            <w:vAlign w:val="center"/>
            <w:hideMark/>
          </w:tcPr>
          <w:p w14:paraId="7C909A6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w:t>
            </w:r>
          </w:p>
        </w:tc>
      </w:tr>
      <w:tr w:rsidR="000444D1" w:rsidRPr="000444D1" w14:paraId="6C4E2B2D" w14:textId="77777777">
        <w:trPr>
          <w:tblCellSpacing w:w="15" w:type="dxa"/>
        </w:trPr>
        <w:tc>
          <w:tcPr>
            <w:tcW w:w="0" w:type="auto"/>
            <w:vAlign w:val="center"/>
            <w:hideMark/>
          </w:tcPr>
          <w:p w14:paraId="4CADD8E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Formato estructurado, nunca texto libre</w:t>
            </w:r>
          </w:p>
        </w:tc>
        <w:tc>
          <w:tcPr>
            <w:tcW w:w="0" w:type="auto"/>
            <w:vAlign w:val="center"/>
            <w:hideMark/>
          </w:tcPr>
          <w:p w14:paraId="446831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estructura no hay consulta ni correlación fiables</w:t>
            </w:r>
          </w:p>
        </w:tc>
      </w:tr>
      <w:tr w:rsidR="000444D1" w:rsidRPr="000444D1" w14:paraId="3B15C965" w14:textId="77777777">
        <w:trPr>
          <w:tblCellSpacing w:w="15" w:type="dxa"/>
        </w:trPr>
        <w:tc>
          <w:tcPr>
            <w:tcW w:w="0" w:type="auto"/>
            <w:vAlign w:val="center"/>
            <w:hideMark/>
          </w:tcPr>
          <w:p w14:paraId="0DDB3E2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traceparent</w:t>
            </w:r>
            <w:r w:rsidRPr="000444D1">
              <w:rPr>
                <w:rFonts w:ascii="Times New Roman" w:eastAsia="Times New Roman" w:hAnsi="Times New Roman" w:cs="Times New Roman"/>
                <w:kern w:val="0"/>
                <w14:ligatures w14:val="none"/>
              </w:rPr>
              <w:t xml:space="preserve"> obligatorio en toda entrada</w:t>
            </w:r>
          </w:p>
        </w:tc>
        <w:tc>
          <w:tcPr>
            <w:tcW w:w="0" w:type="auto"/>
            <w:vAlign w:val="center"/>
            <w:hideMark/>
          </w:tcPr>
          <w:p w14:paraId="2EEC52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registro sin correlación es un dato huérfano</w:t>
            </w:r>
          </w:p>
        </w:tc>
      </w:tr>
      <w:tr w:rsidR="000444D1" w:rsidRPr="000444D1" w14:paraId="2D9B9ABE" w14:textId="77777777">
        <w:trPr>
          <w:tblCellSpacing w:w="15" w:type="dxa"/>
        </w:trPr>
        <w:tc>
          <w:tcPr>
            <w:tcW w:w="0" w:type="auto"/>
            <w:vAlign w:val="center"/>
            <w:hideMark/>
          </w:tcPr>
          <w:p w14:paraId="4DDBF2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Enmascaramiento en origen, mediante biblioteca compartida (control C-10)</w:t>
            </w:r>
          </w:p>
        </w:tc>
        <w:tc>
          <w:tcPr>
            <w:tcW w:w="0" w:type="auto"/>
            <w:vAlign w:val="center"/>
            <w:hideMark/>
          </w:tcPr>
          <w:p w14:paraId="09EEEA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Confiar en el filtrado posterior significa que el dato ya salió del proceso</w:t>
            </w:r>
          </w:p>
        </w:tc>
      </w:tr>
      <w:tr w:rsidR="000444D1" w:rsidRPr="000444D1" w14:paraId="74E874CF" w14:textId="77777777">
        <w:trPr>
          <w:tblCellSpacing w:w="15" w:type="dxa"/>
        </w:trPr>
        <w:tc>
          <w:tcPr>
            <w:tcW w:w="0" w:type="auto"/>
            <w:vAlign w:val="center"/>
            <w:hideMark/>
          </w:tcPr>
          <w:p w14:paraId="458C3A4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Prohibición de registrar payloads completos de operación</w:t>
            </w:r>
          </w:p>
        </w:tc>
        <w:tc>
          <w:tcPr>
            <w:tcW w:w="0" w:type="auto"/>
            <w:vAlign w:val="center"/>
            <w:hideMark/>
          </w:tcPr>
          <w:p w14:paraId="2FA556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Contienen datos personales y financieros</w:t>
            </w:r>
          </w:p>
        </w:tc>
      </w:tr>
      <w:tr w:rsidR="000444D1" w:rsidRPr="000444D1" w14:paraId="4DB007AA" w14:textId="77777777">
        <w:trPr>
          <w:tblCellSpacing w:w="15" w:type="dxa"/>
        </w:trPr>
        <w:tc>
          <w:tcPr>
            <w:tcW w:w="0" w:type="auto"/>
            <w:vAlign w:val="center"/>
            <w:hideMark/>
          </w:tcPr>
          <w:p w14:paraId="14D60F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Nivel de detalle elevable por servicio y por tiempo acotado</w:t>
            </w:r>
          </w:p>
        </w:tc>
        <w:tc>
          <w:tcPr>
            <w:tcW w:w="0" w:type="auto"/>
            <w:vAlign w:val="center"/>
            <w:hideMark/>
          </w:tcPr>
          <w:p w14:paraId="7316D3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Permite diagnosticar sin mantener verbosidad permanente</w:t>
            </w:r>
          </w:p>
        </w:tc>
      </w:tr>
    </w:tbl>
    <w:p w14:paraId="7522E5F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enmascaramiento en origen es una decisión de arquitectura, no una convención de codificación: reside en una biblioteca compartida que forma parte de la plantilla de servicio del </w:t>
      </w:r>
      <w:r w:rsidRPr="000444D1">
        <w:rPr>
          <w:rFonts w:ascii="Times New Roman" w:eastAsia="Times New Roman" w:hAnsi="Times New Roman" w:cs="Times New Roman"/>
          <w:kern w:val="0"/>
          <w14:ligatures w14:val="none"/>
        </w:rPr>
        <w:lastRenderedPageBreak/>
        <w:t>modelo de gobierno (sección 16). Un servicio que no la incorpora no supera el control de despliegue.</w:t>
      </w:r>
    </w:p>
    <w:p w14:paraId="56DC189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18.7 Auditoría regulatoria: reconstrucción de una operación</w:t>
      </w:r>
    </w:p>
    <w:p w14:paraId="54A7D14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debe permitir responder, años después, a preguntas concretas. La tabla muestra qué elemento sostiene cada respuesta: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2"/>
        <w:gridCol w:w="5078"/>
      </w:tblGrid>
      <w:tr w:rsidR="000444D1" w:rsidRPr="000444D1" w14:paraId="4640017B" w14:textId="77777777">
        <w:trPr>
          <w:tblHeader/>
          <w:tblCellSpacing w:w="15" w:type="dxa"/>
        </w:trPr>
        <w:tc>
          <w:tcPr>
            <w:tcW w:w="0" w:type="auto"/>
            <w:vAlign w:val="center"/>
            <w:hideMark/>
          </w:tcPr>
          <w:p w14:paraId="4514D07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Pregunta</w:t>
            </w:r>
          </w:p>
        </w:tc>
        <w:tc>
          <w:tcPr>
            <w:tcW w:w="0" w:type="auto"/>
            <w:vAlign w:val="center"/>
            <w:hideMark/>
          </w:tcPr>
          <w:p w14:paraId="4A8E0AC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Sostenida por</w:t>
            </w:r>
          </w:p>
        </w:tc>
      </w:tr>
      <w:tr w:rsidR="000444D1" w:rsidRPr="000444D1" w14:paraId="428AD2D6" w14:textId="77777777">
        <w:trPr>
          <w:tblCellSpacing w:w="15" w:type="dxa"/>
        </w:trPr>
        <w:tc>
          <w:tcPr>
            <w:tcW w:w="0" w:type="auto"/>
            <w:vAlign w:val="center"/>
            <w:hideMark/>
          </w:tcPr>
          <w:p w14:paraId="2085A4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¿Qué ocurrió con esta transferencia?</w:t>
            </w:r>
          </w:p>
        </w:tc>
        <w:tc>
          <w:tcPr>
            <w:tcW w:w="0" w:type="auto"/>
            <w:vAlign w:val="center"/>
            <w:hideMark/>
          </w:tcPr>
          <w:p w14:paraId="41FDD9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Secuencia completa de eventos de la orden en D8</w:t>
            </w:r>
          </w:p>
        </w:tc>
      </w:tr>
      <w:tr w:rsidR="000444D1" w:rsidRPr="000444D1" w14:paraId="1F546B8F" w14:textId="77777777">
        <w:trPr>
          <w:tblCellSpacing w:w="15" w:type="dxa"/>
        </w:trPr>
        <w:tc>
          <w:tcPr>
            <w:tcW w:w="0" w:type="auto"/>
            <w:vAlign w:val="center"/>
            <w:hideMark/>
          </w:tcPr>
          <w:p w14:paraId="62C723F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¿Quién la originó y desde qué canal?</w:t>
            </w:r>
          </w:p>
        </w:tc>
        <w:tc>
          <w:tcPr>
            <w:tcW w:w="0" w:type="auto"/>
            <w:vAlign w:val="center"/>
            <w:hideMark/>
          </w:tcPr>
          <w:p w14:paraId="0CBBE5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Registro de acceso del gateway, enlazado por </w:t>
            </w:r>
            <w:r w:rsidRPr="000444D1">
              <w:rPr>
                <w:rFonts w:ascii="Courier New" w:eastAsia="Times New Roman" w:hAnsi="Courier New" w:cs="Courier New"/>
                <w:kern w:val="0"/>
                <w:sz w:val="20"/>
                <w:szCs w:val="20"/>
                <w14:ligatures w14:val="none"/>
              </w:rPr>
              <w:t>idCorrelacion</w:t>
            </w:r>
          </w:p>
        </w:tc>
      </w:tr>
      <w:tr w:rsidR="000444D1" w:rsidRPr="000444D1" w14:paraId="658890EE" w14:textId="77777777">
        <w:trPr>
          <w:tblCellSpacing w:w="15" w:type="dxa"/>
        </w:trPr>
        <w:tc>
          <w:tcPr>
            <w:tcW w:w="0" w:type="auto"/>
            <w:vAlign w:val="center"/>
            <w:hideMark/>
          </w:tcPr>
          <w:p w14:paraId="04AF0F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evaluó el fraude, con qué resultado y con qué versión del modelo?</w:t>
            </w:r>
          </w:p>
        </w:tc>
        <w:tc>
          <w:tcPr>
            <w:tcW w:w="0" w:type="auto"/>
            <w:vAlign w:val="center"/>
            <w:hideMark/>
          </w:tcPr>
          <w:p w14:paraId="4B004C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Campos de veredicto y versión en el evento y en el registro de la decisión</w:t>
            </w:r>
          </w:p>
        </w:tc>
      </w:tr>
      <w:tr w:rsidR="000444D1" w:rsidRPr="000444D1" w14:paraId="710F3CA4" w14:textId="77777777">
        <w:trPr>
          <w:tblCellSpacing w:w="15" w:type="dxa"/>
        </w:trPr>
        <w:tc>
          <w:tcPr>
            <w:tcW w:w="0" w:type="auto"/>
            <w:vAlign w:val="center"/>
            <w:hideMark/>
          </w:tcPr>
          <w:p w14:paraId="432CEF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autorizó sin evaluación efectiva?</w:t>
            </w:r>
          </w:p>
        </w:tc>
        <w:tc>
          <w:tcPr>
            <w:tcW w:w="0" w:type="auto"/>
            <w:vAlign w:val="center"/>
            <w:hideMark/>
          </w:tcPr>
          <w:p w14:paraId="2DECD0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Valor </w:t>
            </w:r>
            <w:r w:rsidRPr="000444D1">
              <w:rPr>
                <w:rFonts w:ascii="Courier New" w:eastAsia="Times New Roman" w:hAnsi="Courier New" w:cs="Courier New"/>
                <w:kern w:val="0"/>
                <w:sz w:val="20"/>
                <w:szCs w:val="20"/>
                <w14:ligatures w14:val="none"/>
              </w:rPr>
              <w:t>aprobado_por_degradacion</w:t>
            </w:r>
            <w:r w:rsidRPr="000444D1">
              <w:rPr>
                <w:rFonts w:ascii="Times New Roman" w:eastAsia="Times New Roman" w:hAnsi="Times New Roman" w:cs="Times New Roman"/>
                <w:kern w:val="0"/>
                <w14:ligatures w14:val="none"/>
              </w:rPr>
              <w:t xml:space="preserve"> del veredicto</w:t>
            </w:r>
          </w:p>
        </w:tc>
      </w:tr>
      <w:tr w:rsidR="000444D1" w:rsidRPr="000444D1" w14:paraId="7C1ECB45" w14:textId="77777777">
        <w:trPr>
          <w:tblCellSpacing w:w="15" w:type="dxa"/>
        </w:trPr>
        <w:tc>
          <w:tcPr>
            <w:tcW w:w="0" w:type="auto"/>
            <w:vAlign w:val="center"/>
            <w:hideMark/>
          </w:tcPr>
          <w:p w14:paraId="709642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¿Qué tercero accedió a estos datos y bajo qué consentimiento?</w:t>
            </w:r>
          </w:p>
        </w:tc>
        <w:tc>
          <w:tcPr>
            <w:tcW w:w="0" w:type="auto"/>
            <w:vAlign w:val="center"/>
            <w:hideMark/>
          </w:tcPr>
          <w:p w14:paraId="4F89FF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acceso del gateway externo (control C-18)</w:t>
            </w:r>
          </w:p>
        </w:tc>
      </w:tr>
      <w:tr w:rsidR="000444D1" w:rsidRPr="000444D1" w14:paraId="37C94109" w14:textId="77777777">
        <w:trPr>
          <w:tblCellSpacing w:w="15" w:type="dxa"/>
        </w:trPr>
        <w:tc>
          <w:tcPr>
            <w:tcW w:w="0" w:type="auto"/>
            <w:vAlign w:val="center"/>
            <w:hideMark/>
          </w:tcPr>
          <w:p w14:paraId="446915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¿Fue compensada, y por qué motivo?</w:t>
            </w:r>
          </w:p>
        </w:tc>
        <w:tc>
          <w:tcPr>
            <w:tcW w:w="0" w:type="auto"/>
            <w:vAlign w:val="center"/>
            <w:hideMark/>
          </w:tcPr>
          <w:p w14:paraId="0E6E47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Evento </w:t>
            </w:r>
            <w:r w:rsidRPr="000444D1">
              <w:rPr>
                <w:rFonts w:ascii="Courier New" w:eastAsia="Times New Roman" w:hAnsi="Courier New" w:cs="Courier New"/>
                <w:kern w:val="0"/>
                <w:sz w:val="20"/>
                <w:szCs w:val="20"/>
                <w14:ligatures w14:val="none"/>
              </w:rPr>
              <w:t>pago.compensado</w:t>
            </w:r>
            <w:r w:rsidRPr="000444D1">
              <w:rPr>
                <w:rFonts w:ascii="Times New Roman" w:eastAsia="Times New Roman" w:hAnsi="Times New Roman" w:cs="Times New Roman"/>
                <w:kern w:val="0"/>
                <w14:ligatures w14:val="none"/>
              </w:rPr>
              <w:t xml:space="preserve"> con su motivo, conservado junto al original</w:t>
            </w:r>
          </w:p>
        </w:tc>
      </w:tr>
      <w:tr w:rsidR="000444D1" w:rsidRPr="000444D1" w14:paraId="7B4DE4B9" w14:textId="77777777">
        <w:trPr>
          <w:tblCellSpacing w:w="15" w:type="dxa"/>
        </w:trPr>
        <w:tc>
          <w:tcPr>
            <w:tcW w:w="0" w:type="auto"/>
            <w:vAlign w:val="center"/>
            <w:hideMark/>
          </w:tcPr>
          <w:p w14:paraId="3ED0C1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¿Cuál es el asiento correspondiente en el core?</w:t>
            </w:r>
          </w:p>
        </w:tc>
        <w:tc>
          <w:tcPr>
            <w:tcW w:w="0" w:type="auto"/>
            <w:vAlign w:val="center"/>
            <w:hideMark/>
          </w:tcPr>
          <w:p w14:paraId="698DAD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referenciaCore</w:t>
            </w:r>
          </w:p>
        </w:tc>
      </w:tr>
    </w:tbl>
    <w:p w14:paraId="764C839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La propiedad que hace esto posible es que D8 no se actualiza.</w:t>
      </w:r>
      <w:r w:rsidRPr="000444D1">
        <w:rPr>
          <w:rFonts w:ascii="Times New Roman" w:eastAsia="Times New Roman" w:hAnsi="Times New Roman" w:cs="Times New Roman"/>
          <w:kern w:val="0"/>
          <w14:ligatures w14:val="none"/>
        </w:rPr>
        <w:t xml:space="preserve"> Un pago compensado conserva el evento de ejecución y el de compensación como hechos independientes. Corregir el registro original destruiría la evidencia de que la operación ocurrió, que es precisamente lo que una auditoría necesita comprobar.</w:t>
      </w:r>
    </w:p>
    <w:p w14:paraId="706137C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18.8 Alertado</w:t>
      </w:r>
    </w:p>
    <w:p w14:paraId="5CA4E9B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alertado se basa en </w:t>
      </w:r>
      <w:r w:rsidRPr="000444D1">
        <w:rPr>
          <w:rFonts w:ascii="Times New Roman" w:eastAsia="Times New Roman" w:hAnsi="Times New Roman" w:cs="Times New Roman"/>
          <w:b/>
          <w:bCs/>
          <w:kern w:val="0"/>
          <w14:ligatures w14:val="none"/>
        </w:rPr>
        <w:t>síntomas percibidos por el cliente</w:t>
      </w:r>
      <w:r w:rsidRPr="000444D1">
        <w:rPr>
          <w:rFonts w:ascii="Times New Roman" w:eastAsia="Times New Roman" w:hAnsi="Times New Roman" w:cs="Times New Roman"/>
          <w:kern w:val="0"/>
          <w14:ligatures w14:val="none"/>
        </w:rPr>
        <w:t>, no en causas técnicas. Una alerta por uso de procesador exige interpretación y genera ruido; una alerta por tasa de error en la originación de pagos describe un problema real.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5200"/>
        <w:gridCol w:w="2299"/>
      </w:tblGrid>
      <w:tr w:rsidR="000444D1" w:rsidRPr="000444D1" w14:paraId="1E0DFAD7" w14:textId="77777777">
        <w:trPr>
          <w:tblHeader/>
          <w:tblCellSpacing w:w="15" w:type="dxa"/>
        </w:trPr>
        <w:tc>
          <w:tcPr>
            <w:tcW w:w="0" w:type="auto"/>
            <w:vAlign w:val="center"/>
            <w:hideMark/>
          </w:tcPr>
          <w:p w14:paraId="3DA6DC0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Nivel</w:t>
            </w:r>
          </w:p>
        </w:tc>
        <w:tc>
          <w:tcPr>
            <w:tcW w:w="0" w:type="auto"/>
            <w:vAlign w:val="center"/>
            <w:hideMark/>
          </w:tcPr>
          <w:p w14:paraId="455414D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Ejemplo</w:t>
            </w:r>
          </w:p>
        </w:tc>
        <w:tc>
          <w:tcPr>
            <w:tcW w:w="0" w:type="auto"/>
            <w:vAlign w:val="center"/>
            <w:hideMark/>
          </w:tcPr>
          <w:p w14:paraId="45B0789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Respuesta</w:t>
            </w:r>
          </w:p>
        </w:tc>
      </w:tr>
      <w:tr w:rsidR="000444D1" w:rsidRPr="000444D1" w14:paraId="65C1FCD1" w14:textId="77777777">
        <w:trPr>
          <w:tblCellSpacing w:w="15" w:type="dxa"/>
        </w:trPr>
        <w:tc>
          <w:tcPr>
            <w:tcW w:w="0" w:type="auto"/>
            <w:vAlign w:val="center"/>
            <w:hideMark/>
          </w:tcPr>
          <w:p w14:paraId="195CCB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Crítico — atención inmediata</w:t>
            </w:r>
          </w:p>
        </w:tc>
        <w:tc>
          <w:tcPr>
            <w:tcW w:w="0" w:type="auto"/>
            <w:vAlign w:val="center"/>
            <w:hideMark/>
          </w:tcPr>
          <w:p w14:paraId="17F2B7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Tasa de error en pagos por encima del umbral; consumo acelerado del presupuesto de error; órdenes en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creciendo</w:t>
            </w:r>
          </w:p>
        </w:tc>
        <w:tc>
          <w:tcPr>
            <w:tcW w:w="0" w:type="auto"/>
            <w:vAlign w:val="center"/>
            <w:hideMark/>
          </w:tcPr>
          <w:p w14:paraId="556383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Intervención inmediata</w:t>
            </w:r>
          </w:p>
        </w:tc>
      </w:tr>
      <w:tr w:rsidR="000444D1" w:rsidRPr="000444D1" w14:paraId="27D0FF7B" w14:textId="77777777">
        <w:trPr>
          <w:tblCellSpacing w:w="15" w:type="dxa"/>
        </w:trPr>
        <w:tc>
          <w:tcPr>
            <w:tcW w:w="0" w:type="auto"/>
            <w:vAlign w:val="center"/>
            <w:hideMark/>
          </w:tcPr>
          <w:p w14:paraId="5E0CD4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Alto — atención en horario</w:t>
            </w:r>
          </w:p>
        </w:tc>
        <w:tc>
          <w:tcPr>
            <w:tcW w:w="0" w:type="auto"/>
            <w:vAlign w:val="center"/>
            <w:hideMark/>
          </w:tcPr>
          <w:p w14:paraId="2D36FAB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Retraso de consumo creciente; DLQ con mensajes; deriva de reconciliación por encima del umbral</w:t>
            </w:r>
          </w:p>
        </w:tc>
        <w:tc>
          <w:tcPr>
            <w:tcW w:w="0" w:type="auto"/>
            <w:vAlign w:val="center"/>
            <w:hideMark/>
          </w:tcPr>
          <w:p w14:paraId="313DB8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Diagnóstico dentro del día hábil</w:t>
            </w:r>
          </w:p>
        </w:tc>
      </w:tr>
      <w:tr w:rsidR="000444D1" w:rsidRPr="000444D1" w14:paraId="2EF56B44" w14:textId="77777777">
        <w:trPr>
          <w:tblCellSpacing w:w="15" w:type="dxa"/>
        </w:trPr>
        <w:tc>
          <w:tcPr>
            <w:tcW w:w="0" w:type="auto"/>
            <w:vAlign w:val="center"/>
            <w:hideMark/>
          </w:tcPr>
          <w:p w14:paraId="17E5E1E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Informativo</w:t>
            </w:r>
          </w:p>
        </w:tc>
        <w:tc>
          <w:tcPr>
            <w:tcW w:w="0" w:type="auto"/>
            <w:vAlign w:val="center"/>
            <w:hideMark/>
          </w:tcPr>
          <w:p w14:paraId="691955E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Cortocircuito abierto hacia un core; ventana de cierre detectada</w:t>
            </w:r>
          </w:p>
        </w:tc>
        <w:tc>
          <w:tcPr>
            <w:tcW w:w="0" w:type="auto"/>
            <w:vAlign w:val="center"/>
            <w:hideMark/>
          </w:tcPr>
          <w:p w14:paraId="0C0175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intervención; contexto para el diagnóstico</w:t>
            </w:r>
          </w:p>
        </w:tc>
      </w:tr>
    </w:tbl>
    <w:p w14:paraId="1820D1D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Cada objetivo de nivel de servicio de la sección 15.1 tiene un presupuesto de error asociado. Su consumo acelerado es la señal que dispara la alerta, en lugar de un umbral fijo que ignora si el sistema tiene margen. El compromiso de atención de la DLQ declarado en la sección 12.8 se materializa aquí como alerta con responsable asignado por dominio.</w:t>
      </w:r>
    </w:p>
    <w:p w14:paraId="3E1FF409"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18.9 Tableros por audiencia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7336"/>
      </w:tblGrid>
      <w:tr w:rsidR="000444D1" w:rsidRPr="000444D1" w14:paraId="61800D93" w14:textId="77777777">
        <w:trPr>
          <w:tblHeader/>
          <w:tblCellSpacing w:w="15" w:type="dxa"/>
        </w:trPr>
        <w:tc>
          <w:tcPr>
            <w:tcW w:w="0" w:type="auto"/>
            <w:vAlign w:val="center"/>
            <w:hideMark/>
          </w:tcPr>
          <w:p w14:paraId="6AE1D48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Audiencia</w:t>
            </w:r>
          </w:p>
        </w:tc>
        <w:tc>
          <w:tcPr>
            <w:tcW w:w="0" w:type="auto"/>
            <w:vAlign w:val="center"/>
            <w:hideMark/>
          </w:tcPr>
          <w:p w14:paraId="74A4633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Contenido</w:t>
            </w:r>
          </w:p>
        </w:tc>
      </w:tr>
      <w:tr w:rsidR="000444D1" w:rsidRPr="000444D1" w14:paraId="4C2230FF" w14:textId="77777777">
        <w:trPr>
          <w:tblCellSpacing w:w="15" w:type="dxa"/>
        </w:trPr>
        <w:tc>
          <w:tcPr>
            <w:tcW w:w="0" w:type="auto"/>
            <w:vAlign w:val="center"/>
            <w:hideMark/>
          </w:tcPr>
          <w:p w14:paraId="0895A8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Operación</w:t>
            </w:r>
          </w:p>
        </w:tc>
        <w:tc>
          <w:tcPr>
            <w:tcW w:w="0" w:type="auto"/>
            <w:vAlign w:val="center"/>
            <w:hideMark/>
          </w:tcPr>
          <w:p w14:paraId="706775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Estado de los objetivos de servicio, presupuesto de error, incidentes activos, salud de dependencias externas</w:t>
            </w:r>
          </w:p>
        </w:tc>
      </w:tr>
      <w:tr w:rsidR="000444D1" w:rsidRPr="000444D1" w14:paraId="5AA4D4B4" w14:textId="77777777">
        <w:trPr>
          <w:tblCellSpacing w:w="15" w:type="dxa"/>
        </w:trPr>
        <w:tc>
          <w:tcPr>
            <w:tcW w:w="0" w:type="auto"/>
            <w:vAlign w:val="center"/>
            <w:hideMark/>
          </w:tcPr>
          <w:p w14:paraId="56BE950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 de dominio</w:t>
            </w:r>
          </w:p>
        </w:tc>
        <w:tc>
          <w:tcPr>
            <w:tcW w:w="0" w:type="auto"/>
            <w:vAlign w:val="center"/>
            <w:hideMark/>
          </w:tcPr>
          <w:p w14:paraId="6867368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Métricas del propio servicio, retraso de consumo, DLQ, latencia de sus dependencias</w:t>
            </w:r>
          </w:p>
        </w:tc>
      </w:tr>
      <w:tr w:rsidR="000444D1" w:rsidRPr="000444D1" w14:paraId="5C721A51" w14:textId="77777777">
        <w:trPr>
          <w:tblCellSpacing w:w="15" w:type="dxa"/>
        </w:trPr>
        <w:tc>
          <w:tcPr>
            <w:tcW w:w="0" w:type="auto"/>
            <w:vAlign w:val="center"/>
            <w:hideMark/>
          </w:tcPr>
          <w:p w14:paraId="0080E5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Negocio</w:t>
            </w:r>
          </w:p>
        </w:tc>
        <w:tc>
          <w:tcPr>
            <w:tcW w:w="0" w:type="auto"/>
            <w:vAlign w:val="center"/>
            <w:hideMark/>
          </w:tcPr>
          <w:p w14:paraId="6BF2CB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Volumen transaccional, tasa de aprobación, disponibilidad percibida por canal</w:t>
            </w:r>
          </w:p>
        </w:tc>
      </w:tr>
      <w:tr w:rsidR="000444D1" w:rsidRPr="000444D1" w14:paraId="127428EC" w14:textId="77777777">
        <w:trPr>
          <w:tblCellSpacing w:w="15" w:type="dxa"/>
        </w:trPr>
        <w:tc>
          <w:tcPr>
            <w:tcW w:w="0" w:type="auto"/>
            <w:vAlign w:val="center"/>
            <w:hideMark/>
          </w:tcPr>
          <w:p w14:paraId="20686A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Programa de migración</w:t>
            </w:r>
          </w:p>
        </w:tc>
        <w:tc>
          <w:tcPr>
            <w:tcW w:w="0" w:type="auto"/>
            <w:vAlign w:val="center"/>
            <w:hideMark/>
          </w:tcPr>
          <w:p w14:paraId="60B81E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indicadores de la sección 17.6: paridad de saldos, proporción por core, deriva de reconciliación</w:t>
            </w:r>
          </w:p>
        </w:tc>
      </w:tr>
      <w:tr w:rsidR="000444D1" w:rsidRPr="000444D1" w14:paraId="28029B82" w14:textId="77777777">
        <w:trPr>
          <w:tblCellSpacing w:w="15" w:type="dxa"/>
        </w:trPr>
        <w:tc>
          <w:tcPr>
            <w:tcW w:w="0" w:type="auto"/>
            <w:vAlign w:val="center"/>
            <w:hideMark/>
          </w:tcPr>
          <w:p w14:paraId="0D5299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Cumplimiento</w:t>
            </w:r>
          </w:p>
        </w:tc>
        <w:tc>
          <w:tcPr>
            <w:tcW w:w="0" w:type="auto"/>
            <w:vAlign w:val="center"/>
            <w:hideMark/>
          </w:tcPr>
          <w:p w14:paraId="34E09D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Accesos de terceros, revocaciones de consentimiento, operaciones aprobadas por degradación</w:t>
            </w:r>
          </w:p>
        </w:tc>
      </w:tr>
    </w:tbl>
    <w:p w14:paraId="07149B1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tablero del programa de migración no es un añadido: es la instrumentación que hace posible la regla M6 de la sección 17.1, según la cual el avance lo determinan los indicadores y no el calendario. Sin esas mediciones disponibles y fiables, el criterio de salida de cada fase sería una declaración sin respaldo.</w:t>
      </w:r>
    </w:p>
    <w:p w14:paraId="3C8E015E"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0053FD96">
          <v:rect id="Horizontal Line 562"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ED74858"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19. Anexo — Glosario y nomenclatura</w:t>
      </w:r>
    </w:p>
    <w:p w14:paraId="13FF1F9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19.1 Glosario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6903"/>
      </w:tblGrid>
      <w:tr w:rsidR="000444D1" w:rsidRPr="000444D1" w14:paraId="393FCB5F" w14:textId="77777777">
        <w:trPr>
          <w:tblHeader/>
          <w:tblCellSpacing w:w="15" w:type="dxa"/>
        </w:trPr>
        <w:tc>
          <w:tcPr>
            <w:tcW w:w="0" w:type="auto"/>
            <w:vAlign w:val="center"/>
            <w:hideMark/>
          </w:tcPr>
          <w:p w14:paraId="3D6C234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Término</w:t>
            </w:r>
          </w:p>
        </w:tc>
        <w:tc>
          <w:tcPr>
            <w:tcW w:w="0" w:type="auto"/>
            <w:vAlign w:val="center"/>
            <w:hideMark/>
          </w:tcPr>
          <w:p w14:paraId="7892F7F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Significado en este documento</w:t>
            </w:r>
          </w:p>
        </w:tc>
      </w:tr>
      <w:tr w:rsidR="000444D1" w:rsidRPr="000444D1" w14:paraId="665619D1" w14:textId="77777777">
        <w:trPr>
          <w:tblCellSpacing w:w="15" w:type="dxa"/>
        </w:trPr>
        <w:tc>
          <w:tcPr>
            <w:tcW w:w="0" w:type="auto"/>
            <w:vAlign w:val="center"/>
            <w:hideMark/>
          </w:tcPr>
          <w:p w14:paraId="5F69D3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ACL — capa anticorrupción</w:t>
            </w:r>
          </w:p>
        </w:tc>
        <w:tc>
          <w:tcPr>
            <w:tcW w:w="0" w:type="auto"/>
            <w:vAlign w:val="center"/>
            <w:hideMark/>
          </w:tcPr>
          <w:p w14:paraId="79D473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Componente que traduce entre el modelo del core tradicional y el modelo canónico interno, impidiendo que el primero contamine el diseño</w:t>
            </w:r>
          </w:p>
        </w:tc>
      </w:tr>
      <w:tr w:rsidR="000444D1" w:rsidRPr="000444D1" w14:paraId="3A7B2406" w14:textId="77777777">
        <w:trPr>
          <w:tblCellSpacing w:w="15" w:type="dxa"/>
        </w:trPr>
        <w:tc>
          <w:tcPr>
            <w:tcW w:w="0" w:type="auto"/>
            <w:vAlign w:val="center"/>
            <w:hideMark/>
          </w:tcPr>
          <w:p w14:paraId="102950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BIAN</w:t>
            </w:r>
          </w:p>
        </w:tc>
        <w:tc>
          <w:tcPr>
            <w:tcW w:w="0" w:type="auto"/>
            <w:vAlign w:val="center"/>
            <w:hideMark/>
          </w:tcPr>
          <w:p w14:paraId="1BFC55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Marco de referencia sectorial que descompone el negocio bancario en Service Domains con responsabilidad y frontera de datos definidas</w:t>
            </w:r>
          </w:p>
        </w:tc>
      </w:tr>
      <w:tr w:rsidR="000444D1" w:rsidRPr="000444D1" w14:paraId="3B6B36FF" w14:textId="77777777">
        <w:trPr>
          <w:tblCellSpacing w:w="15" w:type="dxa"/>
        </w:trPr>
        <w:tc>
          <w:tcPr>
            <w:tcW w:w="0" w:type="auto"/>
            <w:vAlign w:val="center"/>
            <w:hideMark/>
          </w:tcPr>
          <w:p w14:paraId="2121C99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BFF</w:t>
            </w:r>
          </w:p>
        </w:tc>
        <w:tc>
          <w:tcPr>
            <w:tcW w:w="0" w:type="auto"/>
            <w:vAlign w:val="center"/>
            <w:hideMark/>
          </w:tcPr>
          <w:p w14:paraId="284007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Fachada de composición dedicada a un canal concreto</w:t>
            </w:r>
          </w:p>
        </w:tc>
      </w:tr>
      <w:tr w:rsidR="000444D1" w:rsidRPr="000444D1" w14:paraId="724095A3" w14:textId="77777777">
        <w:trPr>
          <w:tblCellSpacing w:w="15" w:type="dxa"/>
        </w:trPr>
        <w:tc>
          <w:tcPr>
            <w:tcW w:w="0" w:type="auto"/>
            <w:vAlign w:val="center"/>
            <w:hideMark/>
          </w:tcPr>
          <w:p w14:paraId="1B29BB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CDC — captura de cambios</w:t>
            </w:r>
          </w:p>
        </w:tc>
        <w:tc>
          <w:tcPr>
            <w:tcW w:w="0" w:type="auto"/>
            <w:vAlign w:val="center"/>
            <w:hideMark/>
          </w:tcPr>
          <w:p w14:paraId="2B0B79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Mecanismo que detecta modificaciones en una base de datos y las publica como eventos</w:t>
            </w:r>
          </w:p>
        </w:tc>
      </w:tr>
      <w:tr w:rsidR="000444D1" w:rsidRPr="000444D1" w14:paraId="65818DAB" w14:textId="77777777">
        <w:trPr>
          <w:tblCellSpacing w:w="15" w:type="dxa"/>
        </w:trPr>
        <w:tc>
          <w:tcPr>
            <w:tcW w:w="0" w:type="auto"/>
            <w:vAlign w:val="center"/>
            <w:hideMark/>
          </w:tcPr>
          <w:p w14:paraId="32B9774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Compensación</w:t>
            </w:r>
          </w:p>
        </w:tc>
        <w:tc>
          <w:tcPr>
            <w:tcW w:w="0" w:type="auto"/>
            <w:vAlign w:val="center"/>
            <w:hideMark/>
          </w:tcPr>
          <w:p w14:paraId="102138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Operación que revierte el efecto de negocio de un paso ya ejecutado, cuando no es posible deshacerlo transaccionalmente</w:t>
            </w:r>
          </w:p>
        </w:tc>
      </w:tr>
      <w:tr w:rsidR="000444D1" w:rsidRPr="000444D1" w14:paraId="2C069FF9" w14:textId="77777777">
        <w:trPr>
          <w:tblCellSpacing w:w="15" w:type="dxa"/>
        </w:trPr>
        <w:tc>
          <w:tcPr>
            <w:tcW w:w="0" w:type="auto"/>
            <w:vAlign w:val="center"/>
            <w:hideMark/>
          </w:tcPr>
          <w:p w14:paraId="3624CD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Consentimiento</w:t>
            </w:r>
          </w:p>
        </w:tc>
        <w:tc>
          <w:tcPr>
            <w:tcW w:w="0" w:type="auto"/>
            <w:vAlign w:val="center"/>
            <w:hideMark/>
          </w:tcPr>
          <w:p w14:paraId="3CDAAC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Autorización explícita, granular y revocable que un titular otorga a un tercero para acceder a sus datos</w:t>
            </w:r>
          </w:p>
        </w:tc>
      </w:tr>
      <w:tr w:rsidR="000444D1" w:rsidRPr="000444D1" w14:paraId="74F93E2F" w14:textId="77777777">
        <w:trPr>
          <w:tblCellSpacing w:w="15" w:type="dxa"/>
        </w:trPr>
        <w:tc>
          <w:tcPr>
            <w:tcW w:w="0" w:type="auto"/>
            <w:vAlign w:val="center"/>
            <w:hideMark/>
          </w:tcPr>
          <w:p w14:paraId="1533F0F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DLQ — cola de mensajes fallidos</w:t>
            </w:r>
          </w:p>
        </w:tc>
        <w:tc>
          <w:tcPr>
            <w:tcW w:w="0" w:type="auto"/>
            <w:vAlign w:val="center"/>
            <w:hideMark/>
          </w:tcPr>
          <w:p w14:paraId="04B027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Destino de los eventos que agotaron sus reintentos, para diagnóstico y reproceso</w:t>
            </w:r>
          </w:p>
        </w:tc>
      </w:tr>
      <w:tr w:rsidR="000444D1" w:rsidRPr="000444D1" w14:paraId="11F022A7" w14:textId="77777777">
        <w:trPr>
          <w:tblCellSpacing w:w="15" w:type="dxa"/>
        </w:trPr>
        <w:tc>
          <w:tcPr>
            <w:tcW w:w="0" w:type="auto"/>
            <w:vAlign w:val="center"/>
            <w:hideMark/>
          </w:tcPr>
          <w:p w14:paraId="18D398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Entitlement</w:t>
            </w:r>
          </w:p>
        </w:tc>
        <w:tc>
          <w:tcPr>
            <w:tcW w:w="0" w:type="auto"/>
            <w:vAlign w:val="center"/>
            <w:hideMark/>
          </w:tcPr>
          <w:p w14:paraId="087BD6E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Relación que habilita a un sujeto a operar sobre un recurso concreto</w:t>
            </w:r>
          </w:p>
        </w:tc>
      </w:tr>
      <w:tr w:rsidR="000444D1" w:rsidRPr="000444D1" w14:paraId="77BFF4AE" w14:textId="77777777">
        <w:trPr>
          <w:tblCellSpacing w:w="15" w:type="dxa"/>
        </w:trPr>
        <w:tc>
          <w:tcPr>
            <w:tcW w:w="0" w:type="auto"/>
            <w:vAlign w:val="center"/>
            <w:hideMark/>
          </w:tcPr>
          <w:p w14:paraId="446E26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Idempotencia</w:t>
            </w:r>
          </w:p>
        </w:tc>
        <w:tc>
          <w:tcPr>
            <w:tcW w:w="0" w:type="auto"/>
            <w:vAlign w:val="center"/>
            <w:hideMark/>
          </w:tcPr>
          <w:p w14:paraId="50B982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Propiedad por la que repetir una operación produce el mismo resultado que ejecutarla una vez</w:t>
            </w:r>
          </w:p>
        </w:tc>
      </w:tr>
      <w:tr w:rsidR="000444D1" w:rsidRPr="000444D1" w14:paraId="041480CF" w14:textId="77777777">
        <w:trPr>
          <w:tblCellSpacing w:w="15" w:type="dxa"/>
        </w:trPr>
        <w:tc>
          <w:tcPr>
            <w:tcW w:w="0" w:type="auto"/>
            <w:vAlign w:val="center"/>
            <w:hideMark/>
          </w:tcPr>
          <w:p w14:paraId="1A1AB8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ISO 20022</w:t>
            </w:r>
          </w:p>
        </w:tc>
        <w:tc>
          <w:tcPr>
            <w:tcW w:w="0" w:type="auto"/>
            <w:vAlign w:val="center"/>
            <w:hideMark/>
          </w:tcPr>
          <w:p w14:paraId="0E378C7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Estándar de mensajería financiera empleado en la frontera con las redes de pago</w:t>
            </w:r>
          </w:p>
        </w:tc>
      </w:tr>
      <w:tr w:rsidR="000444D1" w:rsidRPr="000444D1" w14:paraId="2B39172D" w14:textId="77777777">
        <w:trPr>
          <w:tblCellSpacing w:w="15" w:type="dxa"/>
        </w:trPr>
        <w:tc>
          <w:tcPr>
            <w:tcW w:w="0" w:type="auto"/>
            <w:vAlign w:val="center"/>
            <w:hideMark/>
          </w:tcPr>
          <w:p w14:paraId="219E34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LOPDP</w:t>
            </w:r>
          </w:p>
        </w:tc>
        <w:tc>
          <w:tcPr>
            <w:tcW w:w="0" w:type="auto"/>
            <w:vAlign w:val="center"/>
            <w:hideMark/>
          </w:tcPr>
          <w:p w14:paraId="4D615C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Ley Orgánica de Protección de Datos Personales</w:t>
            </w:r>
          </w:p>
        </w:tc>
      </w:tr>
      <w:tr w:rsidR="000444D1" w:rsidRPr="000444D1" w14:paraId="7D1267D7" w14:textId="77777777">
        <w:trPr>
          <w:tblCellSpacing w:w="15" w:type="dxa"/>
        </w:trPr>
        <w:tc>
          <w:tcPr>
            <w:tcW w:w="0" w:type="auto"/>
            <w:vAlign w:val="center"/>
            <w:hideMark/>
          </w:tcPr>
          <w:p w14:paraId="483AD4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Outbox transaccional</w:t>
            </w:r>
          </w:p>
        </w:tc>
        <w:tc>
          <w:tcPr>
            <w:tcW w:w="0" w:type="auto"/>
            <w:vAlign w:val="center"/>
            <w:hideMark/>
          </w:tcPr>
          <w:p w14:paraId="14041E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Patrón que persiste el evento en la misma transacción que el cambio de estado, garantizando que ninguno exista sin el otro</w:t>
            </w:r>
          </w:p>
        </w:tc>
      </w:tr>
      <w:tr w:rsidR="000444D1" w:rsidRPr="000444D1" w14:paraId="77615F34" w14:textId="77777777">
        <w:trPr>
          <w:tblCellSpacing w:w="15" w:type="dxa"/>
        </w:trPr>
        <w:tc>
          <w:tcPr>
            <w:tcW w:w="0" w:type="auto"/>
            <w:vAlign w:val="center"/>
            <w:hideMark/>
          </w:tcPr>
          <w:p w14:paraId="462699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Partición</w:t>
            </w:r>
          </w:p>
        </w:tc>
        <w:tc>
          <w:tcPr>
            <w:tcW w:w="0" w:type="auto"/>
            <w:vAlign w:val="center"/>
            <w:hideMark/>
          </w:tcPr>
          <w:p w14:paraId="51D870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Subdivisión de un canal de eventos que garantiza orden entre los mensajes que comparten clave</w:t>
            </w:r>
          </w:p>
        </w:tc>
      </w:tr>
      <w:tr w:rsidR="000444D1" w:rsidRPr="000444D1" w14:paraId="6FAA60CE" w14:textId="77777777">
        <w:trPr>
          <w:tblCellSpacing w:w="15" w:type="dxa"/>
        </w:trPr>
        <w:tc>
          <w:tcPr>
            <w:tcW w:w="0" w:type="auto"/>
            <w:vAlign w:val="center"/>
            <w:hideMark/>
          </w:tcPr>
          <w:p w14:paraId="6D8E334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Proyección</w:t>
            </w:r>
          </w:p>
        </w:tc>
        <w:tc>
          <w:tcPr>
            <w:tcW w:w="0" w:type="auto"/>
            <w:vAlign w:val="center"/>
            <w:hideMark/>
          </w:tcPr>
          <w:p w14:paraId="0351AE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Vista derivada de eventos, reconstruible, que no es fuente de verdad de ningún dato</w:t>
            </w:r>
          </w:p>
        </w:tc>
      </w:tr>
      <w:tr w:rsidR="000444D1" w:rsidRPr="000444D1" w14:paraId="461F10CA" w14:textId="77777777">
        <w:trPr>
          <w:tblCellSpacing w:w="15" w:type="dxa"/>
        </w:trPr>
        <w:tc>
          <w:tcPr>
            <w:tcW w:w="0" w:type="auto"/>
            <w:vAlign w:val="center"/>
            <w:hideMark/>
          </w:tcPr>
          <w:p w14:paraId="7650A3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Puerto canónico</w:t>
            </w:r>
          </w:p>
        </w:tc>
        <w:tc>
          <w:tcPr>
            <w:tcW w:w="0" w:type="auto"/>
            <w:vAlign w:val="center"/>
            <w:hideMark/>
          </w:tcPr>
          <w:p w14:paraId="0E935B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 definido por la capa de aplicación en términos de su propio dominio, implementado por adaptadores de infraestructura</w:t>
            </w:r>
          </w:p>
        </w:tc>
      </w:tr>
      <w:tr w:rsidR="000444D1" w:rsidRPr="000444D1" w14:paraId="188EF217" w14:textId="77777777">
        <w:trPr>
          <w:tblCellSpacing w:w="15" w:type="dxa"/>
        </w:trPr>
        <w:tc>
          <w:tcPr>
            <w:tcW w:w="0" w:type="auto"/>
            <w:vAlign w:val="center"/>
            <w:hideMark/>
          </w:tcPr>
          <w:p w14:paraId="30D3FD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Reconciliación</w:t>
            </w:r>
          </w:p>
        </w:tc>
        <w:tc>
          <w:tcPr>
            <w:tcW w:w="0" w:type="auto"/>
            <w:vAlign w:val="center"/>
            <w:hideMark/>
          </w:tcPr>
          <w:p w14:paraId="4FC375E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Proceso que compara el estado registrado con el estado real de los cores y resuelve las diferencias</w:t>
            </w:r>
          </w:p>
        </w:tc>
      </w:tr>
      <w:tr w:rsidR="000444D1" w:rsidRPr="000444D1" w14:paraId="7DADC557" w14:textId="77777777">
        <w:trPr>
          <w:tblCellSpacing w:w="15" w:type="dxa"/>
        </w:trPr>
        <w:tc>
          <w:tcPr>
            <w:tcW w:w="0" w:type="auto"/>
            <w:vAlign w:val="center"/>
            <w:hideMark/>
          </w:tcPr>
          <w:p w14:paraId="3EEA27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Saga</w:t>
            </w:r>
          </w:p>
        </w:tc>
        <w:tc>
          <w:tcPr>
            <w:tcW w:w="0" w:type="auto"/>
            <w:vAlign w:val="center"/>
            <w:hideMark/>
          </w:tcPr>
          <w:p w14:paraId="380046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Secuencia de operaciones locales con compensaciones explícitas, empleada donde no es viable una transacción distribuida</w:t>
            </w:r>
          </w:p>
        </w:tc>
      </w:tr>
      <w:tr w:rsidR="000444D1" w:rsidRPr="000444D1" w14:paraId="467A2572" w14:textId="77777777">
        <w:trPr>
          <w:tblCellSpacing w:w="15" w:type="dxa"/>
        </w:trPr>
        <w:tc>
          <w:tcPr>
            <w:tcW w:w="0" w:type="auto"/>
            <w:vAlign w:val="center"/>
            <w:hideMark/>
          </w:tcPr>
          <w:p w14:paraId="0E7893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System of Record (SoR)</w:t>
            </w:r>
          </w:p>
        </w:tc>
        <w:tc>
          <w:tcPr>
            <w:tcW w:w="0" w:type="auto"/>
            <w:vAlign w:val="center"/>
            <w:hideMark/>
          </w:tcPr>
          <w:p w14:paraId="42B575E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propietario de una entidad y única fuente de verdad sobre ella</w:t>
            </w:r>
          </w:p>
        </w:tc>
      </w:tr>
      <w:tr w:rsidR="000444D1" w:rsidRPr="000444D1" w14:paraId="0C0CE518" w14:textId="77777777">
        <w:trPr>
          <w:tblCellSpacing w:w="15" w:type="dxa"/>
        </w:trPr>
        <w:tc>
          <w:tcPr>
            <w:tcW w:w="0" w:type="auto"/>
            <w:vAlign w:val="center"/>
            <w:hideMark/>
          </w:tcPr>
          <w:p w14:paraId="56FB55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TPP</w:t>
            </w:r>
          </w:p>
        </w:tc>
        <w:tc>
          <w:tcPr>
            <w:tcW w:w="0" w:type="auto"/>
            <w:vAlign w:val="center"/>
            <w:hideMark/>
          </w:tcPr>
          <w:p w14:paraId="02FF02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Tercero proveedor de servicios que consume las APIs de Open Finance</w:t>
            </w:r>
          </w:p>
        </w:tc>
      </w:tr>
    </w:tbl>
    <w:p w14:paraId="65BD86D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19.2 Convenciones de nomenclatura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4619"/>
        <w:gridCol w:w="2596"/>
      </w:tblGrid>
      <w:tr w:rsidR="000444D1" w:rsidRPr="000444D1" w14:paraId="2E7365A3" w14:textId="77777777">
        <w:trPr>
          <w:tblHeader/>
          <w:tblCellSpacing w:w="15" w:type="dxa"/>
        </w:trPr>
        <w:tc>
          <w:tcPr>
            <w:tcW w:w="0" w:type="auto"/>
            <w:vAlign w:val="center"/>
            <w:hideMark/>
          </w:tcPr>
          <w:p w14:paraId="32EB9F2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Elemento</w:t>
            </w:r>
          </w:p>
        </w:tc>
        <w:tc>
          <w:tcPr>
            <w:tcW w:w="0" w:type="auto"/>
            <w:vAlign w:val="center"/>
            <w:hideMark/>
          </w:tcPr>
          <w:p w14:paraId="14453B5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Convención</w:t>
            </w:r>
          </w:p>
        </w:tc>
        <w:tc>
          <w:tcPr>
            <w:tcW w:w="0" w:type="auto"/>
            <w:vAlign w:val="center"/>
            <w:hideMark/>
          </w:tcPr>
          <w:p w14:paraId="3F0142F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Ejemplo</w:t>
            </w:r>
          </w:p>
        </w:tc>
      </w:tr>
      <w:tr w:rsidR="000444D1" w:rsidRPr="000444D1" w14:paraId="434D1E83" w14:textId="77777777">
        <w:trPr>
          <w:tblCellSpacing w:w="15" w:type="dxa"/>
        </w:trPr>
        <w:tc>
          <w:tcPr>
            <w:tcW w:w="0" w:type="auto"/>
            <w:vAlign w:val="center"/>
            <w:hideMark/>
          </w:tcPr>
          <w:p w14:paraId="1C0ED8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Servicio de dominio</w:t>
            </w:r>
          </w:p>
        </w:tc>
        <w:tc>
          <w:tcPr>
            <w:tcW w:w="0" w:type="auto"/>
            <w:vAlign w:val="center"/>
            <w:hideMark/>
          </w:tcPr>
          <w:p w14:paraId="0094D9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Sustantivo del dominio, alineado al Service Domain BIAN</w:t>
            </w:r>
          </w:p>
        </w:tc>
        <w:tc>
          <w:tcPr>
            <w:tcW w:w="0" w:type="auto"/>
            <w:vAlign w:val="center"/>
            <w:hideMark/>
          </w:tcPr>
          <w:p w14:paraId="695D81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Órdenes de pago</w:t>
            </w:r>
          </w:p>
        </w:tc>
      </w:tr>
      <w:tr w:rsidR="000444D1" w:rsidRPr="000444D1" w14:paraId="128B726B" w14:textId="77777777">
        <w:trPr>
          <w:tblCellSpacing w:w="15" w:type="dxa"/>
        </w:trPr>
        <w:tc>
          <w:tcPr>
            <w:tcW w:w="0" w:type="auto"/>
            <w:vAlign w:val="center"/>
            <w:hideMark/>
          </w:tcPr>
          <w:p w14:paraId="009851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Recurso de API</w:t>
            </w:r>
          </w:p>
        </w:tc>
        <w:tc>
          <w:tcPr>
            <w:tcW w:w="0" w:type="auto"/>
            <w:vAlign w:val="center"/>
            <w:hideMark/>
          </w:tcPr>
          <w:p w14:paraId="6E71A6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Plural, en español</w:t>
            </w:r>
          </w:p>
        </w:tc>
        <w:tc>
          <w:tcPr>
            <w:tcW w:w="0" w:type="auto"/>
            <w:vAlign w:val="center"/>
            <w:hideMark/>
          </w:tcPr>
          <w:p w14:paraId="190FE9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/v1/ordenes-pago</w:t>
            </w:r>
          </w:p>
        </w:tc>
      </w:tr>
      <w:tr w:rsidR="000444D1" w:rsidRPr="000444D1" w14:paraId="6267ED7E" w14:textId="77777777">
        <w:trPr>
          <w:tblCellSpacing w:w="15" w:type="dxa"/>
        </w:trPr>
        <w:tc>
          <w:tcPr>
            <w:tcW w:w="0" w:type="auto"/>
            <w:vAlign w:val="center"/>
            <w:hideMark/>
          </w:tcPr>
          <w:p w14:paraId="0AB130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Versión de API</w:t>
            </w:r>
          </w:p>
        </w:tc>
        <w:tc>
          <w:tcPr>
            <w:tcW w:w="0" w:type="auto"/>
            <w:vAlign w:val="center"/>
            <w:hideMark/>
          </w:tcPr>
          <w:p w14:paraId="4A8BC55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Versión mayor en la ruta</w:t>
            </w:r>
          </w:p>
        </w:tc>
        <w:tc>
          <w:tcPr>
            <w:tcW w:w="0" w:type="auto"/>
            <w:vAlign w:val="center"/>
            <w:hideMark/>
          </w:tcPr>
          <w:p w14:paraId="6F1DB9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/v1/</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/v2/</w:t>
            </w:r>
          </w:p>
        </w:tc>
      </w:tr>
      <w:tr w:rsidR="000444D1" w:rsidRPr="000444D1" w14:paraId="29003CFE" w14:textId="77777777">
        <w:trPr>
          <w:tblCellSpacing w:w="15" w:type="dxa"/>
        </w:trPr>
        <w:tc>
          <w:tcPr>
            <w:tcW w:w="0" w:type="auto"/>
            <w:vAlign w:val="center"/>
            <w:hideMark/>
          </w:tcPr>
          <w:p w14:paraId="480EF30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Tipo de evento</w:t>
            </w:r>
          </w:p>
        </w:tc>
        <w:tc>
          <w:tcPr>
            <w:tcW w:w="0" w:type="auto"/>
            <w:vAlign w:val="center"/>
            <w:hideMark/>
          </w:tcPr>
          <w:p w14:paraId="008E68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entidad.hecho-en-pasado</w:t>
            </w:r>
            <w:r w:rsidRPr="000444D1">
              <w:rPr>
                <w:rFonts w:ascii="Times New Roman" w:eastAsia="Times New Roman" w:hAnsi="Times New Roman" w:cs="Times New Roman"/>
                <w:kern w:val="0"/>
                <w14:ligatures w14:val="none"/>
              </w:rPr>
              <w:t>, en minúsculas</w:t>
            </w:r>
          </w:p>
        </w:tc>
        <w:tc>
          <w:tcPr>
            <w:tcW w:w="0" w:type="auto"/>
            <w:vAlign w:val="center"/>
            <w:hideMark/>
          </w:tcPr>
          <w:p w14:paraId="724054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pago.ejecutado</w:t>
            </w:r>
          </w:p>
        </w:tc>
      </w:tr>
      <w:tr w:rsidR="000444D1" w:rsidRPr="000444D1" w14:paraId="51088F4A" w14:textId="77777777">
        <w:trPr>
          <w:tblCellSpacing w:w="15" w:type="dxa"/>
        </w:trPr>
        <w:tc>
          <w:tcPr>
            <w:tcW w:w="0" w:type="auto"/>
            <w:vAlign w:val="center"/>
            <w:hideMark/>
          </w:tcPr>
          <w:p w14:paraId="0930A9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Estado de agregado</w:t>
            </w:r>
          </w:p>
        </w:tc>
        <w:tc>
          <w:tcPr>
            <w:tcW w:w="0" w:type="auto"/>
            <w:vAlign w:val="center"/>
            <w:hideMark/>
          </w:tcPr>
          <w:p w14:paraId="2AD8DE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Minúsculas, sin tildes, separado por guion bajo</w:t>
            </w:r>
          </w:p>
        </w:tc>
        <w:tc>
          <w:tcPr>
            <w:tcW w:w="0" w:type="auto"/>
            <w:vAlign w:val="center"/>
            <w:hideMark/>
          </w:tcPr>
          <w:p w14:paraId="5CDACD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en_verificacion</w:t>
            </w:r>
          </w:p>
        </w:tc>
      </w:tr>
      <w:tr w:rsidR="000444D1" w:rsidRPr="000444D1" w14:paraId="6819E202" w14:textId="77777777">
        <w:trPr>
          <w:tblCellSpacing w:w="15" w:type="dxa"/>
        </w:trPr>
        <w:tc>
          <w:tcPr>
            <w:tcW w:w="0" w:type="auto"/>
            <w:vAlign w:val="center"/>
            <w:hideMark/>
          </w:tcPr>
          <w:p w14:paraId="506DF3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Puerto</w:t>
            </w:r>
          </w:p>
        </w:tc>
        <w:tc>
          <w:tcPr>
            <w:tcW w:w="0" w:type="auto"/>
            <w:vAlign w:val="center"/>
            <w:hideMark/>
          </w:tcPr>
          <w:p w14:paraId="2532E5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Prefijo </w:t>
            </w:r>
            <w:r w:rsidRPr="000444D1">
              <w:rPr>
                <w:rFonts w:ascii="Courier New" w:eastAsia="Times New Roman" w:hAnsi="Courier New" w:cs="Courier New"/>
                <w:kern w:val="0"/>
                <w:sz w:val="20"/>
                <w:szCs w:val="20"/>
                <w14:ligatures w14:val="none"/>
              </w:rPr>
              <w:t>I</w:t>
            </w:r>
            <w:r w:rsidRPr="000444D1">
              <w:rPr>
                <w:rFonts w:ascii="Times New Roman" w:eastAsia="Times New Roman" w:hAnsi="Times New Roman" w:cs="Times New Roman"/>
                <w:kern w:val="0"/>
                <w14:ligatures w14:val="none"/>
              </w:rPr>
              <w:t xml:space="preserve">, sufijo </w:t>
            </w:r>
            <w:r w:rsidRPr="000444D1">
              <w:rPr>
                <w:rFonts w:ascii="Courier New" w:eastAsia="Times New Roman" w:hAnsi="Courier New" w:cs="Courier New"/>
                <w:kern w:val="0"/>
                <w:sz w:val="20"/>
                <w:szCs w:val="20"/>
                <w14:ligatures w14:val="none"/>
              </w:rPr>
              <w:t>Port</w:t>
            </w:r>
            <w:r w:rsidRPr="000444D1">
              <w:rPr>
                <w:rFonts w:ascii="Times New Roman" w:eastAsia="Times New Roman" w:hAnsi="Times New Roman" w:cs="Times New Roman"/>
                <w:kern w:val="0"/>
                <w14:ligatures w14:val="none"/>
              </w:rPr>
              <w:t>, en inglés por convención de código</w:t>
            </w:r>
          </w:p>
        </w:tc>
        <w:tc>
          <w:tcPr>
            <w:tcW w:w="0" w:type="auto"/>
            <w:vAlign w:val="center"/>
            <w:hideMark/>
          </w:tcPr>
          <w:p w14:paraId="2CAC46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IPaymentExecutionPort</w:t>
            </w:r>
          </w:p>
        </w:tc>
      </w:tr>
      <w:tr w:rsidR="000444D1" w:rsidRPr="000444D1" w14:paraId="2EF3D9F9" w14:textId="77777777">
        <w:trPr>
          <w:tblCellSpacing w:w="15" w:type="dxa"/>
        </w:trPr>
        <w:tc>
          <w:tcPr>
            <w:tcW w:w="0" w:type="auto"/>
            <w:vAlign w:val="center"/>
            <w:hideMark/>
          </w:tcPr>
          <w:p w14:paraId="44005F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Identificador de decisión</w:t>
            </w:r>
          </w:p>
        </w:tc>
        <w:tc>
          <w:tcPr>
            <w:tcW w:w="0" w:type="auto"/>
            <w:vAlign w:val="center"/>
            <w:hideMark/>
          </w:tcPr>
          <w:p w14:paraId="5D5A17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ADR-</w:t>
            </w:r>
            <w:r w:rsidRPr="000444D1">
              <w:rPr>
                <w:rFonts w:ascii="Times New Roman" w:eastAsia="Times New Roman" w:hAnsi="Times New Roman" w:cs="Times New Roman"/>
                <w:kern w:val="0"/>
                <w14:ligatures w14:val="none"/>
              </w:rPr>
              <w:t xml:space="preserve"> con tres dígitos</w:t>
            </w:r>
          </w:p>
        </w:tc>
        <w:tc>
          <w:tcPr>
            <w:tcW w:w="0" w:type="auto"/>
            <w:vAlign w:val="center"/>
            <w:hideMark/>
          </w:tcPr>
          <w:p w14:paraId="6433B6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ADR-004</w:t>
            </w:r>
          </w:p>
        </w:tc>
      </w:tr>
      <w:tr w:rsidR="000444D1" w:rsidRPr="000444D1" w14:paraId="509C849E" w14:textId="77777777">
        <w:trPr>
          <w:tblCellSpacing w:w="15" w:type="dxa"/>
        </w:trPr>
        <w:tc>
          <w:tcPr>
            <w:tcW w:w="0" w:type="auto"/>
            <w:vAlign w:val="center"/>
            <w:hideMark/>
          </w:tcPr>
          <w:p w14:paraId="5BFDF8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Identificador de control</w:t>
            </w:r>
          </w:p>
        </w:tc>
        <w:tc>
          <w:tcPr>
            <w:tcW w:w="0" w:type="auto"/>
            <w:vAlign w:val="center"/>
            <w:hideMark/>
          </w:tcPr>
          <w:p w14:paraId="3923E4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w:t>
            </w:r>
            <w:r w:rsidRPr="000444D1">
              <w:rPr>
                <w:rFonts w:ascii="Times New Roman" w:eastAsia="Times New Roman" w:hAnsi="Times New Roman" w:cs="Times New Roman"/>
                <w:kern w:val="0"/>
                <w14:ligatures w14:val="none"/>
              </w:rPr>
              <w:t xml:space="preserve"> con dos dígitos</w:t>
            </w:r>
          </w:p>
        </w:tc>
        <w:tc>
          <w:tcPr>
            <w:tcW w:w="0" w:type="auto"/>
            <w:vAlign w:val="center"/>
            <w:hideMark/>
          </w:tcPr>
          <w:p w14:paraId="310966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C-17</w:t>
            </w:r>
          </w:p>
        </w:tc>
      </w:tr>
    </w:tbl>
    <w:p w14:paraId="1F988C5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lastRenderedPageBreak/>
        <w:t>19.3 Índice de dominios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966"/>
        <w:gridCol w:w="1140"/>
        <w:gridCol w:w="915"/>
      </w:tblGrid>
      <w:tr w:rsidR="000444D1" w:rsidRPr="000444D1" w14:paraId="53906F38" w14:textId="77777777">
        <w:trPr>
          <w:tblHeader/>
          <w:tblCellSpacing w:w="15" w:type="dxa"/>
        </w:trPr>
        <w:tc>
          <w:tcPr>
            <w:tcW w:w="0" w:type="auto"/>
            <w:vAlign w:val="center"/>
            <w:hideMark/>
          </w:tcPr>
          <w:p w14:paraId="3A4C075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Id</w:t>
            </w:r>
          </w:p>
        </w:tc>
        <w:tc>
          <w:tcPr>
            <w:tcW w:w="0" w:type="auto"/>
            <w:vAlign w:val="center"/>
            <w:hideMark/>
          </w:tcPr>
          <w:p w14:paraId="11C2A7D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Dominio</w:t>
            </w:r>
          </w:p>
        </w:tc>
        <w:tc>
          <w:tcPr>
            <w:tcW w:w="0" w:type="auto"/>
            <w:vAlign w:val="center"/>
            <w:hideMark/>
          </w:tcPr>
          <w:p w14:paraId="73ADBA0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w:t>
            </w:r>
          </w:p>
        </w:tc>
        <w:tc>
          <w:tcPr>
            <w:tcW w:w="0" w:type="auto"/>
            <w:vAlign w:val="center"/>
            <w:hideMark/>
          </w:tcPr>
          <w:p w14:paraId="6AC646A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Sección</w:t>
            </w:r>
          </w:p>
        </w:tc>
      </w:tr>
      <w:tr w:rsidR="000444D1" w:rsidRPr="000444D1" w14:paraId="0F231D89" w14:textId="77777777">
        <w:trPr>
          <w:tblCellSpacing w:w="15" w:type="dxa"/>
        </w:trPr>
        <w:tc>
          <w:tcPr>
            <w:tcW w:w="0" w:type="auto"/>
            <w:vAlign w:val="center"/>
            <w:hideMark/>
          </w:tcPr>
          <w:p w14:paraId="6707A4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w:t>
            </w:r>
          </w:p>
        </w:tc>
        <w:tc>
          <w:tcPr>
            <w:tcW w:w="0" w:type="auto"/>
            <w:vAlign w:val="center"/>
            <w:hideMark/>
          </w:tcPr>
          <w:p w14:paraId="2B3968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Datos maestros de cliente</w:t>
            </w:r>
          </w:p>
        </w:tc>
        <w:tc>
          <w:tcPr>
            <w:tcW w:w="0" w:type="auto"/>
            <w:vAlign w:val="center"/>
            <w:hideMark/>
          </w:tcPr>
          <w:p w14:paraId="547021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Mediación</w:t>
            </w:r>
          </w:p>
        </w:tc>
        <w:tc>
          <w:tcPr>
            <w:tcW w:w="0" w:type="auto"/>
            <w:vAlign w:val="center"/>
            <w:hideMark/>
          </w:tcPr>
          <w:p w14:paraId="6CCCFD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r w:rsidR="000444D1" w:rsidRPr="000444D1" w14:paraId="74B671B2" w14:textId="77777777">
        <w:trPr>
          <w:tblCellSpacing w:w="15" w:type="dxa"/>
        </w:trPr>
        <w:tc>
          <w:tcPr>
            <w:tcW w:w="0" w:type="auto"/>
            <w:vAlign w:val="center"/>
            <w:hideMark/>
          </w:tcPr>
          <w:p w14:paraId="5130C9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D2</w:t>
            </w:r>
          </w:p>
        </w:tc>
        <w:tc>
          <w:tcPr>
            <w:tcW w:w="0" w:type="auto"/>
            <w:vAlign w:val="center"/>
            <w:hideMark/>
          </w:tcPr>
          <w:p w14:paraId="57B46D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Catálogo de productos</w:t>
            </w:r>
          </w:p>
        </w:tc>
        <w:tc>
          <w:tcPr>
            <w:tcW w:w="0" w:type="auto"/>
            <w:vAlign w:val="center"/>
            <w:hideMark/>
          </w:tcPr>
          <w:p w14:paraId="3FCFED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26D5D7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r w:rsidR="000444D1" w:rsidRPr="000444D1" w14:paraId="023A11AC" w14:textId="77777777">
        <w:trPr>
          <w:tblCellSpacing w:w="15" w:type="dxa"/>
        </w:trPr>
        <w:tc>
          <w:tcPr>
            <w:tcW w:w="0" w:type="auto"/>
            <w:vAlign w:val="center"/>
            <w:hideMark/>
          </w:tcPr>
          <w:p w14:paraId="1634B8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w:t>
            </w:r>
          </w:p>
        </w:tc>
        <w:tc>
          <w:tcPr>
            <w:tcW w:w="0" w:type="auto"/>
            <w:vAlign w:val="center"/>
            <w:hideMark/>
          </w:tcPr>
          <w:p w14:paraId="7F9A6D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Posición consolidada</w:t>
            </w:r>
          </w:p>
        </w:tc>
        <w:tc>
          <w:tcPr>
            <w:tcW w:w="0" w:type="auto"/>
            <w:vAlign w:val="center"/>
            <w:hideMark/>
          </w:tcPr>
          <w:p w14:paraId="62685A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Proyección</w:t>
            </w:r>
          </w:p>
        </w:tc>
        <w:tc>
          <w:tcPr>
            <w:tcW w:w="0" w:type="auto"/>
            <w:vAlign w:val="center"/>
            <w:hideMark/>
          </w:tcPr>
          <w:p w14:paraId="5852F9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5.2, 11.5</w:t>
            </w:r>
          </w:p>
        </w:tc>
      </w:tr>
      <w:tr w:rsidR="000444D1" w:rsidRPr="000444D1" w14:paraId="74516D4F" w14:textId="77777777">
        <w:trPr>
          <w:tblCellSpacing w:w="15" w:type="dxa"/>
        </w:trPr>
        <w:tc>
          <w:tcPr>
            <w:tcW w:w="0" w:type="auto"/>
            <w:vAlign w:val="center"/>
            <w:hideMark/>
          </w:tcPr>
          <w:p w14:paraId="08C49E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w:t>
            </w:r>
          </w:p>
        </w:tc>
        <w:tc>
          <w:tcPr>
            <w:tcW w:w="0" w:type="auto"/>
            <w:vAlign w:val="center"/>
            <w:hideMark/>
          </w:tcPr>
          <w:p w14:paraId="79F2CC4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Órdenes de pago</w:t>
            </w:r>
          </w:p>
        </w:tc>
        <w:tc>
          <w:tcPr>
            <w:tcW w:w="0" w:type="auto"/>
            <w:vAlign w:val="center"/>
            <w:hideMark/>
          </w:tcPr>
          <w:p w14:paraId="729489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477BD2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5.2, 8.1</w:t>
            </w:r>
          </w:p>
        </w:tc>
      </w:tr>
      <w:tr w:rsidR="000444D1" w:rsidRPr="000444D1" w14:paraId="2FF6F936" w14:textId="77777777">
        <w:trPr>
          <w:tblCellSpacing w:w="15" w:type="dxa"/>
        </w:trPr>
        <w:tc>
          <w:tcPr>
            <w:tcW w:w="0" w:type="auto"/>
            <w:vAlign w:val="center"/>
            <w:hideMark/>
          </w:tcPr>
          <w:p w14:paraId="72DB74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w:t>
            </w:r>
          </w:p>
        </w:tc>
        <w:tc>
          <w:tcPr>
            <w:tcW w:w="0" w:type="auto"/>
            <w:vAlign w:val="center"/>
            <w:hideMark/>
          </w:tcPr>
          <w:p w14:paraId="68049B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de fraude</w:t>
            </w:r>
          </w:p>
        </w:tc>
        <w:tc>
          <w:tcPr>
            <w:tcW w:w="0" w:type="auto"/>
            <w:vAlign w:val="center"/>
            <w:hideMark/>
          </w:tcPr>
          <w:p w14:paraId="13C388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Mediación</w:t>
            </w:r>
          </w:p>
        </w:tc>
        <w:tc>
          <w:tcPr>
            <w:tcW w:w="0" w:type="auto"/>
            <w:vAlign w:val="center"/>
            <w:hideMark/>
          </w:tcPr>
          <w:p w14:paraId="4F489E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r w:rsidR="000444D1" w:rsidRPr="000444D1" w14:paraId="7FE25490" w14:textId="77777777">
        <w:trPr>
          <w:tblCellSpacing w:w="15" w:type="dxa"/>
        </w:trPr>
        <w:tc>
          <w:tcPr>
            <w:tcW w:w="0" w:type="auto"/>
            <w:vAlign w:val="center"/>
            <w:hideMark/>
          </w:tcPr>
          <w:p w14:paraId="30C367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D6</w:t>
            </w:r>
          </w:p>
        </w:tc>
        <w:tc>
          <w:tcPr>
            <w:tcW w:w="0" w:type="auto"/>
            <w:vAlign w:val="center"/>
            <w:hideMark/>
          </w:tcPr>
          <w:p w14:paraId="536F45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de riesgo</w:t>
            </w:r>
          </w:p>
        </w:tc>
        <w:tc>
          <w:tcPr>
            <w:tcW w:w="0" w:type="auto"/>
            <w:vAlign w:val="center"/>
            <w:hideMark/>
          </w:tcPr>
          <w:p w14:paraId="6EDC67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Mediación</w:t>
            </w:r>
          </w:p>
        </w:tc>
        <w:tc>
          <w:tcPr>
            <w:tcW w:w="0" w:type="auto"/>
            <w:vAlign w:val="center"/>
            <w:hideMark/>
          </w:tcPr>
          <w:p w14:paraId="1889F7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r w:rsidR="000444D1" w:rsidRPr="000444D1" w14:paraId="7822AACA" w14:textId="77777777">
        <w:trPr>
          <w:tblCellSpacing w:w="15" w:type="dxa"/>
        </w:trPr>
        <w:tc>
          <w:tcPr>
            <w:tcW w:w="0" w:type="auto"/>
            <w:vAlign w:val="center"/>
            <w:hideMark/>
          </w:tcPr>
          <w:p w14:paraId="28D30C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w:t>
            </w:r>
          </w:p>
        </w:tc>
        <w:tc>
          <w:tcPr>
            <w:tcW w:w="0" w:type="auto"/>
            <w:vAlign w:val="center"/>
            <w:hideMark/>
          </w:tcPr>
          <w:p w14:paraId="439746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Consentimientos</w:t>
            </w:r>
          </w:p>
        </w:tc>
        <w:tc>
          <w:tcPr>
            <w:tcW w:w="0" w:type="auto"/>
            <w:vAlign w:val="center"/>
            <w:hideMark/>
          </w:tcPr>
          <w:p w14:paraId="1D6C7BE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65DA05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r w:rsidR="000444D1" w:rsidRPr="000444D1" w14:paraId="0633FDBF" w14:textId="77777777">
        <w:trPr>
          <w:tblCellSpacing w:w="15" w:type="dxa"/>
        </w:trPr>
        <w:tc>
          <w:tcPr>
            <w:tcW w:w="0" w:type="auto"/>
            <w:vAlign w:val="center"/>
            <w:hideMark/>
          </w:tcPr>
          <w:p w14:paraId="64FF09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w:t>
            </w:r>
          </w:p>
        </w:tc>
        <w:tc>
          <w:tcPr>
            <w:tcW w:w="0" w:type="auto"/>
            <w:vAlign w:val="center"/>
            <w:hideMark/>
          </w:tcPr>
          <w:p w14:paraId="270C54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Historial de eventos de cliente</w:t>
            </w:r>
          </w:p>
        </w:tc>
        <w:tc>
          <w:tcPr>
            <w:tcW w:w="0" w:type="auto"/>
            <w:vAlign w:val="center"/>
            <w:hideMark/>
          </w:tcPr>
          <w:p w14:paraId="1F1865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05F43F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r w:rsidR="000444D1" w:rsidRPr="000444D1" w14:paraId="3AA0F83A" w14:textId="77777777">
        <w:trPr>
          <w:tblCellSpacing w:w="15" w:type="dxa"/>
        </w:trPr>
        <w:tc>
          <w:tcPr>
            <w:tcW w:w="0" w:type="auto"/>
            <w:vAlign w:val="center"/>
            <w:hideMark/>
          </w:tcPr>
          <w:p w14:paraId="139A34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D9</w:t>
            </w:r>
          </w:p>
        </w:tc>
        <w:tc>
          <w:tcPr>
            <w:tcW w:w="0" w:type="auto"/>
            <w:vAlign w:val="center"/>
            <w:hideMark/>
          </w:tcPr>
          <w:p w14:paraId="1DD7EB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Entitlements de acceso</w:t>
            </w:r>
          </w:p>
        </w:tc>
        <w:tc>
          <w:tcPr>
            <w:tcW w:w="0" w:type="auto"/>
            <w:vAlign w:val="center"/>
            <w:hideMark/>
          </w:tcPr>
          <w:p w14:paraId="7F8159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204CBA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bl>
    <w:p w14:paraId="4C5F89F5"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19.4 Índice de decisiones de arquitectura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7546"/>
      </w:tblGrid>
      <w:tr w:rsidR="000444D1" w:rsidRPr="000444D1" w14:paraId="73181EA0" w14:textId="77777777">
        <w:trPr>
          <w:tblHeader/>
          <w:tblCellSpacing w:w="15" w:type="dxa"/>
        </w:trPr>
        <w:tc>
          <w:tcPr>
            <w:tcW w:w="0" w:type="auto"/>
            <w:vAlign w:val="center"/>
            <w:hideMark/>
          </w:tcPr>
          <w:p w14:paraId="083C616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Id</w:t>
            </w:r>
          </w:p>
        </w:tc>
        <w:tc>
          <w:tcPr>
            <w:tcW w:w="0" w:type="auto"/>
            <w:vAlign w:val="center"/>
            <w:hideMark/>
          </w:tcPr>
          <w:p w14:paraId="0F70BD3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Decisión</w:t>
            </w:r>
          </w:p>
        </w:tc>
      </w:tr>
      <w:tr w:rsidR="000444D1" w:rsidRPr="000444D1" w14:paraId="0A964DA5" w14:textId="77777777">
        <w:trPr>
          <w:tblCellSpacing w:w="15" w:type="dxa"/>
        </w:trPr>
        <w:tc>
          <w:tcPr>
            <w:tcW w:w="0" w:type="auto"/>
            <w:vAlign w:val="center"/>
            <w:hideMark/>
          </w:tcPr>
          <w:p w14:paraId="7F5BE8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ADR-001</w:t>
            </w:r>
          </w:p>
        </w:tc>
        <w:tc>
          <w:tcPr>
            <w:tcW w:w="0" w:type="auto"/>
            <w:vAlign w:val="center"/>
            <w:hideMark/>
          </w:tcPr>
          <w:p w14:paraId="03E1DA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Coexistencia multicore mediante reparto por producto</w:t>
            </w:r>
          </w:p>
        </w:tc>
      </w:tr>
      <w:tr w:rsidR="000444D1" w:rsidRPr="000444D1" w14:paraId="2FB18E56" w14:textId="77777777">
        <w:trPr>
          <w:tblCellSpacing w:w="15" w:type="dxa"/>
        </w:trPr>
        <w:tc>
          <w:tcPr>
            <w:tcW w:w="0" w:type="auto"/>
            <w:vAlign w:val="center"/>
            <w:hideMark/>
          </w:tcPr>
          <w:p w14:paraId="432D61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ADR-002</w:t>
            </w:r>
          </w:p>
        </w:tc>
        <w:tc>
          <w:tcPr>
            <w:tcW w:w="0" w:type="auto"/>
            <w:vAlign w:val="center"/>
            <w:hideMark/>
          </w:tcPr>
          <w:p w14:paraId="3F1550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tradicional no participa en el camino crítico de lectura</w:t>
            </w:r>
          </w:p>
        </w:tc>
      </w:tr>
      <w:tr w:rsidR="000444D1" w:rsidRPr="000444D1" w14:paraId="7DC2EE94" w14:textId="77777777">
        <w:trPr>
          <w:tblCellSpacing w:w="15" w:type="dxa"/>
        </w:trPr>
        <w:tc>
          <w:tcPr>
            <w:tcW w:w="0" w:type="auto"/>
            <w:vAlign w:val="center"/>
            <w:hideMark/>
          </w:tcPr>
          <w:p w14:paraId="49AE57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ADR-003</w:t>
            </w:r>
          </w:p>
        </w:tc>
        <w:tc>
          <w:tcPr>
            <w:tcW w:w="0" w:type="auto"/>
            <w:vAlign w:val="center"/>
            <w:hideMark/>
          </w:tcPr>
          <w:p w14:paraId="406856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Estilo de integración asíncrono por defecto y modelo de consistencia por saga</w:t>
            </w:r>
          </w:p>
        </w:tc>
      </w:tr>
      <w:tr w:rsidR="000444D1" w:rsidRPr="000444D1" w14:paraId="6ECC7FA5" w14:textId="77777777">
        <w:trPr>
          <w:tblCellSpacing w:w="15" w:type="dxa"/>
        </w:trPr>
        <w:tc>
          <w:tcPr>
            <w:tcW w:w="0" w:type="auto"/>
            <w:vAlign w:val="center"/>
            <w:hideMark/>
          </w:tcPr>
          <w:p w14:paraId="3A47AF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ADR-004</w:t>
            </w:r>
          </w:p>
        </w:tc>
        <w:tc>
          <w:tcPr>
            <w:tcW w:w="0" w:type="auto"/>
            <w:vAlign w:val="center"/>
            <w:hideMark/>
          </w:tcPr>
          <w:p w14:paraId="6B27BE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Ingesta de cambios del core tradicional mediante doble mecanismo</w:t>
            </w:r>
          </w:p>
        </w:tc>
      </w:tr>
      <w:tr w:rsidR="000444D1" w:rsidRPr="000444D1" w14:paraId="2E9643F8" w14:textId="77777777">
        <w:trPr>
          <w:tblCellSpacing w:w="15" w:type="dxa"/>
        </w:trPr>
        <w:tc>
          <w:tcPr>
            <w:tcW w:w="0" w:type="auto"/>
            <w:vAlign w:val="center"/>
            <w:hideMark/>
          </w:tcPr>
          <w:p w14:paraId="3649BE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ADR-005</w:t>
            </w:r>
          </w:p>
        </w:tc>
        <w:tc>
          <w:tcPr>
            <w:tcW w:w="0" w:type="auto"/>
            <w:vAlign w:val="center"/>
            <w:hideMark/>
          </w:tcPr>
          <w:p w14:paraId="462C5A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Política de evaluación de fraude en línea con degradación graduada</w:t>
            </w:r>
          </w:p>
        </w:tc>
      </w:tr>
      <w:tr w:rsidR="000444D1" w:rsidRPr="000444D1" w14:paraId="578A1D6D" w14:textId="77777777">
        <w:trPr>
          <w:tblCellSpacing w:w="15" w:type="dxa"/>
        </w:trPr>
        <w:tc>
          <w:tcPr>
            <w:tcW w:w="0" w:type="auto"/>
            <w:vAlign w:val="center"/>
            <w:hideMark/>
          </w:tcPr>
          <w:p w14:paraId="55BA4D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ADR-006</w:t>
            </w:r>
          </w:p>
        </w:tc>
        <w:tc>
          <w:tcPr>
            <w:tcW w:w="0" w:type="auto"/>
            <w:vAlign w:val="center"/>
            <w:hideMark/>
          </w:tcPr>
          <w:p w14:paraId="67342C0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Modelo de despliegue híbrido y selección de proveedor de nube</w:t>
            </w:r>
          </w:p>
        </w:tc>
      </w:tr>
    </w:tbl>
    <w:p w14:paraId="6897B55D"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19.5 Índice de principios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4566"/>
        <w:gridCol w:w="849"/>
      </w:tblGrid>
      <w:tr w:rsidR="000444D1" w:rsidRPr="000444D1" w14:paraId="45A47402" w14:textId="77777777">
        <w:trPr>
          <w:tblHeader/>
          <w:tblCellSpacing w:w="15" w:type="dxa"/>
        </w:trPr>
        <w:tc>
          <w:tcPr>
            <w:tcW w:w="0" w:type="auto"/>
            <w:vAlign w:val="center"/>
            <w:hideMark/>
          </w:tcPr>
          <w:p w14:paraId="1F1597A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Id</w:t>
            </w:r>
          </w:p>
        </w:tc>
        <w:tc>
          <w:tcPr>
            <w:tcW w:w="0" w:type="auto"/>
            <w:vAlign w:val="center"/>
            <w:hideMark/>
          </w:tcPr>
          <w:p w14:paraId="1A68174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Principio</w:t>
            </w:r>
          </w:p>
        </w:tc>
        <w:tc>
          <w:tcPr>
            <w:tcW w:w="0" w:type="auto"/>
            <w:vAlign w:val="center"/>
            <w:hideMark/>
          </w:tcPr>
          <w:p w14:paraId="26527D7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Sección</w:t>
            </w:r>
          </w:p>
        </w:tc>
      </w:tr>
      <w:tr w:rsidR="000444D1" w:rsidRPr="000444D1" w14:paraId="01237528" w14:textId="77777777">
        <w:trPr>
          <w:tblCellSpacing w:w="15" w:type="dxa"/>
        </w:trPr>
        <w:tc>
          <w:tcPr>
            <w:tcW w:w="0" w:type="auto"/>
            <w:vAlign w:val="center"/>
            <w:hideMark/>
          </w:tcPr>
          <w:p w14:paraId="51033D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P1</w:t>
            </w:r>
          </w:p>
        </w:tc>
        <w:tc>
          <w:tcPr>
            <w:tcW w:w="0" w:type="auto"/>
            <w:vAlign w:val="center"/>
            <w:hideMark/>
          </w:tcPr>
          <w:p w14:paraId="045C44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dato, un dueño</w:t>
            </w:r>
          </w:p>
        </w:tc>
        <w:tc>
          <w:tcPr>
            <w:tcW w:w="0" w:type="auto"/>
            <w:vAlign w:val="center"/>
            <w:hideMark/>
          </w:tcPr>
          <w:p w14:paraId="62CA2C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01C84DE6" w14:textId="77777777">
        <w:trPr>
          <w:tblCellSpacing w:w="15" w:type="dxa"/>
        </w:trPr>
        <w:tc>
          <w:tcPr>
            <w:tcW w:w="0" w:type="auto"/>
            <w:vAlign w:val="center"/>
            <w:hideMark/>
          </w:tcPr>
          <w:p w14:paraId="485223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P2</w:t>
            </w:r>
          </w:p>
        </w:tc>
        <w:tc>
          <w:tcPr>
            <w:tcW w:w="0" w:type="auto"/>
            <w:vAlign w:val="center"/>
            <w:hideMark/>
          </w:tcPr>
          <w:p w14:paraId="1236FF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Aislamiento del legado</w:t>
            </w:r>
          </w:p>
        </w:tc>
        <w:tc>
          <w:tcPr>
            <w:tcW w:w="0" w:type="auto"/>
            <w:vAlign w:val="center"/>
            <w:hideMark/>
          </w:tcPr>
          <w:p w14:paraId="62F590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079DFD17" w14:textId="77777777">
        <w:trPr>
          <w:tblCellSpacing w:w="15" w:type="dxa"/>
        </w:trPr>
        <w:tc>
          <w:tcPr>
            <w:tcW w:w="0" w:type="auto"/>
            <w:vAlign w:val="center"/>
            <w:hideMark/>
          </w:tcPr>
          <w:p w14:paraId="7C611A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P3</w:t>
            </w:r>
          </w:p>
        </w:tc>
        <w:tc>
          <w:tcPr>
            <w:tcW w:w="0" w:type="auto"/>
            <w:vAlign w:val="center"/>
            <w:hideMark/>
          </w:tcPr>
          <w:p w14:paraId="3431C9C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Asíncrono por defecto, síncrono por excepción</w:t>
            </w:r>
          </w:p>
        </w:tc>
        <w:tc>
          <w:tcPr>
            <w:tcW w:w="0" w:type="auto"/>
            <w:vAlign w:val="center"/>
            <w:hideMark/>
          </w:tcPr>
          <w:p w14:paraId="7516D2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2783FF92" w14:textId="77777777">
        <w:trPr>
          <w:tblCellSpacing w:w="15" w:type="dxa"/>
        </w:trPr>
        <w:tc>
          <w:tcPr>
            <w:tcW w:w="0" w:type="auto"/>
            <w:vAlign w:val="center"/>
            <w:hideMark/>
          </w:tcPr>
          <w:p w14:paraId="530309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P4</w:t>
            </w:r>
          </w:p>
        </w:tc>
        <w:tc>
          <w:tcPr>
            <w:tcW w:w="0" w:type="auto"/>
            <w:vAlign w:val="center"/>
            <w:hideMark/>
          </w:tcPr>
          <w:p w14:paraId="36939C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Contratos explícitos y versionados</w:t>
            </w:r>
          </w:p>
        </w:tc>
        <w:tc>
          <w:tcPr>
            <w:tcW w:w="0" w:type="auto"/>
            <w:vAlign w:val="center"/>
            <w:hideMark/>
          </w:tcPr>
          <w:p w14:paraId="57D87E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1BFAD744" w14:textId="77777777">
        <w:trPr>
          <w:tblCellSpacing w:w="15" w:type="dxa"/>
        </w:trPr>
        <w:tc>
          <w:tcPr>
            <w:tcW w:w="0" w:type="auto"/>
            <w:vAlign w:val="center"/>
            <w:hideMark/>
          </w:tcPr>
          <w:p w14:paraId="0DF039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P5</w:t>
            </w:r>
          </w:p>
        </w:tc>
        <w:tc>
          <w:tcPr>
            <w:tcW w:w="0" w:type="auto"/>
            <w:vAlign w:val="center"/>
            <w:hideMark/>
          </w:tcPr>
          <w:p w14:paraId="53E4D0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gateway no decide</w:t>
            </w:r>
          </w:p>
        </w:tc>
        <w:tc>
          <w:tcPr>
            <w:tcW w:w="0" w:type="auto"/>
            <w:vAlign w:val="center"/>
            <w:hideMark/>
          </w:tcPr>
          <w:p w14:paraId="0C2900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519CC664" w14:textId="77777777">
        <w:trPr>
          <w:tblCellSpacing w:w="15" w:type="dxa"/>
        </w:trPr>
        <w:tc>
          <w:tcPr>
            <w:tcW w:w="0" w:type="auto"/>
            <w:vAlign w:val="center"/>
            <w:hideMark/>
          </w:tcPr>
          <w:p w14:paraId="0120FA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P6</w:t>
            </w:r>
          </w:p>
        </w:tc>
        <w:tc>
          <w:tcPr>
            <w:tcW w:w="0" w:type="auto"/>
            <w:vAlign w:val="center"/>
            <w:hideMark/>
          </w:tcPr>
          <w:p w14:paraId="693821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Idempotencia y compensación</w:t>
            </w:r>
          </w:p>
        </w:tc>
        <w:tc>
          <w:tcPr>
            <w:tcW w:w="0" w:type="auto"/>
            <w:vAlign w:val="center"/>
            <w:hideMark/>
          </w:tcPr>
          <w:p w14:paraId="296638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5DB92467" w14:textId="77777777">
        <w:trPr>
          <w:tblCellSpacing w:w="15" w:type="dxa"/>
        </w:trPr>
        <w:tc>
          <w:tcPr>
            <w:tcW w:w="0" w:type="auto"/>
            <w:vAlign w:val="center"/>
            <w:hideMark/>
          </w:tcPr>
          <w:p w14:paraId="0673C8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P7</w:t>
            </w:r>
          </w:p>
        </w:tc>
        <w:tc>
          <w:tcPr>
            <w:tcW w:w="0" w:type="auto"/>
            <w:vAlign w:val="center"/>
            <w:hideMark/>
          </w:tcPr>
          <w:p w14:paraId="22E30F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Degradación controlada</w:t>
            </w:r>
          </w:p>
        </w:tc>
        <w:tc>
          <w:tcPr>
            <w:tcW w:w="0" w:type="auto"/>
            <w:vAlign w:val="center"/>
            <w:hideMark/>
          </w:tcPr>
          <w:p w14:paraId="7BDCB92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6361B499" w14:textId="77777777">
        <w:trPr>
          <w:tblCellSpacing w:w="15" w:type="dxa"/>
        </w:trPr>
        <w:tc>
          <w:tcPr>
            <w:tcW w:w="0" w:type="auto"/>
            <w:vAlign w:val="center"/>
            <w:hideMark/>
          </w:tcPr>
          <w:p w14:paraId="22B665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P8</w:t>
            </w:r>
          </w:p>
        </w:tc>
        <w:tc>
          <w:tcPr>
            <w:tcW w:w="0" w:type="auto"/>
            <w:vAlign w:val="center"/>
            <w:hideMark/>
          </w:tcPr>
          <w:p w14:paraId="4A6670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Portabilidad razonada</w:t>
            </w:r>
          </w:p>
        </w:tc>
        <w:tc>
          <w:tcPr>
            <w:tcW w:w="0" w:type="auto"/>
            <w:vAlign w:val="center"/>
            <w:hideMark/>
          </w:tcPr>
          <w:p w14:paraId="56E9D3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0388D936" w14:textId="77777777">
        <w:trPr>
          <w:tblCellSpacing w:w="15" w:type="dxa"/>
        </w:trPr>
        <w:tc>
          <w:tcPr>
            <w:tcW w:w="0" w:type="auto"/>
            <w:vAlign w:val="center"/>
            <w:hideMark/>
          </w:tcPr>
          <w:p w14:paraId="365A38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P9</w:t>
            </w:r>
          </w:p>
        </w:tc>
        <w:tc>
          <w:tcPr>
            <w:tcW w:w="0" w:type="auto"/>
            <w:vAlign w:val="center"/>
            <w:hideMark/>
          </w:tcPr>
          <w:p w14:paraId="3E4608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Seguridad en el diseño, no en la periferia</w:t>
            </w:r>
          </w:p>
        </w:tc>
        <w:tc>
          <w:tcPr>
            <w:tcW w:w="0" w:type="auto"/>
            <w:vAlign w:val="center"/>
            <w:hideMark/>
          </w:tcPr>
          <w:p w14:paraId="1FC5D4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6BC1A76C" w14:textId="77777777">
        <w:trPr>
          <w:tblCellSpacing w:w="15" w:type="dxa"/>
        </w:trPr>
        <w:tc>
          <w:tcPr>
            <w:tcW w:w="0" w:type="auto"/>
            <w:vAlign w:val="center"/>
            <w:hideMark/>
          </w:tcPr>
          <w:p w14:paraId="3401A4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P10</w:t>
            </w:r>
          </w:p>
        </w:tc>
        <w:tc>
          <w:tcPr>
            <w:tcW w:w="0" w:type="auto"/>
            <w:vAlign w:val="center"/>
            <w:hideMark/>
          </w:tcPr>
          <w:p w14:paraId="3E0883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Trazabilidad extremo a extremo</w:t>
            </w:r>
          </w:p>
        </w:tc>
        <w:tc>
          <w:tcPr>
            <w:tcW w:w="0" w:type="auto"/>
            <w:vAlign w:val="center"/>
            <w:hideMark/>
          </w:tcPr>
          <w:p w14:paraId="679C21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5C30D4E7" w14:textId="77777777">
        <w:trPr>
          <w:tblCellSpacing w:w="15" w:type="dxa"/>
        </w:trPr>
        <w:tc>
          <w:tcPr>
            <w:tcW w:w="0" w:type="auto"/>
            <w:vAlign w:val="center"/>
            <w:hideMark/>
          </w:tcPr>
          <w:p w14:paraId="7F40C6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M1–M6</w:t>
            </w:r>
          </w:p>
        </w:tc>
        <w:tc>
          <w:tcPr>
            <w:tcW w:w="0" w:type="auto"/>
            <w:vAlign w:val="center"/>
            <w:hideMark/>
          </w:tcPr>
          <w:p w14:paraId="731D6E0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Principios del plan de migración</w:t>
            </w:r>
          </w:p>
        </w:tc>
        <w:tc>
          <w:tcPr>
            <w:tcW w:w="0" w:type="auto"/>
            <w:vAlign w:val="center"/>
            <w:hideMark/>
          </w:tcPr>
          <w:p w14:paraId="4B1413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17.1</w:t>
            </w:r>
          </w:p>
        </w:tc>
      </w:tr>
    </w:tbl>
    <w:p w14:paraId="58649229"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59ECFFE7">
          <v:rect id="Horizontal Line 453"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480C7B"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lastRenderedPageBreak/>
        <w:t>20. Índice de correspondencia de requerimientos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4"/>
        <w:gridCol w:w="3615"/>
      </w:tblGrid>
      <w:tr w:rsidR="000444D1" w:rsidRPr="000444D1" w14:paraId="7F43F168" w14:textId="77777777">
        <w:trPr>
          <w:tblHeader/>
          <w:tblCellSpacing w:w="15" w:type="dxa"/>
        </w:trPr>
        <w:tc>
          <w:tcPr>
            <w:tcW w:w="0" w:type="auto"/>
            <w:vAlign w:val="center"/>
            <w:hideMark/>
          </w:tcPr>
          <w:p w14:paraId="58139F8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Requerimiento</w:t>
            </w:r>
          </w:p>
        </w:tc>
        <w:tc>
          <w:tcPr>
            <w:tcW w:w="0" w:type="auto"/>
            <w:vAlign w:val="center"/>
            <w:hideMark/>
          </w:tcPr>
          <w:p w14:paraId="03DAE30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Sección(es) del documento</w:t>
            </w:r>
          </w:p>
        </w:tc>
      </w:tr>
      <w:tr w:rsidR="000444D1" w:rsidRPr="000444D1" w14:paraId="3AB10A46" w14:textId="77777777">
        <w:trPr>
          <w:tblCellSpacing w:w="15" w:type="dxa"/>
        </w:trPr>
        <w:tc>
          <w:tcPr>
            <w:tcW w:w="0" w:type="auto"/>
            <w:vAlign w:val="center"/>
            <w:hideMark/>
          </w:tcPr>
          <w:p w14:paraId="6C9124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 Arquitectura de integración de alto nivel (con BIAN)</w:t>
            </w:r>
          </w:p>
        </w:tc>
        <w:tc>
          <w:tcPr>
            <w:tcW w:w="0" w:type="auto"/>
            <w:vAlign w:val="center"/>
            <w:hideMark/>
          </w:tcPr>
          <w:p w14:paraId="17372C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5.2, 6, 7, 8</w:t>
            </w:r>
          </w:p>
        </w:tc>
      </w:tr>
      <w:tr w:rsidR="000444D1" w:rsidRPr="000444D1" w14:paraId="7B694FD0" w14:textId="77777777">
        <w:trPr>
          <w:tblCellSpacing w:w="15" w:type="dxa"/>
        </w:trPr>
        <w:tc>
          <w:tcPr>
            <w:tcW w:w="0" w:type="auto"/>
            <w:vAlign w:val="center"/>
            <w:hideMark/>
          </w:tcPr>
          <w:p w14:paraId="34E3F8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 Patrones de integración y tecnologías, justificados</w:t>
            </w:r>
          </w:p>
        </w:tc>
        <w:tc>
          <w:tcPr>
            <w:tcW w:w="0" w:type="auto"/>
            <w:vAlign w:val="center"/>
            <w:hideMark/>
          </w:tcPr>
          <w:p w14:paraId="28CA7E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10</w:t>
            </w:r>
          </w:p>
        </w:tc>
      </w:tr>
      <w:tr w:rsidR="000444D1" w:rsidRPr="000444D1" w14:paraId="36957169" w14:textId="77777777">
        <w:trPr>
          <w:tblCellSpacing w:w="15" w:type="dxa"/>
        </w:trPr>
        <w:tc>
          <w:tcPr>
            <w:tcW w:w="0" w:type="auto"/>
            <w:vAlign w:val="center"/>
            <w:hideMark/>
          </w:tcPr>
          <w:p w14:paraId="1227D0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 Seguridad, cumplimiento normativo y LOPDP</w:t>
            </w:r>
          </w:p>
        </w:tc>
        <w:tc>
          <w:tcPr>
            <w:tcW w:w="0" w:type="auto"/>
            <w:vAlign w:val="center"/>
            <w:hideMark/>
          </w:tcPr>
          <w:p w14:paraId="1C77AF8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13</w:t>
            </w:r>
          </w:p>
        </w:tc>
      </w:tr>
      <w:tr w:rsidR="000444D1" w:rsidRPr="000444D1" w14:paraId="6BD04F9A" w14:textId="77777777">
        <w:trPr>
          <w:tblCellSpacing w:w="15" w:type="dxa"/>
        </w:trPr>
        <w:tc>
          <w:tcPr>
            <w:tcW w:w="0" w:type="auto"/>
            <w:vAlign w:val="center"/>
            <w:hideMark/>
          </w:tcPr>
          <w:p w14:paraId="1E2C98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 Alta disponibilidad y recuperación ante desastres</w:t>
            </w:r>
          </w:p>
        </w:tc>
        <w:tc>
          <w:tcPr>
            <w:tcW w:w="0" w:type="auto"/>
            <w:vAlign w:val="center"/>
            <w:hideMark/>
          </w:tcPr>
          <w:p w14:paraId="2FEE80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w:t>
            </w:r>
          </w:p>
        </w:tc>
      </w:tr>
      <w:tr w:rsidR="000444D1" w:rsidRPr="000444D1" w14:paraId="61545D06" w14:textId="77777777">
        <w:trPr>
          <w:tblCellSpacing w:w="15" w:type="dxa"/>
        </w:trPr>
        <w:tc>
          <w:tcPr>
            <w:tcW w:w="0" w:type="auto"/>
            <w:vAlign w:val="center"/>
            <w:hideMark/>
          </w:tcPr>
          <w:p w14:paraId="318AAE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 Estrategia de integración multicore</w:t>
            </w:r>
          </w:p>
        </w:tc>
        <w:tc>
          <w:tcPr>
            <w:tcW w:w="0" w:type="auto"/>
            <w:vAlign w:val="center"/>
            <w:hideMark/>
          </w:tcPr>
          <w:p w14:paraId="306658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11 (ADR-001, ADR-002, ADR-004)</w:t>
            </w:r>
          </w:p>
        </w:tc>
      </w:tr>
      <w:tr w:rsidR="000444D1" w:rsidRPr="000444D1" w14:paraId="4DE3D067" w14:textId="77777777">
        <w:trPr>
          <w:tblCellSpacing w:w="15" w:type="dxa"/>
        </w:trPr>
        <w:tc>
          <w:tcPr>
            <w:tcW w:w="0" w:type="auto"/>
            <w:vAlign w:val="center"/>
            <w:hideMark/>
          </w:tcPr>
          <w:p w14:paraId="7C819D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 Gestión de identidad y acceso</w:t>
            </w:r>
          </w:p>
        </w:tc>
        <w:tc>
          <w:tcPr>
            <w:tcW w:w="0" w:type="auto"/>
            <w:vAlign w:val="center"/>
            <w:hideMark/>
          </w:tcPr>
          <w:p w14:paraId="139172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14</w:t>
            </w:r>
          </w:p>
        </w:tc>
      </w:tr>
      <w:tr w:rsidR="000444D1" w:rsidRPr="000444D1" w14:paraId="475A22A0" w14:textId="77777777">
        <w:trPr>
          <w:tblCellSpacing w:w="15" w:type="dxa"/>
        </w:trPr>
        <w:tc>
          <w:tcPr>
            <w:tcW w:w="0" w:type="auto"/>
            <w:vAlign w:val="center"/>
            <w:hideMark/>
          </w:tcPr>
          <w:p w14:paraId="37BEE9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 Estrategia de APIs internas y externas y mensajería</w:t>
            </w:r>
          </w:p>
        </w:tc>
        <w:tc>
          <w:tcPr>
            <w:tcW w:w="0" w:type="auto"/>
            <w:vAlign w:val="center"/>
            <w:hideMark/>
          </w:tcPr>
          <w:p w14:paraId="32000F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12</w:t>
            </w:r>
          </w:p>
        </w:tc>
      </w:tr>
      <w:tr w:rsidR="000444D1" w:rsidRPr="000444D1" w14:paraId="39BCB45E" w14:textId="77777777">
        <w:trPr>
          <w:tblCellSpacing w:w="15" w:type="dxa"/>
        </w:trPr>
        <w:tc>
          <w:tcPr>
            <w:tcW w:w="0" w:type="auto"/>
            <w:vAlign w:val="center"/>
            <w:hideMark/>
          </w:tcPr>
          <w:p w14:paraId="67EF24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8. Gobierno de APIs y microservicios</w:t>
            </w:r>
          </w:p>
        </w:tc>
        <w:tc>
          <w:tcPr>
            <w:tcW w:w="0" w:type="auto"/>
            <w:vAlign w:val="center"/>
            <w:hideMark/>
          </w:tcPr>
          <w:p w14:paraId="5C5EBE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16</w:t>
            </w:r>
          </w:p>
        </w:tc>
      </w:tr>
      <w:tr w:rsidR="000444D1" w:rsidRPr="000444D1" w14:paraId="1EE47E47" w14:textId="77777777">
        <w:trPr>
          <w:tblCellSpacing w:w="15" w:type="dxa"/>
        </w:trPr>
        <w:tc>
          <w:tcPr>
            <w:tcW w:w="0" w:type="auto"/>
            <w:vAlign w:val="center"/>
            <w:hideMark/>
          </w:tcPr>
          <w:p w14:paraId="176040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 Plan de migración gradual</w:t>
            </w:r>
          </w:p>
        </w:tc>
        <w:tc>
          <w:tcPr>
            <w:tcW w:w="0" w:type="auto"/>
            <w:vAlign w:val="center"/>
            <w:hideMark/>
          </w:tcPr>
          <w:p w14:paraId="628EE4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17</w:t>
            </w:r>
          </w:p>
        </w:tc>
      </w:tr>
      <w:tr w:rsidR="000444D1" w:rsidRPr="000444D1" w14:paraId="311EC5D6" w14:textId="77777777">
        <w:trPr>
          <w:tblCellSpacing w:w="15" w:type="dxa"/>
        </w:trPr>
        <w:tc>
          <w:tcPr>
            <w:tcW w:w="0" w:type="auto"/>
            <w:vAlign w:val="center"/>
            <w:hideMark/>
          </w:tcPr>
          <w:p w14:paraId="3ECD22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10. Observabilidad y trazabilidad</w:t>
            </w:r>
          </w:p>
        </w:tc>
        <w:tc>
          <w:tcPr>
            <w:tcW w:w="0" w:type="auto"/>
            <w:vAlign w:val="center"/>
            <w:hideMark/>
          </w:tcPr>
          <w:p w14:paraId="5EA669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18</w:t>
            </w:r>
          </w:p>
        </w:tc>
      </w:tr>
    </w:tbl>
    <w:p w14:paraId="03845752" w14:textId="77777777" w:rsidR="000444D1" w:rsidRPr="000444D1" w:rsidRDefault="000444D1" w:rsidP="000444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44D1">
        <w:rPr>
          <w:rFonts w:ascii="Times New Roman" w:eastAsia="Times New Roman" w:hAnsi="Times New Roman" w:cs="Times New Roman"/>
          <w:b/>
          <w:bCs/>
          <w:kern w:val="36"/>
          <w:sz w:val="48"/>
          <w:szCs w:val="48"/>
          <w14:ligatures w14:val="none"/>
        </w:rPr>
        <w:t>Arquitectura de Integración para la Modernización de un Core Bancario</w:t>
      </w:r>
    </w:p>
    <w:p w14:paraId="0716A33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Ejercicio práctico de arquitectura de integración</w:t>
      </w:r>
      <w:r w:rsidRPr="000444D1">
        <w:rPr>
          <w:rFonts w:ascii="Times New Roman" w:eastAsia="Times New Roman" w:hAnsi="Times New Roman" w:cs="Times New Roman"/>
          <w:kern w:val="0"/>
          <w14:ligatures w14:val="none"/>
        </w:rPr>
        <w:t xml:space="preserve"> Autor: Fer · Fecha: julio 2026 · Versión 0.1 (borrador de trabajo)</w:t>
      </w:r>
    </w:p>
    <w:p w14:paraId="0A7FE77F"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2093D75D">
          <v:rect id="Horizontal Line 485"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E0B24D"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Índice</w:t>
      </w:r>
    </w:p>
    <w:p w14:paraId="32251289"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26" w:anchor="0-resumen-ejecutivo" w:history="1">
        <w:r w:rsidRPr="000444D1">
          <w:rPr>
            <w:rFonts w:ascii="Times New Roman" w:eastAsia="Times New Roman" w:hAnsi="Times New Roman" w:cs="Times New Roman"/>
            <w:color w:val="0000FF"/>
            <w:kern w:val="0"/>
            <w:u w:val="single"/>
            <w14:ligatures w14:val="none"/>
          </w:rPr>
          <w:t>Resumen ejecutivo</w:t>
        </w:r>
      </w:hyperlink>
    </w:p>
    <w:p w14:paraId="5344CE16"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27" w:anchor="1-contexto-y-alcance" w:history="1">
        <w:r w:rsidRPr="000444D1">
          <w:rPr>
            <w:rFonts w:ascii="Times New Roman" w:eastAsia="Times New Roman" w:hAnsi="Times New Roman" w:cs="Times New Roman"/>
            <w:color w:val="0000FF"/>
            <w:kern w:val="0"/>
            <w:u w:val="single"/>
            <w14:ligatures w14:val="none"/>
          </w:rPr>
          <w:t>Contexto y alcance</w:t>
        </w:r>
      </w:hyperlink>
    </w:p>
    <w:p w14:paraId="11A3044D"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28" w:anchor="2-supuestos-y-premisas" w:history="1">
        <w:r w:rsidRPr="000444D1">
          <w:rPr>
            <w:rFonts w:ascii="Times New Roman" w:eastAsia="Times New Roman" w:hAnsi="Times New Roman" w:cs="Times New Roman"/>
            <w:color w:val="0000FF"/>
            <w:kern w:val="0"/>
            <w:u w:val="single"/>
            <w14:ligatures w14:val="none"/>
          </w:rPr>
          <w:t>Supuestos y premisas</w:t>
        </w:r>
      </w:hyperlink>
    </w:p>
    <w:p w14:paraId="35E8BD70"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29" w:anchor="3-principios-de-arquitectura" w:history="1">
        <w:r w:rsidRPr="000444D1">
          <w:rPr>
            <w:rFonts w:ascii="Times New Roman" w:eastAsia="Times New Roman" w:hAnsi="Times New Roman" w:cs="Times New Roman"/>
            <w:color w:val="0000FF"/>
            <w:kern w:val="0"/>
            <w:u w:val="single"/>
            <w14:ligatures w14:val="none"/>
          </w:rPr>
          <w:t>Principios de arquitectura</w:t>
        </w:r>
      </w:hyperlink>
    </w:p>
    <w:p w14:paraId="3CB845C2"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30" w:anchor="4-decisiones-de-arquitectura-adr" w:history="1">
        <w:r w:rsidRPr="000444D1">
          <w:rPr>
            <w:rFonts w:ascii="Times New Roman" w:eastAsia="Times New Roman" w:hAnsi="Times New Roman" w:cs="Times New Roman"/>
            <w:color w:val="0000FF"/>
            <w:kern w:val="0"/>
            <w:u w:val="single"/>
            <w14:ligatures w14:val="none"/>
          </w:rPr>
          <w:t>Decisiones de arquitectura (ADR)</w:t>
        </w:r>
      </w:hyperlink>
    </w:p>
    <w:p w14:paraId="0458F5AD"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31" w:anchor="5-modelo-de-dominios-y-systems-of-record" w:history="1">
        <w:r w:rsidRPr="000444D1">
          <w:rPr>
            <w:rFonts w:ascii="Times New Roman" w:eastAsia="Times New Roman" w:hAnsi="Times New Roman" w:cs="Times New Roman"/>
            <w:color w:val="0000FF"/>
            <w:kern w:val="0"/>
            <w:u w:val="single"/>
            <w14:ligatures w14:val="none"/>
          </w:rPr>
          <w:t>Modelo de dominios y systems of record</w:t>
        </w:r>
      </w:hyperlink>
    </w:p>
    <w:p w14:paraId="63D5AB49"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32" w:anchor="6-vista-c4--nivel-1-contexto" w:history="1">
        <w:r w:rsidRPr="000444D1">
          <w:rPr>
            <w:rFonts w:ascii="Times New Roman" w:eastAsia="Times New Roman" w:hAnsi="Times New Roman" w:cs="Times New Roman"/>
            <w:color w:val="0000FF"/>
            <w:kern w:val="0"/>
            <w:u w:val="single"/>
            <w14:ligatures w14:val="none"/>
          </w:rPr>
          <w:t>Vista C4 — Nivel 1: Contexto</w:t>
        </w:r>
      </w:hyperlink>
    </w:p>
    <w:p w14:paraId="17190DA0"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33" w:anchor="7-vista-c4--nivel-2-contenedores" w:history="1">
        <w:r w:rsidRPr="000444D1">
          <w:rPr>
            <w:rFonts w:ascii="Times New Roman" w:eastAsia="Times New Roman" w:hAnsi="Times New Roman" w:cs="Times New Roman"/>
            <w:color w:val="0000FF"/>
            <w:kern w:val="0"/>
            <w:u w:val="single"/>
            <w14:ligatures w14:val="none"/>
          </w:rPr>
          <w:t>Vista C4 — Nivel 2: Contenedores</w:t>
        </w:r>
      </w:hyperlink>
    </w:p>
    <w:p w14:paraId="372C8180"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34" w:anchor="8-vista-c4--nivel-3-componentes" w:history="1">
        <w:r w:rsidRPr="000444D1">
          <w:rPr>
            <w:rFonts w:ascii="Times New Roman" w:eastAsia="Times New Roman" w:hAnsi="Times New Roman" w:cs="Times New Roman"/>
            <w:color w:val="0000FF"/>
            <w:kern w:val="0"/>
            <w:u w:val="single"/>
            <w14:ligatures w14:val="none"/>
          </w:rPr>
          <w:t>Vista C4 — Nivel 3: Componentes</w:t>
        </w:r>
      </w:hyperlink>
    </w:p>
    <w:p w14:paraId="4170E530"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35" w:anchor="9-flujos-end-to-end" w:history="1">
        <w:r w:rsidRPr="000444D1">
          <w:rPr>
            <w:rFonts w:ascii="Times New Roman" w:eastAsia="Times New Roman" w:hAnsi="Times New Roman" w:cs="Times New Roman"/>
            <w:color w:val="0000FF"/>
            <w:kern w:val="0"/>
            <w:u w:val="single"/>
            <w14:ligatures w14:val="none"/>
          </w:rPr>
          <w:t>Flujos end-to-end</w:t>
        </w:r>
      </w:hyperlink>
    </w:p>
    <w:p w14:paraId="23154C8A"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36" w:anchor="10-patrones-de-integraci%C3%B3n-y-tecnolog%C3%ADas" w:history="1">
        <w:r w:rsidRPr="000444D1">
          <w:rPr>
            <w:rFonts w:ascii="Times New Roman" w:eastAsia="Times New Roman" w:hAnsi="Times New Roman" w:cs="Times New Roman"/>
            <w:color w:val="0000FF"/>
            <w:kern w:val="0"/>
            <w:u w:val="single"/>
            <w14:ligatures w14:val="none"/>
          </w:rPr>
          <w:t>Patrones de integración y tecnologías</w:t>
        </w:r>
      </w:hyperlink>
    </w:p>
    <w:p w14:paraId="03260568"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37" w:anchor="11-estrategia-de-integraci%C3%B3n-multicore" w:history="1">
        <w:r w:rsidRPr="000444D1">
          <w:rPr>
            <w:rFonts w:ascii="Times New Roman" w:eastAsia="Times New Roman" w:hAnsi="Times New Roman" w:cs="Times New Roman"/>
            <w:color w:val="0000FF"/>
            <w:kern w:val="0"/>
            <w:u w:val="single"/>
            <w14:ligatures w14:val="none"/>
          </w:rPr>
          <w:t>Estrategia de integración multicore</w:t>
        </w:r>
      </w:hyperlink>
    </w:p>
    <w:p w14:paraId="64AA0DE4"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38" w:anchor="12-estrategia-de-apis-y-mensajer%C3%ADa" w:history="1">
        <w:r w:rsidRPr="000444D1">
          <w:rPr>
            <w:rFonts w:ascii="Times New Roman" w:eastAsia="Times New Roman" w:hAnsi="Times New Roman" w:cs="Times New Roman"/>
            <w:color w:val="0000FF"/>
            <w:kern w:val="0"/>
            <w:u w:val="single"/>
            <w14:ligatures w14:val="none"/>
          </w:rPr>
          <w:t>Estrategia de APIs y mensajería</w:t>
        </w:r>
      </w:hyperlink>
    </w:p>
    <w:p w14:paraId="6AE3DCFD"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39" w:anchor="13-seguridad-cumplimiento-normativo-y-lopdp" w:history="1">
        <w:r w:rsidRPr="000444D1">
          <w:rPr>
            <w:rFonts w:ascii="Times New Roman" w:eastAsia="Times New Roman" w:hAnsi="Times New Roman" w:cs="Times New Roman"/>
            <w:color w:val="0000FF"/>
            <w:kern w:val="0"/>
            <w:u w:val="single"/>
            <w14:ligatures w14:val="none"/>
          </w:rPr>
          <w:t>Seguridad, cumplimiento normativo y LOPDP</w:t>
        </w:r>
      </w:hyperlink>
    </w:p>
    <w:p w14:paraId="42A1BBBD"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40" w:anchor="14-gesti%C3%B3n-de-identidad-y-acceso-iam" w:history="1">
        <w:r w:rsidRPr="000444D1">
          <w:rPr>
            <w:rFonts w:ascii="Times New Roman" w:eastAsia="Times New Roman" w:hAnsi="Times New Roman" w:cs="Times New Roman"/>
            <w:color w:val="0000FF"/>
            <w:kern w:val="0"/>
            <w:u w:val="single"/>
            <w14:ligatures w14:val="none"/>
          </w:rPr>
          <w:t>Gestión de identidad y acceso (IAM)</w:t>
        </w:r>
      </w:hyperlink>
    </w:p>
    <w:p w14:paraId="51AC15CE"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41" w:anchor="15-alta-disponibilidad-y-recuperaci%C3%B3n-ante-desastres" w:history="1">
        <w:r w:rsidRPr="000444D1">
          <w:rPr>
            <w:rFonts w:ascii="Times New Roman" w:eastAsia="Times New Roman" w:hAnsi="Times New Roman" w:cs="Times New Roman"/>
            <w:color w:val="0000FF"/>
            <w:kern w:val="0"/>
            <w:u w:val="single"/>
            <w14:ligatures w14:val="none"/>
          </w:rPr>
          <w:t>Alta disponibilidad y recuperación ante desastres</w:t>
        </w:r>
      </w:hyperlink>
    </w:p>
    <w:p w14:paraId="51CD5900"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42" w:anchor="16-gobierno-de-apis-y-microservicios" w:history="1">
        <w:r w:rsidRPr="000444D1">
          <w:rPr>
            <w:rFonts w:ascii="Times New Roman" w:eastAsia="Times New Roman" w:hAnsi="Times New Roman" w:cs="Times New Roman"/>
            <w:color w:val="0000FF"/>
            <w:kern w:val="0"/>
            <w:u w:val="single"/>
            <w14:ligatures w14:val="none"/>
          </w:rPr>
          <w:t>Gobierno de APIs y microservicios</w:t>
        </w:r>
      </w:hyperlink>
    </w:p>
    <w:p w14:paraId="4DDC34AF"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43" w:anchor="17-plan-de-migraci%C3%B3n-gradual" w:history="1">
        <w:r w:rsidRPr="000444D1">
          <w:rPr>
            <w:rFonts w:ascii="Times New Roman" w:eastAsia="Times New Roman" w:hAnsi="Times New Roman" w:cs="Times New Roman"/>
            <w:color w:val="0000FF"/>
            <w:kern w:val="0"/>
            <w:u w:val="single"/>
            <w14:ligatures w14:val="none"/>
          </w:rPr>
          <w:t>Plan de migración gradual</w:t>
        </w:r>
      </w:hyperlink>
    </w:p>
    <w:p w14:paraId="13DDF5B1"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44" w:anchor="18-observabilidad-y-trazabilidad" w:history="1">
        <w:r w:rsidRPr="000444D1">
          <w:rPr>
            <w:rFonts w:ascii="Times New Roman" w:eastAsia="Times New Roman" w:hAnsi="Times New Roman" w:cs="Times New Roman"/>
            <w:color w:val="0000FF"/>
            <w:kern w:val="0"/>
            <w:u w:val="single"/>
            <w14:ligatures w14:val="none"/>
          </w:rPr>
          <w:t>Observabilidad y trazabilidad</w:t>
        </w:r>
      </w:hyperlink>
    </w:p>
    <w:p w14:paraId="45275227"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45" w:anchor="19-anexo--glosario-y-nomenclatura" w:history="1">
        <w:r w:rsidRPr="000444D1">
          <w:rPr>
            <w:rFonts w:ascii="Times New Roman" w:eastAsia="Times New Roman" w:hAnsi="Times New Roman" w:cs="Times New Roman"/>
            <w:color w:val="0000FF"/>
            <w:kern w:val="0"/>
            <w:u w:val="single"/>
            <w14:ligatures w14:val="none"/>
          </w:rPr>
          <w:t>Anexo — Glosario y nomenclatura</w:t>
        </w:r>
      </w:hyperlink>
    </w:p>
    <w:p w14:paraId="10878D9E" w14:textId="77777777" w:rsidR="000444D1" w:rsidRPr="000444D1" w:rsidRDefault="000444D1" w:rsidP="00C646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hyperlink r:id="rId46" w:anchor="20-%C3%ADndice-de-correspondencia-de-requerimientos" w:history="1">
        <w:r w:rsidRPr="000444D1">
          <w:rPr>
            <w:rFonts w:ascii="Times New Roman" w:eastAsia="Times New Roman" w:hAnsi="Times New Roman" w:cs="Times New Roman"/>
            <w:color w:val="0000FF"/>
            <w:kern w:val="0"/>
            <w:u w:val="single"/>
            <w14:ligatures w14:val="none"/>
          </w:rPr>
          <w:t>Índice de correspondencia de requerimientos</w:t>
        </w:r>
      </w:hyperlink>
    </w:p>
    <w:p w14:paraId="3B50AC02"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04DA142D">
          <v:rect id="Horizontal Line 486"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E398C1"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0. Resumen ejecutivo</w:t>
      </w:r>
    </w:p>
    <w:p w14:paraId="5667D74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El problema</w:t>
      </w:r>
    </w:p>
    <w:p w14:paraId="68BB0E0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banco requiere modernizar su infraestructura tecnológica para competir en servicios digitales y cumplir con exigencias regulatorias vigentes, sin poder reemplazar el core bancario que sostiene su operación. El alcance definido es de </w:t>
      </w:r>
      <w:r w:rsidRPr="000444D1">
        <w:rPr>
          <w:rFonts w:ascii="Times New Roman" w:eastAsia="Times New Roman" w:hAnsi="Times New Roman" w:cs="Times New Roman"/>
          <w:b/>
          <w:bCs/>
          <w:kern w:val="0"/>
          <w14:ligatures w14:val="none"/>
        </w:rPr>
        <w:t>integración, no de sustitución</w:t>
      </w:r>
      <w:r w:rsidRPr="000444D1">
        <w:rPr>
          <w:rFonts w:ascii="Times New Roman" w:eastAsia="Times New Roman" w:hAnsi="Times New Roman" w:cs="Times New Roman"/>
          <w:kern w:val="0"/>
          <w14:ligatures w14:val="none"/>
        </w:rPr>
        <w:t>: el core tradicional y un nuevo core digital deben coexistir durante un horizonte plurianual, junto con canales digitales, una plataforma de pagos, la exposición de APIs a terceros bajo Open Finance, y los sistemas de riesgos y prevención de fraudes.</w:t>
      </w:r>
    </w:p>
    <w:p w14:paraId="6B16A5D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desafío central, por tanto, no es construir servicios nuevos. Es </w:t>
      </w:r>
      <w:r w:rsidRPr="000444D1">
        <w:rPr>
          <w:rFonts w:ascii="Times New Roman" w:eastAsia="Times New Roman" w:hAnsi="Times New Roman" w:cs="Times New Roman"/>
          <w:b/>
          <w:bCs/>
          <w:kern w:val="0"/>
          <w14:ligatures w14:val="none"/>
        </w:rPr>
        <w:t>gobernar la convivencia de dos sistemas de registro transaccionales</w:t>
      </w:r>
      <w:r w:rsidRPr="000444D1">
        <w:rPr>
          <w:rFonts w:ascii="Times New Roman" w:eastAsia="Times New Roman" w:hAnsi="Times New Roman" w:cs="Times New Roman"/>
          <w:kern w:val="0"/>
          <w14:ligatures w14:val="none"/>
        </w:rPr>
        <w:t xml:space="preserve"> sin que esa dualidad se traslade a los clientes, a los terceros ni a los equipos de desarrollo.</w:t>
      </w:r>
    </w:p>
    <w:p w14:paraId="5EE628BD"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La decisión central</w:t>
      </w:r>
    </w:p>
    <w:p w14:paraId="3EB5B48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reparto entre ambos cores se realiza </w:t>
      </w:r>
      <w:r w:rsidRPr="000444D1">
        <w:rPr>
          <w:rFonts w:ascii="Times New Roman" w:eastAsia="Times New Roman" w:hAnsi="Times New Roman" w:cs="Times New Roman"/>
          <w:b/>
          <w:bCs/>
          <w:kern w:val="0"/>
          <w14:ligatures w14:val="none"/>
        </w:rPr>
        <w:t>por producto</w:t>
      </w:r>
      <w:r w:rsidRPr="000444D1">
        <w:rPr>
          <w:rFonts w:ascii="Times New Roman" w:eastAsia="Times New Roman" w:hAnsi="Times New Roman" w:cs="Times New Roman"/>
          <w:kern w:val="0"/>
          <w14:ligatures w14:val="none"/>
        </w:rPr>
        <w:t>: el core digital es la fuente de verdad de los productos nuevos; el tradicional conserva los existentes. La relación producto-core reside en un catálogo consultable, de modo que la resolución del sistema propietario es un dato auditable y no una condición dispersa en el código.</w:t>
      </w:r>
    </w:p>
    <w:p w14:paraId="5BDA642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descartaron las alternativas de reparto por segmento de cliente —que obligaría a duplicar y sincronizar los datos maestros— y por tipo de operación —que separaría la operación de su registro contable, generando reconciliación permanente.</w:t>
      </w:r>
    </w:p>
    <w:p w14:paraId="6441C55F"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Cómo funciona</w:t>
      </w:r>
    </w:p>
    <w:p w14:paraId="4A3DC21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arquitectura se apoya en tres mecanismos: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6679"/>
      </w:tblGrid>
      <w:tr w:rsidR="000444D1" w:rsidRPr="000444D1" w14:paraId="34B9A8BF" w14:textId="77777777">
        <w:trPr>
          <w:tblHeader/>
          <w:tblCellSpacing w:w="15" w:type="dxa"/>
        </w:trPr>
        <w:tc>
          <w:tcPr>
            <w:tcW w:w="0" w:type="auto"/>
            <w:vAlign w:val="center"/>
            <w:hideMark/>
          </w:tcPr>
          <w:p w14:paraId="3E4C2B3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Mecanismo</w:t>
            </w:r>
          </w:p>
        </w:tc>
        <w:tc>
          <w:tcPr>
            <w:tcW w:w="0" w:type="auto"/>
            <w:vAlign w:val="center"/>
            <w:hideMark/>
          </w:tcPr>
          <w:p w14:paraId="0B220F8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Función</w:t>
            </w:r>
          </w:p>
        </w:tc>
      </w:tr>
      <w:tr w:rsidR="000444D1" w:rsidRPr="000444D1" w14:paraId="5183772D" w14:textId="77777777">
        <w:trPr>
          <w:tblCellSpacing w:w="15" w:type="dxa"/>
        </w:trPr>
        <w:tc>
          <w:tcPr>
            <w:tcW w:w="0" w:type="auto"/>
            <w:vAlign w:val="center"/>
            <w:hideMark/>
          </w:tcPr>
          <w:p w14:paraId="518B7B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Resolución por catálogo</w:t>
            </w:r>
          </w:p>
        </w:tc>
        <w:tc>
          <w:tcPr>
            <w:tcW w:w="0" w:type="auto"/>
            <w:vAlign w:val="center"/>
            <w:hideMark/>
          </w:tcPr>
          <w:p w14:paraId="6F1D48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 para cada operación cuál core es la fuente de verdad</w:t>
            </w:r>
          </w:p>
        </w:tc>
      </w:tr>
      <w:tr w:rsidR="000444D1" w:rsidRPr="000444D1" w14:paraId="4978A158" w14:textId="77777777">
        <w:trPr>
          <w:tblCellSpacing w:w="15" w:type="dxa"/>
        </w:trPr>
        <w:tc>
          <w:tcPr>
            <w:tcW w:w="0" w:type="auto"/>
            <w:vAlign w:val="center"/>
            <w:hideMark/>
          </w:tcPr>
          <w:p w14:paraId="3B7FD3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Puertos canónicos y capa anticorrupción</w:t>
            </w:r>
          </w:p>
        </w:tc>
        <w:tc>
          <w:tcPr>
            <w:tcW w:w="0" w:type="auto"/>
            <w:vAlign w:val="center"/>
            <w:hideMark/>
          </w:tcPr>
          <w:p w14:paraId="31DB69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Ambos cores se exponen tras el mismo contrato interno; la dualidad es invisible fuera de la capa de mediación</w:t>
            </w:r>
          </w:p>
        </w:tc>
      </w:tr>
      <w:tr w:rsidR="000444D1" w:rsidRPr="000444D1" w14:paraId="1D363E42" w14:textId="77777777">
        <w:trPr>
          <w:tblCellSpacing w:w="15" w:type="dxa"/>
        </w:trPr>
        <w:tc>
          <w:tcPr>
            <w:tcW w:w="0" w:type="auto"/>
            <w:vAlign w:val="center"/>
            <w:hideMark/>
          </w:tcPr>
          <w:p w14:paraId="33D27B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Doble ingesta de cambios</w:t>
            </w:r>
          </w:p>
        </w:tc>
        <w:tc>
          <w:tcPr>
            <w:tcW w:w="0" w:type="auto"/>
            <w:vAlign w:val="center"/>
            <w:hideMark/>
          </w:tcPr>
          <w:p w14:paraId="2CE9B7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Eventos emitidos por la capa de integración, más captura de cambios sobre la réplica del core, para hacer visibles también las operaciones presenciales</w:t>
            </w:r>
          </w:p>
        </w:tc>
      </w:tr>
    </w:tbl>
    <w:p w14:paraId="44FF283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Sobre ellos se organizan nueve servicios de dominio alineados al modelo BIAN, un bus de eventos para la propagación asíncrona y una capa de borde que concentra la seguridad. Las consultas interactivas se sirven desde una proyección consolidada que no depende de ningún core, lo que permite cumplir los objetivos de latencia y mantener el servicio durante la ventana de cierre nocturna del sistema legado. Las escrituras, en cambio, se ejecutan siempre contra el core propietario, que conserva la autoridad contable.</w:t>
      </w:r>
    </w:p>
    <w:p w14:paraId="0BB7AA3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Qué obtiene el banco, y cuándo</w:t>
      </w:r>
    </w:p>
    <w:p w14:paraId="2008E13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programa está diseñado para entregar valor antes de completar la migración: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7244"/>
      </w:tblGrid>
      <w:tr w:rsidR="000444D1" w:rsidRPr="000444D1" w14:paraId="49890BEC" w14:textId="77777777">
        <w:trPr>
          <w:tblHeader/>
          <w:tblCellSpacing w:w="15" w:type="dxa"/>
        </w:trPr>
        <w:tc>
          <w:tcPr>
            <w:tcW w:w="0" w:type="auto"/>
            <w:vAlign w:val="center"/>
            <w:hideMark/>
          </w:tcPr>
          <w:p w14:paraId="0FB48C1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Etapa</w:t>
            </w:r>
          </w:p>
        </w:tc>
        <w:tc>
          <w:tcPr>
            <w:tcW w:w="0" w:type="auto"/>
            <w:vAlign w:val="center"/>
            <w:hideMark/>
          </w:tcPr>
          <w:p w14:paraId="1C6E2B8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Resultado</w:t>
            </w:r>
          </w:p>
        </w:tc>
      </w:tr>
      <w:tr w:rsidR="000444D1" w:rsidRPr="000444D1" w14:paraId="10EB6D45" w14:textId="77777777">
        <w:trPr>
          <w:tblCellSpacing w:w="15" w:type="dxa"/>
        </w:trPr>
        <w:tc>
          <w:tcPr>
            <w:tcW w:w="0" w:type="auto"/>
            <w:vAlign w:val="center"/>
            <w:hideMark/>
          </w:tcPr>
          <w:p w14:paraId="299B3E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Fundaciones</w:t>
            </w:r>
          </w:p>
        </w:tc>
        <w:tc>
          <w:tcPr>
            <w:tcW w:w="0" w:type="auto"/>
            <w:vAlign w:val="center"/>
            <w:hideMark/>
          </w:tcPr>
          <w:p w14:paraId="43C5A8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Visibilidad unificada de la actividad, incluidas las operaciones de agencia y cajeros, hoy invisibles para los sistemas digitales</w:t>
            </w:r>
          </w:p>
        </w:tc>
      </w:tr>
      <w:tr w:rsidR="000444D1" w:rsidRPr="000444D1" w14:paraId="64FC2ECD" w14:textId="77777777">
        <w:trPr>
          <w:tblCellSpacing w:w="15" w:type="dxa"/>
        </w:trPr>
        <w:tc>
          <w:tcPr>
            <w:tcW w:w="0" w:type="auto"/>
            <w:vAlign w:val="center"/>
            <w:hideMark/>
          </w:tcPr>
          <w:p w14:paraId="32CB9A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Canales sobre la nueva capa</w:t>
            </w:r>
          </w:p>
        </w:tc>
        <w:tc>
          <w:tcPr>
            <w:tcW w:w="0" w:type="auto"/>
            <w:vAlign w:val="center"/>
            <w:hideMark/>
          </w:tcPr>
          <w:p w14:paraId="47FD8C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Consultas más rápidas y disponibles también durante el cierre nocturno, sin migrar un solo saldo</w:t>
            </w:r>
          </w:p>
        </w:tc>
      </w:tr>
      <w:tr w:rsidR="000444D1" w:rsidRPr="000444D1" w14:paraId="4CB9DCA2" w14:textId="77777777">
        <w:trPr>
          <w:tblCellSpacing w:w="15" w:type="dxa"/>
        </w:trPr>
        <w:tc>
          <w:tcPr>
            <w:tcW w:w="0" w:type="auto"/>
            <w:vAlign w:val="center"/>
            <w:hideMark/>
          </w:tcPr>
          <w:p w14:paraId="399C5D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Pagos y Open Finance</w:t>
            </w:r>
          </w:p>
        </w:tc>
        <w:tc>
          <w:tcPr>
            <w:tcW w:w="0" w:type="auto"/>
            <w:vAlign w:val="center"/>
            <w:hideMark/>
          </w:tcPr>
          <w:p w14:paraId="3EBF52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Orquestación propia de pagos y cumplimiento de la normativa de banca abierta</w:t>
            </w:r>
          </w:p>
        </w:tc>
      </w:tr>
      <w:tr w:rsidR="000444D1" w:rsidRPr="000444D1" w14:paraId="3FF7E07F" w14:textId="77777777">
        <w:trPr>
          <w:tblCellSpacing w:w="15" w:type="dxa"/>
        </w:trPr>
        <w:tc>
          <w:tcPr>
            <w:tcW w:w="0" w:type="auto"/>
            <w:vAlign w:val="center"/>
            <w:hideMark/>
          </w:tcPr>
          <w:p w14:paraId="11521E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Coexistencia real</w:t>
            </w:r>
          </w:p>
        </w:tc>
        <w:tc>
          <w:tcPr>
            <w:tcW w:w="0" w:type="auto"/>
            <w:vAlign w:val="center"/>
            <w:hideMark/>
          </w:tcPr>
          <w:p w14:paraId="167274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Productos nuevos originados en el core digital, conviviendo con los tradicionales</w:t>
            </w:r>
          </w:p>
        </w:tc>
      </w:tr>
      <w:tr w:rsidR="000444D1" w:rsidRPr="000444D1" w14:paraId="6136AD52" w14:textId="77777777">
        <w:trPr>
          <w:tblCellSpacing w:w="15" w:type="dxa"/>
        </w:trPr>
        <w:tc>
          <w:tcPr>
            <w:tcW w:w="0" w:type="auto"/>
            <w:vAlign w:val="center"/>
            <w:hideMark/>
          </w:tcPr>
          <w:p w14:paraId="236C43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Migración</w:t>
            </w:r>
          </w:p>
        </w:tc>
        <w:tc>
          <w:tcPr>
            <w:tcW w:w="0" w:type="auto"/>
            <w:vAlign w:val="center"/>
            <w:hideMark/>
          </w:tcPr>
          <w:p w14:paraId="0B76A2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Traslado gradual del catálogo, comenzando por lo que no requiere mover saldos</w:t>
            </w:r>
          </w:p>
        </w:tc>
      </w:tr>
    </w:tbl>
    <w:p w14:paraId="09A3FAC2"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Los riesgos y cómo se acotan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6470"/>
      </w:tblGrid>
      <w:tr w:rsidR="000444D1" w:rsidRPr="000444D1" w14:paraId="15FE1DAE" w14:textId="77777777">
        <w:trPr>
          <w:tblHeader/>
          <w:tblCellSpacing w:w="15" w:type="dxa"/>
        </w:trPr>
        <w:tc>
          <w:tcPr>
            <w:tcW w:w="0" w:type="auto"/>
            <w:vAlign w:val="center"/>
            <w:hideMark/>
          </w:tcPr>
          <w:p w14:paraId="72D7A16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Riesgo</w:t>
            </w:r>
          </w:p>
        </w:tc>
        <w:tc>
          <w:tcPr>
            <w:tcW w:w="0" w:type="auto"/>
            <w:vAlign w:val="center"/>
            <w:hideMark/>
          </w:tcPr>
          <w:p w14:paraId="55576D0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w:t>
            </w:r>
          </w:p>
        </w:tc>
      </w:tr>
      <w:tr w:rsidR="000444D1" w:rsidRPr="000444D1" w14:paraId="60B7C01B" w14:textId="77777777">
        <w:trPr>
          <w:tblCellSpacing w:w="15" w:type="dxa"/>
        </w:trPr>
        <w:tc>
          <w:tcPr>
            <w:tcW w:w="0" w:type="auto"/>
            <w:vAlign w:val="center"/>
            <w:hideMark/>
          </w:tcPr>
          <w:p w14:paraId="50C54C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Incidente que afecte a saldos de clientes</w:t>
            </w:r>
          </w:p>
        </w:tc>
        <w:tc>
          <w:tcPr>
            <w:tcW w:w="0" w:type="auto"/>
            <w:vAlign w:val="center"/>
            <w:hideMark/>
          </w:tcPr>
          <w:p w14:paraId="3C2489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Ninguna fase migra saldos y cambia comportamiento a la vez; toda fase tiene punto de retorno definido antes de comenzar</w:t>
            </w:r>
          </w:p>
        </w:tc>
      </w:tr>
      <w:tr w:rsidR="000444D1" w:rsidRPr="000444D1" w14:paraId="6D644F67" w14:textId="77777777">
        <w:trPr>
          <w:tblCellSpacing w:w="15" w:type="dxa"/>
        </w:trPr>
        <w:tc>
          <w:tcPr>
            <w:tcW w:w="0" w:type="auto"/>
            <w:vAlign w:val="center"/>
            <w:hideMark/>
          </w:tcPr>
          <w:p w14:paraId="0451B2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Desconocimiento del sistema legado</w:t>
            </w:r>
          </w:p>
        </w:tc>
        <w:tc>
          <w:tcPr>
            <w:tcW w:w="0" w:type="auto"/>
            <w:vAlign w:val="center"/>
            <w:hideMark/>
          </w:tcPr>
          <w:p w14:paraId="4D3B0C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supuestos sobre el core se aíslan tras la capa anticorrupción: su refutación afecta a la implementación de un adaptador, no a la estructura de la solución</w:t>
            </w:r>
          </w:p>
        </w:tc>
      </w:tr>
      <w:tr w:rsidR="000444D1" w:rsidRPr="000444D1" w14:paraId="34212B98" w14:textId="77777777">
        <w:trPr>
          <w:tblCellSpacing w:w="15" w:type="dxa"/>
        </w:trPr>
        <w:tc>
          <w:tcPr>
            <w:tcW w:w="0" w:type="auto"/>
            <w:vAlign w:val="center"/>
            <w:hideMark/>
          </w:tcPr>
          <w:p w14:paraId="3C470A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Estado desconocido tras un fallo de comunicación</w:t>
            </w:r>
          </w:p>
        </w:tc>
        <w:tc>
          <w:tcPr>
            <w:tcW w:w="0" w:type="auto"/>
            <w:vAlign w:val="center"/>
            <w:hideMark/>
          </w:tcPr>
          <w:p w14:paraId="0C7308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operaciones sin respuesta no se reintentan ni se compensan a ciegas: quedan en verificación y las resuelve un proceso de reconciliación</w:t>
            </w:r>
          </w:p>
        </w:tc>
      </w:tr>
      <w:tr w:rsidR="000444D1" w:rsidRPr="000444D1" w14:paraId="1848670D" w14:textId="77777777">
        <w:trPr>
          <w:tblCellSpacing w:w="15" w:type="dxa"/>
        </w:trPr>
        <w:tc>
          <w:tcPr>
            <w:tcW w:w="0" w:type="auto"/>
            <w:vAlign w:val="center"/>
            <w:hideMark/>
          </w:tcPr>
          <w:p w14:paraId="779230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Coexistencia indefinida de dos cores</w:t>
            </w:r>
          </w:p>
        </w:tc>
        <w:tc>
          <w:tcPr>
            <w:tcW w:w="0" w:type="auto"/>
            <w:vAlign w:val="center"/>
            <w:hideMark/>
          </w:tcPr>
          <w:p w14:paraId="3E492C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plan obliga a una decisión explícita y fechada sobre el futuro del core tradicional</w:t>
            </w:r>
          </w:p>
        </w:tc>
      </w:tr>
      <w:tr w:rsidR="000444D1" w:rsidRPr="000444D1" w14:paraId="4A8258EA" w14:textId="77777777">
        <w:trPr>
          <w:tblCellSpacing w:w="15" w:type="dxa"/>
        </w:trPr>
        <w:tc>
          <w:tcPr>
            <w:tcW w:w="0" w:type="auto"/>
            <w:vAlign w:val="center"/>
            <w:hideMark/>
          </w:tcPr>
          <w:p w14:paraId="2CA628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Dependencia de un proveedor de nube</w:t>
            </w:r>
          </w:p>
        </w:tc>
        <w:tc>
          <w:tcPr>
            <w:tcW w:w="0" w:type="auto"/>
            <w:vAlign w:val="center"/>
            <w:hideMark/>
          </w:tcPr>
          <w:p w14:paraId="7D6C9A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diseño se expresa en capacidades genéricas; el acoplamiento se concentra en configuración y se declara con precisión</w:t>
            </w:r>
          </w:p>
        </w:tc>
      </w:tr>
    </w:tbl>
    <w:p w14:paraId="0599D8A9"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Cómo leer este documento</w:t>
      </w:r>
    </w:p>
    <w:p w14:paraId="7A19821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Las secciones 1 a 4 establecen el contexto, los supuestos y las decisiones de las que se deriva todo lo demás. Las secciones 5 a 9 contienen el diseño: dominios, propiedad del dato, vistas C4 y </w:t>
      </w:r>
      <w:r w:rsidRPr="000444D1">
        <w:rPr>
          <w:rFonts w:ascii="Times New Roman" w:eastAsia="Times New Roman" w:hAnsi="Times New Roman" w:cs="Times New Roman"/>
          <w:kern w:val="0"/>
          <w14:ligatures w14:val="none"/>
        </w:rPr>
        <w:lastRenderedPageBreak/>
        <w:t>flujos extremo a extremo. Las secciones 10 a 18 desarrollan cada aspecto de la solución sobre ese diseño —patrones, contratos, seguridad, identidad, continuidad, gobierno, migración y observabilidad—. La sección 20 indica en qué punto del documento se encuentra la respuesta a cada requerimiento.</w:t>
      </w:r>
    </w:p>
    <w:p w14:paraId="3FA09D1F"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74D5A839">
          <v:rect id="Horizontal Line 561"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FB89657"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 Contexto y alcance</w:t>
      </w:r>
    </w:p>
    <w:p w14:paraId="376C468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 Situación</w:t>
      </w:r>
    </w:p>
    <w:p w14:paraId="4FDB328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banco tradicional requiere modernizar su infraestructura tecnológica para habilitar servicios digitales competitivos y cumplir con tendencias de industria y exigencias regulatorias vigentes.</w:t>
      </w:r>
    </w:p>
    <w:p w14:paraId="272DBAA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 Sistemas dentro del alcance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620"/>
        <w:gridCol w:w="2275"/>
        <w:gridCol w:w="4150"/>
      </w:tblGrid>
      <w:tr w:rsidR="000444D1" w:rsidRPr="000444D1" w14:paraId="0FEADA5E" w14:textId="77777777">
        <w:trPr>
          <w:tblHeader/>
          <w:tblCellSpacing w:w="15" w:type="dxa"/>
        </w:trPr>
        <w:tc>
          <w:tcPr>
            <w:tcW w:w="0" w:type="auto"/>
            <w:vAlign w:val="center"/>
            <w:hideMark/>
          </w:tcPr>
          <w:p w14:paraId="205DBA0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46B6B54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Sistema</w:t>
            </w:r>
          </w:p>
        </w:tc>
        <w:tc>
          <w:tcPr>
            <w:tcW w:w="0" w:type="auto"/>
            <w:vAlign w:val="center"/>
            <w:hideMark/>
          </w:tcPr>
          <w:p w14:paraId="6A56102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Naturaleza</w:t>
            </w:r>
          </w:p>
        </w:tc>
        <w:tc>
          <w:tcPr>
            <w:tcW w:w="0" w:type="auto"/>
            <w:vAlign w:val="center"/>
            <w:hideMark/>
          </w:tcPr>
          <w:p w14:paraId="02B5B4E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Rol en la arquitectura</w:t>
            </w:r>
          </w:p>
        </w:tc>
      </w:tr>
      <w:tr w:rsidR="000444D1" w:rsidRPr="000444D1" w14:paraId="67FE01CF" w14:textId="77777777">
        <w:trPr>
          <w:tblCellSpacing w:w="15" w:type="dxa"/>
        </w:trPr>
        <w:tc>
          <w:tcPr>
            <w:tcW w:w="0" w:type="auto"/>
            <w:vAlign w:val="center"/>
            <w:hideMark/>
          </w:tcPr>
          <w:p w14:paraId="3FC7FB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1a</w:t>
            </w:r>
          </w:p>
        </w:tc>
        <w:tc>
          <w:tcPr>
            <w:tcW w:w="0" w:type="auto"/>
            <w:vAlign w:val="center"/>
            <w:hideMark/>
          </w:tcPr>
          <w:p w14:paraId="760FF1A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bancario tradicional</w:t>
            </w:r>
          </w:p>
        </w:tc>
        <w:tc>
          <w:tcPr>
            <w:tcW w:w="0" w:type="auto"/>
            <w:vAlign w:val="center"/>
            <w:hideMark/>
          </w:tcPr>
          <w:p w14:paraId="5CB71F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System of Record</w:t>
            </w:r>
          </w:p>
        </w:tc>
        <w:tc>
          <w:tcPr>
            <w:tcW w:w="0" w:type="auto"/>
            <w:vAlign w:val="center"/>
            <w:hideMark/>
          </w:tcPr>
          <w:p w14:paraId="784772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Fuente de verdad de productos tradicionales existentes</w:t>
            </w:r>
          </w:p>
        </w:tc>
      </w:tr>
      <w:tr w:rsidR="000444D1" w:rsidRPr="000444D1" w14:paraId="0E66323D" w14:textId="77777777">
        <w:trPr>
          <w:tblCellSpacing w:w="15" w:type="dxa"/>
        </w:trPr>
        <w:tc>
          <w:tcPr>
            <w:tcW w:w="0" w:type="auto"/>
            <w:vAlign w:val="center"/>
            <w:hideMark/>
          </w:tcPr>
          <w:p w14:paraId="16985B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1b</w:t>
            </w:r>
          </w:p>
        </w:tc>
        <w:tc>
          <w:tcPr>
            <w:tcW w:w="0" w:type="auto"/>
            <w:vAlign w:val="center"/>
            <w:hideMark/>
          </w:tcPr>
          <w:p w14:paraId="6DEFE7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bancario digital (nuevo)</w:t>
            </w:r>
          </w:p>
        </w:tc>
        <w:tc>
          <w:tcPr>
            <w:tcW w:w="0" w:type="auto"/>
            <w:vAlign w:val="center"/>
            <w:hideMark/>
          </w:tcPr>
          <w:p w14:paraId="279125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System of Record</w:t>
            </w:r>
          </w:p>
        </w:tc>
        <w:tc>
          <w:tcPr>
            <w:tcW w:w="0" w:type="auto"/>
            <w:vAlign w:val="center"/>
            <w:hideMark/>
          </w:tcPr>
          <w:p w14:paraId="064E8C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Fuente de verdad de productos nativos digitales</w:t>
            </w:r>
          </w:p>
        </w:tc>
      </w:tr>
      <w:tr w:rsidR="000444D1" w:rsidRPr="000444D1" w14:paraId="320067B3" w14:textId="77777777">
        <w:trPr>
          <w:tblCellSpacing w:w="15" w:type="dxa"/>
        </w:trPr>
        <w:tc>
          <w:tcPr>
            <w:tcW w:w="0" w:type="auto"/>
            <w:vAlign w:val="center"/>
            <w:hideMark/>
          </w:tcPr>
          <w:p w14:paraId="01A205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w:t>
            </w:r>
          </w:p>
        </w:tc>
        <w:tc>
          <w:tcPr>
            <w:tcW w:w="0" w:type="auto"/>
            <w:vAlign w:val="center"/>
            <w:hideMark/>
          </w:tcPr>
          <w:p w14:paraId="3FAF95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Banca web y banca móvil</w:t>
            </w:r>
          </w:p>
        </w:tc>
        <w:tc>
          <w:tcPr>
            <w:tcW w:w="0" w:type="auto"/>
            <w:vAlign w:val="center"/>
            <w:hideMark/>
          </w:tcPr>
          <w:p w14:paraId="4E0E079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System of Engagement</w:t>
            </w:r>
          </w:p>
        </w:tc>
        <w:tc>
          <w:tcPr>
            <w:tcW w:w="0" w:type="auto"/>
            <w:vAlign w:val="center"/>
            <w:hideMark/>
          </w:tcPr>
          <w:p w14:paraId="0B46B0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Canales; consumidores, sin lógica de negocio propia</w:t>
            </w:r>
          </w:p>
        </w:tc>
      </w:tr>
      <w:tr w:rsidR="000444D1" w:rsidRPr="000444D1" w14:paraId="0B1017B9" w14:textId="77777777">
        <w:trPr>
          <w:tblCellSpacing w:w="15" w:type="dxa"/>
        </w:trPr>
        <w:tc>
          <w:tcPr>
            <w:tcW w:w="0" w:type="auto"/>
            <w:vAlign w:val="center"/>
            <w:hideMark/>
          </w:tcPr>
          <w:p w14:paraId="549701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c>
          <w:tcPr>
            <w:tcW w:w="0" w:type="auto"/>
            <w:vAlign w:val="center"/>
            <w:hideMark/>
          </w:tcPr>
          <w:p w14:paraId="402897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Plataforma de servicios de pago</w:t>
            </w:r>
          </w:p>
        </w:tc>
        <w:tc>
          <w:tcPr>
            <w:tcW w:w="0" w:type="auto"/>
            <w:vAlign w:val="center"/>
            <w:hideMark/>
          </w:tcPr>
          <w:p w14:paraId="704CC0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Capacidad transaccional</w:t>
            </w:r>
          </w:p>
        </w:tc>
        <w:tc>
          <w:tcPr>
            <w:tcW w:w="0" w:type="auto"/>
            <w:vAlign w:val="center"/>
            <w:hideMark/>
          </w:tcPr>
          <w:p w14:paraId="4B8366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Originación, orquestación y liquidación de pagos</w:t>
            </w:r>
          </w:p>
        </w:tc>
      </w:tr>
      <w:tr w:rsidR="000444D1" w:rsidRPr="000444D1" w14:paraId="16F65F5B" w14:textId="77777777">
        <w:trPr>
          <w:tblCellSpacing w:w="15" w:type="dxa"/>
        </w:trPr>
        <w:tc>
          <w:tcPr>
            <w:tcW w:w="0" w:type="auto"/>
            <w:vAlign w:val="center"/>
            <w:hideMark/>
          </w:tcPr>
          <w:p w14:paraId="036AB9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w:t>
            </w:r>
          </w:p>
        </w:tc>
        <w:tc>
          <w:tcPr>
            <w:tcW w:w="0" w:type="auto"/>
            <w:vAlign w:val="center"/>
            <w:hideMark/>
          </w:tcPr>
          <w:p w14:paraId="30508F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APIs de terceros (Open Finance)</w:t>
            </w:r>
          </w:p>
        </w:tc>
        <w:tc>
          <w:tcPr>
            <w:tcW w:w="0" w:type="auto"/>
            <w:vAlign w:val="center"/>
            <w:hideMark/>
          </w:tcPr>
          <w:p w14:paraId="1D92B3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Superficie externa regulada</w:t>
            </w:r>
          </w:p>
        </w:tc>
        <w:tc>
          <w:tcPr>
            <w:tcW w:w="0" w:type="auto"/>
            <w:vAlign w:val="center"/>
            <w:hideMark/>
          </w:tcPr>
          <w:p w14:paraId="1FF862E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Exposición controlada bajo consentimiento</w:t>
            </w:r>
          </w:p>
        </w:tc>
      </w:tr>
      <w:tr w:rsidR="000444D1" w:rsidRPr="000444D1" w14:paraId="05E19560" w14:textId="77777777">
        <w:trPr>
          <w:tblCellSpacing w:w="15" w:type="dxa"/>
        </w:trPr>
        <w:tc>
          <w:tcPr>
            <w:tcW w:w="0" w:type="auto"/>
            <w:vAlign w:val="center"/>
            <w:hideMark/>
          </w:tcPr>
          <w:p w14:paraId="04B4E5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w:t>
            </w:r>
          </w:p>
        </w:tc>
        <w:tc>
          <w:tcPr>
            <w:tcW w:w="0" w:type="auto"/>
            <w:vAlign w:val="center"/>
            <w:hideMark/>
          </w:tcPr>
          <w:p w14:paraId="2AC4DA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de gestión de riesgos</w:t>
            </w:r>
          </w:p>
        </w:tc>
        <w:tc>
          <w:tcPr>
            <w:tcW w:w="0" w:type="auto"/>
            <w:vAlign w:val="center"/>
            <w:hideMark/>
          </w:tcPr>
          <w:p w14:paraId="5D0031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Capacidad transversal</w:t>
            </w:r>
          </w:p>
        </w:tc>
        <w:tc>
          <w:tcPr>
            <w:tcW w:w="0" w:type="auto"/>
            <w:vAlign w:val="center"/>
            <w:hideMark/>
          </w:tcPr>
          <w:p w14:paraId="6B7BC2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near-real-time y analítica</w:t>
            </w:r>
          </w:p>
        </w:tc>
      </w:tr>
      <w:tr w:rsidR="000444D1" w:rsidRPr="000444D1" w14:paraId="7512BD26" w14:textId="77777777">
        <w:trPr>
          <w:tblCellSpacing w:w="15" w:type="dxa"/>
        </w:trPr>
        <w:tc>
          <w:tcPr>
            <w:tcW w:w="0" w:type="auto"/>
            <w:vAlign w:val="center"/>
            <w:hideMark/>
          </w:tcPr>
          <w:p w14:paraId="3A2C34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w:t>
            </w:r>
          </w:p>
        </w:tc>
        <w:tc>
          <w:tcPr>
            <w:tcW w:w="0" w:type="auto"/>
            <w:vAlign w:val="center"/>
            <w:hideMark/>
          </w:tcPr>
          <w:p w14:paraId="4CE70E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de prevención de fraudes</w:t>
            </w:r>
          </w:p>
        </w:tc>
        <w:tc>
          <w:tcPr>
            <w:tcW w:w="0" w:type="auto"/>
            <w:vAlign w:val="center"/>
            <w:hideMark/>
          </w:tcPr>
          <w:p w14:paraId="571BBC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Capacidad transversal</w:t>
            </w:r>
          </w:p>
        </w:tc>
        <w:tc>
          <w:tcPr>
            <w:tcW w:w="0" w:type="auto"/>
            <w:vAlign w:val="center"/>
            <w:hideMark/>
          </w:tcPr>
          <w:p w14:paraId="5E22B8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en línea, en camino crítico</w:t>
            </w:r>
          </w:p>
        </w:tc>
      </w:tr>
    </w:tbl>
    <w:p w14:paraId="6AEF5CE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 Naturaleza del problema</w:t>
      </w:r>
    </w:p>
    <w:p w14:paraId="7BCB0A2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alcance definido es </w:t>
      </w:r>
      <w:r w:rsidRPr="000444D1">
        <w:rPr>
          <w:rFonts w:ascii="Times New Roman" w:eastAsia="Times New Roman" w:hAnsi="Times New Roman" w:cs="Times New Roman"/>
          <w:b/>
          <w:bCs/>
          <w:kern w:val="0"/>
          <w14:ligatures w14:val="none"/>
        </w:rPr>
        <w:t>integrar</w:t>
      </w:r>
      <w:r w:rsidRPr="000444D1">
        <w:rPr>
          <w:rFonts w:ascii="Times New Roman" w:eastAsia="Times New Roman" w:hAnsi="Times New Roman" w:cs="Times New Roman"/>
          <w:kern w:val="0"/>
          <w14:ligatures w14:val="none"/>
        </w:rPr>
        <w:t xml:space="preserve">, no reemplazar. El core tradicional y el core digital </w:t>
      </w:r>
      <w:r w:rsidRPr="000444D1">
        <w:rPr>
          <w:rFonts w:ascii="Times New Roman" w:eastAsia="Times New Roman" w:hAnsi="Times New Roman" w:cs="Times New Roman"/>
          <w:b/>
          <w:bCs/>
          <w:kern w:val="0"/>
          <w14:ligatures w14:val="none"/>
        </w:rPr>
        <w:t>coexisten</w:t>
      </w:r>
      <w:r w:rsidRPr="000444D1">
        <w:rPr>
          <w:rFonts w:ascii="Times New Roman" w:eastAsia="Times New Roman" w:hAnsi="Times New Roman" w:cs="Times New Roman"/>
          <w:kern w:val="0"/>
          <w14:ligatures w14:val="none"/>
        </w:rPr>
        <w:t xml:space="preserve">. El problema central no es, por tanto, una migración big-bang, sino la </w:t>
      </w:r>
      <w:r w:rsidRPr="000444D1">
        <w:rPr>
          <w:rFonts w:ascii="Times New Roman" w:eastAsia="Times New Roman" w:hAnsi="Times New Roman" w:cs="Times New Roman"/>
          <w:b/>
          <w:bCs/>
          <w:kern w:val="0"/>
          <w14:ligatures w14:val="none"/>
        </w:rPr>
        <w:t>coexistencia gobernada de dos sistemas de registro transaccionales</w:t>
      </w:r>
      <w:r w:rsidRPr="000444D1">
        <w:rPr>
          <w:rFonts w:ascii="Times New Roman" w:eastAsia="Times New Roman" w:hAnsi="Times New Roman" w:cs="Times New Roman"/>
          <w:kern w:val="0"/>
          <w14:ligatures w14:val="none"/>
        </w:rPr>
        <w:t xml:space="preserve"> durante un horizonte plurianual, sin que esa dualidad se filtre hacia los canales, los terceros ni los sistemas transversales.</w:t>
      </w:r>
    </w:p>
    <w:p w14:paraId="3751D2C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 ese enunciado se derivan las tres tensiones estructurales que el diseño debe resolver:</w:t>
      </w:r>
    </w:p>
    <w:p w14:paraId="591047A7" w14:textId="77777777" w:rsidR="000444D1" w:rsidRPr="000444D1" w:rsidRDefault="000444D1" w:rsidP="00C6468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Propiedad del dato.</w:t>
      </w:r>
      <w:r w:rsidRPr="000444D1">
        <w:rPr>
          <w:rFonts w:ascii="Times New Roman" w:eastAsia="Times New Roman" w:hAnsi="Times New Roman" w:cs="Times New Roman"/>
          <w:kern w:val="0"/>
          <w14:ligatures w14:val="none"/>
        </w:rPr>
        <w:t xml:space="preserve"> Para cualquier cuenta, cliente o transacción debe existir exactamente un system of record, determinable y consultable.</w:t>
      </w:r>
    </w:p>
    <w:p w14:paraId="6099BB51" w14:textId="77777777" w:rsidR="000444D1" w:rsidRPr="000444D1" w:rsidRDefault="000444D1" w:rsidP="00C6468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Impedancia temporal.</w:t>
      </w:r>
      <w:r w:rsidRPr="000444D1">
        <w:rPr>
          <w:rFonts w:ascii="Times New Roman" w:eastAsia="Times New Roman" w:hAnsi="Times New Roman" w:cs="Times New Roman"/>
          <w:kern w:val="0"/>
          <w14:ligatures w14:val="none"/>
        </w:rPr>
        <w:t xml:space="preserve"> El core tradicional opera por ciclos batch con ventana de cierre; los canales digitales exigen respuesta interactiva 24/7.</w:t>
      </w:r>
    </w:p>
    <w:p w14:paraId="04B3F09D" w14:textId="77777777" w:rsidR="000444D1" w:rsidRPr="000444D1" w:rsidRDefault="000444D1" w:rsidP="00C6468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Visibilidad transversal.</w:t>
      </w:r>
      <w:r w:rsidRPr="000444D1">
        <w:rPr>
          <w:rFonts w:ascii="Times New Roman" w:eastAsia="Times New Roman" w:hAnsi="Times New Roman" w:cs="Times New Roman"/>
          <w:kern w:val="0"/>
          <w14:ligatures w14:val="none"/>
        </w:rPr>
        <w:t xml:space="preserve"> Riesgos y fraude necesitan observar los eventos de negocio de todos los sistemas sin acoplarse punto a punto a cada uno de ellos.</w:t>
      </w:r>
    </w:p>
    <w:p w14:paraId="062276E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 Fuera de alcance</w:t>
      </w:r>
    </w:p>
    <w:p w14:paraId="73373FE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Diseño interno del core digital (producto de terceros o desarrollo propio, se trata como caja negra con contrato), rediseño funcional del core tradicional, arquitectura de canales (front-end), y modelo de datos analítico / data warehouse más allá de su alimentación por eventos.</w:t>
      </w:r>
    </w:p>
    <w:p w14:paraId="299C24B1"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1F430D74">
          <v:rect id="Horizontal Line 560"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638599D"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2. Supuestos y premisas</w:t>
      </w:r>
    </w:p>
    <w:p w14:paraId="1AD2C88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siguientes supuestos se declaran explícitamente por no haber sido especificados en el enunciado. Se clasifican por su impacto sobre el diseño:</w:t>
      </w:r>
    </w:p>
    <w:p w14:paraId="2363E3D9" w14:textId="77777777" w:rsidR="000444D1" w:rsidRPr="000444D1" w:rsidRDefault="000444D1" w:rsidP="00C6468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Tipo A — Estructural:</w:t>
      </w:r>
      <w:r w:rsidRPr="000444D1">
        <w:rPr>
          <w:rFonts w:ascii="Times New Roman" w:eastAsia="Times New Roman" w:hAnsi="Times New Roman" w:cs="Times New Roman"/>
          <w:kern w:val="0"/>
          <w14:ligatures w14:val="none"/>
        </w:rPr>
        <w:t xml:space="preserve"> si el supuesto cambia, cambia la arquitectura.</w:t>
      </w:r>
    </w:p>
    <w:p w14:paraId="4A28B886" w14:textId="77777777" w:rsidR="000444D1" w:rsidRPr="000444D1" w:rsidRDefault="000444D1" w:rsidP="00C6468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Tipo B — Dimensional:</w:t>
      </w:r>
      <w:r w:rsidRPr="000444D1">
        <w:rPr>
          <w:rFonts w:ascii="Times New Roman" w:eastAsia="Times New Roman" w:hAnsi="Times New Roman" w:cs="Times New Roman"/>
          <w:kern w:val="0"/>
          <w14:ligatures w14:val="none"/>
        </w:rPr>
        <w:t xml:space="preserve"> si cambia, cambian los parámetros de capacidad y SLA, no la estructura.</w:t>
      </w:r>
    </w:p>
    <w:p w14:paraId="173BCB77" w14:textId="77777777" w:rsidR="000444D1" w:rsidRPr="000444D1" w:rsidRDefault="000444D1" w:rsidP="00C6468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Tipo C — Aislado por diseño:</w:t>
      </w:r>
      <w:r w:rsidRPr="000444D1">
        <w:rPr>
          <w:rFonts w:ascii="Times New Roman" w:eastAsia="Times New Roman" w:hAnsi="Times New Roman" w:cs="Times New Roman"/>
          <w:kern w:val="0"/>
          <w14:ligatures w14:val="none"/>
        </w:rPr>
        <w:t xml:space="preserve"> si cambia, se sustituye un adaptador; ningún otro componente se ve afectado.</w:t>
      </w:r>
    </w:p>
    <w:p w14:paraId="6BF9657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2.1 Supuestos sobre el core bancario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0"/>
        <w:gridCol w:w="541"/>
        <w:gridCol w:w="2385"/>
        <w:gridCol w:w="3004"/>
      </w:tblGrid>
      <w:tr w:rsidR="000444D1" w:rsidRPr="000444D1" w14:paraId="5FB455A1" w14:textId="77777777">
        <w:trPr>
          <w:tblHeader/>
          <w:tblCellSpacing w:w="15" w:type="dxa"/>
        </w:trPr>
        <w:tc>
          <w:tcPr>
            <w:tcW w:w="0" w:type="auto"/>
            <w:vAlign w:val="center"/>
            <w:hideMark/>
          </w:tcPr>
          <w:p w14:paraId="59B5E91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Supuesto</w:t>
            </w:r>
          </w:p>
        </w:tc>
        <w:tc>
          <w:tcPr>
            <w:tcW w:w="0" w:type="auto"/>
            <w:vAlign w:val="center"/>
            <w:hideMark/>
          </w:tcPr>
          <w:p w14:paraId="32BBB1A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w:t>
            </w:r>
          </w:p>
        </w:tc>
        <w:tc>
          <w:tcPr>
            <w:tcW w:w="0" w:type="auto"/>
            <w:vAlign w:val="center"/>
            <w:hideMark/>
          </w:tcPr>
          <w:p w14:paraId="659B4A8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Justificación</w:t>
            </w:r>
          </w:p>
        </w:tc>
        <w:tc>
          <w:tcPr>
            <w:tcW w:w="0" w:type="auto"/>
            <w:vAlign w:val="center"/>
            <w:hideMark/>
          </w:tcPr>
          <w:p w14:paraId="118613D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Impacto si no se cumple</w:t>
            </w:r>
          </w:p>
        </w:tc>
      </w:tr>
      <w:tr w:rsidR="000444D1" w:rsidRPr="000444D1" w14:paraId="1E687050" w14:textId="77777777">
        <w:trPr>
          <w:tblCellSpacing w:w="15" w:type="dxa"/>
        </w:trPr>
        <w:tc>
          <w:tcPr>
            <w:tcW w:w="0" w:type="auto"/>
            <w:vAlign w:val="center"/>
            <w:hideMark/>
          </w:tcPr>
          <w:p w14:paraId="2445ED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monolítico sobre mainframe/AS400, más de 20 años de antigüedad, COBOL/RPG</w:t>
            </w:r>
          </w:p>
        </w:tc>
        <w:tc>
          <w:tcPr>
            <w:tcW w:w="0" w:type="auto"/>
            <w:vAlign w:val="center"/>
            <w:hideMark/>
          </w:tcPr>
          <w:p w14:paraId="29B957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w:t>
            </w:r>
          </w:p>
        </w:tc>
        <w:tc>
          <w:tcPr>
            <w:tcW w:w="0" w:type="auto"/>
            <w:vAlign w:val="center"/>
            <w:hideMark/>
          </w:tcPr>
          <w:p w14:paraId="4663B3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Perfil predominante en banca tradicional de la región</w:t>
            </w:r>
          </w:p>
        </w:tc>
        <w:tc>
          <w:tcPr>
            <w:tcW w:w="0" w:type="auto"/>
            <w:vAlign w:val="center"/>
            <w:hideMark/>
          </w:tcPr>
          <w:p w14:paraId="79DC95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Ninguno estructural: aislado tras la capa anticorrupción</w:t>
            </w:r>
          </w:p>
        </w:tc>
      </w:tr>
      <w:tr w:rsidR="000444D1" w:rsidRPr="000444D1" w14:paraId="32300810" w14:textId="77777777">
        <w:trPr>
          <w:tblCellSpacing w:w="15" w:type="dxa"/>
        </w:trPr>
        <w:tc>
          <w:tcPr>
            <w:tcW w:w="0" w:type="auto"/>
            <w:vAlign w:val="center"/>
            <w:hideMark/>
          </w:tcPr>
          <w:p w14:paraId="27A977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Modificable solo de forma marginal; ciclos de release trimestrales</w:t>
            </w:r>
          </w:p>
        </w:tc>
        <w:tc>
          <w:tcPr>
            <w:tcW w:w="0" w:type="auto"/>
            <w:vAlign w:val="center"/>
            <w:hideMark/>
          </w:tcPr>
          <w:p w14:paraId="2B47B9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799152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Supuesto conservador; se diseña para el peor caso</w:t>
            </w:r>
          </w:p>
        </w:tc>
        <w:tc>
          <w:tcPr>
            <w:tcW w:w="0" w:type="auto"/>
            <w:vAlign w:val="center"/>
            <w:hideMark/>
          </w:tcPr>
          <w:p w14:paraId="5713EB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es más flexible, el diseño solo se simplifica</w:t>
            </w:r>
          </w:p>
        </w:tc>
      </w:tr>
      <w:tr w:rsidR="000444D1" w:rsidRPr="000444D1" w14:paraId="586C7092" w14:textId="77777777">
        <w:trPr>
          <w:tblCellSpacing w:w="15" w:type="dxa"/>
        </w:trPr>
        <w:tc>
          <w:tcPr>
            <w:tcW w:w="0" w:type="auto"/>
            <w:vAlign w:val="center"/>
            <w:hideMark/>
          </w:tcPr>
          <w:p w14:paraId="77B214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Expone acceso transaccional vía cola de mensajes (MQ) y masivo vía archivos batch</w:t>
            </w:r>
          </w:p>
        </w:tc>
        <w:tc>
          <w:tcPr>
            <w:tcW w:w="0" w:type="auto"/>
            <w:vAlign w:val="center"/>
            <w:hideMark/>
          </w:tcPr>
          <w:p w14:paraId="05D0C4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w:t>
            </w:r>
          </w:p>
        </w:tc>
        <w:tc>
          <w:tcPr>
            <w:tcW w:w="0" w:type="auto"/>
            <w:vAlign w:val="center"/>
            <w:hideMark/>
          </w:tcPr>
          <w:p w14:paraId="34FE53B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Combinación de integración más común en este perfil</w:t>
            </w:r>
          </w:p>
        </w:tc>
        <w:tc>
          <w:tcPr>
            <w:tcW w:w="0" w:type="auto"/>
            <w:vAlign w:val="center"/>
            <w:hideMark/>
          </w:tcPr>
          <w:p w14:paraId="1BDF16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sustituye la implementación del adaptador</w:t>
            </w:r>
          </w:p>
        </w:tc>
      </w:tr>
      <w:tr w:rsidR="000444D1" w:rsidRPr="000444D1" w14:paraId="62EA71DC" w14:textId="77777777">
        <w:trPr>
          <w:tblCellSpacing w:w="15" w:type="dxa"/>
        </w:trPr>
        <w:tc>
          <w:tcPr>
            <w:tcW w:w="0" w:type="auto"/>
            <w:vAlign w:val="center"/>
            <w:hideMark/>
          </w:tcPr>
          <w:p w14:paraId="53277F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 publica eventos de cambio de estado</w:t>
            </w:r>
          </w:p>
        </w:tc>
        <w:tc>
          <w:tcPr>
            <w:tcW w:w="0" w:type="auto"/>
            <w:vAlign w:val="center"/>
            <w:hideMark/>
          </w:tcPr>
          <w:p w14:paraId="2D5287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523254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Supuesto pesimista deliberado</w:t>
            </w:r>
          </w:p>
        </w:tc>
        <w:tc>
          <w:tcPr>
            <w:tcW w:w="0" w:type="auto"/>
            <w:vAlign w:val="center"/>
            <w:hideMark/>
          </w:tcPr>
          <w:p w14:paraId="6FDF41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los publicara, se elimina la necesidad de CDC (ver ADR-004)</w:t>
            </w:r>
          </w:p>
        </w:tc>
      </w:tr>
      <w:tr w:rsidR="000444D1" w:rsidRPr="000444D1" w14:paraId="0E5AC348" w14:textId="77777777">
        <w:trPr>
          <w:tblCellSpacing w:w="15" w:type="dxa"/>
        </w:trPr>
        <w:tc>
          <w:tcPr>
            <w:tcW w:w="0" w:type="auto"/>
            <w:vAlign w:val="center"/>
            <w:hideMark/>
          </w:tcPr>
          <w:p w14:paraId="571F02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Ventana de cierre nocturno con disponibilidad degradada (aprox. 4 horas)</w:t>
            </w:r>
          </w:p>
        </w:tc>
        <w:tc>
          <w:tcPr>
            <w:tcW w:w="0" w:type="auto"/>
            <w:vAlign w:val="center"/>
            <w:hideMark/>
          </w:tcPr>
          <w:p w14:paraId="5BB2B2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717E22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Práctica universal en cores tradicionales</w:t>
            </w:r>
          </w:p>
        </w:tc>
        <w:tc>
          <w:tcPr>
            <w:tcW w:w="0" w:type="auto"/>
            <w:vAlign w:val="center"/>
            <w:hideMark/>
          </w:tcPr>
          <w:p w14:paraId="0F06AE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no existe, el modo degradado queda como capacidad de resiliencia adicional</w:t>
            </w:r>
          </w:p>
        </w:tc>
      </w:tr>
      <w:tr w:rsidR="000444D1" w:rsidRPr="000444D1" w14:paraId="107DAD24" w14:textId="77777777">
        <w:trPr>
          <w:tblCellSpacing w:w="15" w:type="dxa"/>
        </w:trPr>
        <w:tc>
          <w:tcPr>
            <w:tcW w:w="0" w:type="auto"/>
            <w:vAlign w:val="center"/>
            <w:hideMark/>
          </w:tcPr>
          <w:p w14:paraId="4B0250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Permanece como SoR de productos tradicionales durante todo el horizonte del programa</w:t>
            </w:r>
          </w:p>
        </w:tc>
        <w:tc>
          <w:tcPr>
            <w:tcW w:w="0" w:type="auto"/>
            <w:vAlign w:val="center"/>
            <w:hideMark/>
          </w:tcPr>
          <w:p w14:paraId="32E303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49FB81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alcance del programa es de integración, no de reemplazo</w:t>
            </w:r>
          </w:p>
        </w:tc>
        <w:tc>
          <w:tcPr>
            <w:tcW w:w="0" w:type="auto"/>
            <w:vAlign w:val="center"/>
            <w:hideMark/>
          </w:tcPr>
          <w:p w14:paraId="50A978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r>
    </w:tbl>
    <w:p w14:paraId="4067F2C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Nota de diseño.</w:t>
      </w:r>
      <w:r w:rsidRPr="000444D1">
        <w:rPr>
          <w:rFonts w:ascii="Times New Roman" w:eastAsia="Times New Roman" w:hAnsi="Times New Roman" w:cs="Times New Roman"/>
          <w:kern w:val="0"/>
          <w14:ligatures w14:val="none"/>
        </w:rPr>
        <w:t xml:space="preserve"> El conjunto de supuestos sobre el core tradicional se aísla deliberadamente tras una </w:t>
      </w:r>
      <w:r w:rsidRPr="000444D1">
        <w:rPr>
          <w:rFonts w:ascii="Times New Roman" w:eastAsia="Times New Roman" w:hAnsi="Times New Roman" w:cs="Times New Roman"/>
          <w:b/>
          <w:bCs/>
          <w:kern w:val="0"/>
          <w14:ligatures w14:val="none"/>
        </w:rPr>
        <w:t>capa anticorrupción</w:t>
      </w:r>
      <w:r w:rsidRPr="000444D1">
        <w:rPr>
          <w:rFonts w:ascii="Times New Roman" w:eastAsia="Times New Roman" w:hAnsi="Times New Roman" w:cs="Times New Roman"/>
          <w:kern w:val="0"/>
          <w14:ligatures w14:val="none"/>
        </w:rPr>
        <w:t xml:space="preserve"> (sección 11). Su validación o refutación afecta a la implementación de adaptadores concretos, no a la estructura de la solución. Esta es una decisión consciente ante la ausencia de información sobre el sistema legado.</w:t>
      </w:r>
    </w:p>
    <w:p w14:paraId="6ED8A430"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2.2 Supuestos de negocio y volumetría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5"/>
        <w:gridCol w:w="4859"/>
        <w:gridCol w:w="556"/>
      </w:tblGrid>
      <w:tr w:rsidR="000444D1" w:rsidRPr="000444D1" w14:paraId="042975DD" w14:textId="77777777">
        <w:trPr>
          <w:tblHeader/>
          <w:tblCellSpacing w:w="15" w:type="dxa"/>
        </w:trPr>
        <w:tc>
          <w:tcPr>
            <w:tcW w:w="0" w:type="auto"/>
            <w:vAlign w:val="center"/>
            <w:hideMark/>
          </w:tcPr>
          <w:p w14:paraId="081FA99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Parámetro</w:t>
            </w:r>
          </w:p>
        </w:tc>
        <w:tc>
          <w:tcPr>
            <w:tcW w:w="0" w:type="auto"/>
            <w:vAlign w:val="center"/>
            <w:hideMark/>
          </w:tcPr>
          <w:p w14:paraId="41BAE6B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Valor asumido</w:t>
            </w:r>
          </w:p>
        </w:tc>
        <w:tc>
          <w:tcPr>
            <w:tcW w:w="0" w:type="auto"/>
            <w:vAlign w:val="center"/>
            <w:hideMark/>
          </w:tcPr>
          <w:p w14:paraId="3A30FB6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w:t>
            </w:r>
          </w:p>
        </w:tc>
      </w:tr>
      <w:tr w:rsidR="000444D1" w:rsidRPr="000444D1" w14:paraId="3AB71EC6" w14:textId="77777777">
        <w:trPr>
          <w:tblCellSpacing w:w="15" w:type="dxa"/>
        </w:trPr>
        <w:tc>
          <w:tcPr>
            <w:tcW w:w="0" w:type="auto"/>
            <w:vAlign w:val="center"/>
            <w:hideMark/>
          </w:tcPr>
          <w:p w14:paraId="459B51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Clientes totales / activos digitales</w:t>
            </w:r>
          </w:p>
        </w:tc>
        <w:tc>
          <w:tcPr>
            <w:tcW w:w="0" w:type="auto"/>
            <w:vAlign w:val="center"/>
            <w:hideMark/>
          </w:tcPr>
          <w:p w14:paraId="729D76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 M / ~600 k</w:t>
            </w:r>
          </w:p>
        </w:tc>
        <w:tc>
          <w:tcPr>
            <w:tcW w:w="0" w:type="auto"/>
            <w:vAlign w:val="center"/>
            <w:hideMark/>
          </w:tcPr>
          <w:p w14:paraId="1DCC1E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4AEC5C67" w14:textId="77777777">
        <w:trPr>
          <w:tblCellSpacing w:w="15" w:type="dxa"/>
        </w:trPr>
        <w:tc>
          <w:tcPr>
            <w:tcW w:w="0" w:type="auto"/>
            <w:vAlign w:val="center"/>
            <w:hideMark/>
          </w:tcPr>
          <w:p w14:paraId="1E2465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TPS pico canales digitales — lectura</w:t>
            </w:r>
          </w:p>
        </w:tc>
        <w:tc>
          <w:tcPr>
            <w:tcW w:w="0" w:type="auto"/>
            <w:vAlign w:val="center"/>
            <w:hideMark/>
          </w:tcPr>
          <w:p w14:paraId="754761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~800 TPS</w:t>
            </w:r>
          </w:p>
        </w:tc>
        <w:tc>
          <w:tcPr>
            <w:tcW w:w="0" w:type="auto"/>
            <w:vAlign w:val="center"/>
            <w:hideMark/>
          </w:tcPr>
          <w:p w14:paraId="4E7DCB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673BB168" w14:textId="77777777">
        <w:trPr>
          <w:tblCellSpacing w:w="15" w:type="dxa"/>
        </w:trPr>
        <w:tc>
          <w:tcPr>
            <w:tcW w:w="0" w:type="auto"/>
            <w:vAlign w:val="center"/>
            <w:hideMark/>
          </w:tcPr>
          <w:p w14:paraId="68A1AD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TPS pico canales digitales — escritura</w:t>
            </w:r>
          </w:p>
        </w:tc>
        <w:tc>
          <w:tcPr>
            <w:tcW w:w="0" w:type="auto"/>
            <w:vAlign w:val="center"/>
            <w:hideMark/>
          </w:tcPr>
          <w:p w14:paraId="1D9123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~150 TPS</w:t>
            </w:r>
          </w:p>
        </w:tc>
        <w:tc>
          <w:tcPr>
            <w:tcW w:w="0" w:type="auto"/>
            <w:vAlign w:val="center"/>
            <w:hideMark/>
          </w:tcPr>
          <w:p w14:paraId="6413D0B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6BF71074" w14:textId="77777777">
        <w:trPr>
          <w:tblCellSpacing w:w="15" w:type="dxa"/>
        </w:trPr>
        <w:tc>
          <w:tcPr>
            <w:tcW w:w="0" w:type="auto"/>
            <w:vAlign w:val="center"/>
            <w:hideMark/>
          </w:tcPr>
          <w:p w14:paraId="7811DF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Factor de pico estacional (días de pago, fin de mes)</w:t>
            </w:r>
          </w:p>
        </w:tc>
        <w:tc>
          <w:tcPr>
            <w:tcW w:w="0" w:type="auto"/>
            <w:vAlign w:val="center"/>
            <w:hideMark/>
          </w:tcPr>
          <w:p w14:paraId="60B0D58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w:t>
            </w:r>
          </w:p>
        </w:tc>
        <w:tc>
          <w:tcPr>
            <w:tcW w:w="0" w:type="auto"/>
            <w:vAlign w:val="center"/>
            <w:hideMark/>
          </w:tcPr>
          <w:p w14:paraId="7AFD8C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6B203202" w14:textId="77777777">
        <w:trPr>
          <w:tblCellSpacing w:w="15" w:type="dxa"/>
        </w:trPr>
        <w:tc>
          <w:tcPr>
            <w:tcW w:w="0" w:type="auto"/>
            <w:vAlign w:val="center"/>
            <w:hideMark/>
          </w:tcPr>
          <w:p w14:paraId="003F33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objetivo — consulta de saldo</w:t>
            </w:r>
          </w:p>
        </w:tc>
        <w:tc>
          <w:tcPr>
            <w:tcW w:w="0" w:type="auto"/>
            <w:vAlign w:val="center"/>
            <w:hideMark/>
          </w:tcPr>
          <w:p w14:paraId="139DAA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p95 &lt; 500 ms</w:t>
            </w:r>
          </w:p>
        </w:tc>
        <w:tc>
          <w:tcPr>
            <w:tcW w:w="0" w:type="auto"/>
            <w:vAlign w:val="center"/>
            <w:hideMark/>
          </w:tcPr>
          <w:p w14:paraId="2295E2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698C20CD" w14:textId="77777777">
        <w:trPr>
          <w:tblCellSpacing w:w="15" w:type="dxa"/>
        </w:trPr>
        <w:tc>
          <w:tcPr>
            <w:tcW w:w="0" w:type="auto"/>
            <w:vAlign w:val="center"/>
            <w:hideMark/>
          </w:tcPr>
          <w:p w14:paraId="4D2B68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objetivo — transferencia interna</w:t>
            </w:r>
          </w:p>
        </w:tc>
        <w:tc>
          <w:tcPr>
            <w:tcW w:w="0" w:type="auto"/>
            <w:vAlign w:val="center"/>
            <w:hideMark/>
          </w:tcPr>
          <w:p w14:paraId="1550B3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p95 &lt; 2 s</w:t>
            </w:r>
          </w:p>
        </w:tc>
        <w:tc>
          <w:tcPr>
            <w:tcW w:w="0" w:type="auto"/>
            <w:vAlign w:val="center"/>
            <w:hideMark/>
          </w:tcPr>
          <w:p w14:paraId="53FB44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46681600" w14:textId="77777777">
        <w:trPr>
          <w:tblCellSpacing w:w="15" w:type="dxa"/>
        </w:trPr>
        <w:tc>
          <w:tcPr>
            <w:tcW w:w="0" w:type="auto"/>
            <w:vAlign w:val="center"/>
            <w:hideMark/>
          </w:tcPr>
          <w:p w14:paraId="3FD343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Presupuesto de latencia — evaluación de fraude en línea</w:t>
            </w:r>
          </w:p>
        </w:tc>
        <w:tc>
          <w:tcPr>
            <w:tcW w:w="0" w:type="auto"/>
            <w:vAlign w:val="center"/>
            <w:hideMark/>
          </w:tcPr>
          <w:p w14:paraId="26D5FA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&lt; 300 ms</w:t>
            </w:r>
          </w:p>
        </w:tc>
        <w:tc>
          <w:tcPr>
            <w:tcW w:w="0" w:type="auto"/>
            <w:vAlign w:val="center"/>
            <w:hideMark/>
          </w:tcPr>
          <w:p w14:paraId="7A05AA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r>
      <w:tr w:rsidR="000444D1" w:rsidRPr="000444D1" w14:paraId="793B5768" w14:textId="77777777">
        <w:trPr>
          <w:tblCellSpacing w:w="15" w:type="dxa"/>
        </w:trPr>
        <w:tc>
          <w:tcPr>
            <w:tcW w:w="0" w:type="auto"/>
            <w:vAlign w:val="center"/>
            <w:hideMark/>
          </w:tcPr>
          <w:p w14:paraId="2220E8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Disponibilidad objetivo — canales digitales</w:t>
            </w:r>
          </w:p>
        </w:tc>
        <w:tc>
          <w:tcPr>
            <w:tcW w:w="0" w:type="auto"/>
            <w:vAlign w:val="center"/>
            <w:hideMark/>
          </w:tcPr>
          <w:p w14:paraId="637D88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99.95 %</w:t>
            </w:r>
          </w:p>
        </w:tc>
        <w:tc>
          <w:tcPr>
            <w:tcW w:w="0" w:type="auto"/>
            <w:vAlign w:val="center"/>
            <w:hideMark/>
          </w:tcPr>
          <w:p w14:paraId="61E3BF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137F1FE4" w14:textId="77777777">
        <w:trPr>
          <w:tblCellSpacing w:w="15" w:type="dxa"/>
        </w:trPr>
        <w:tc>
          <w:tcPr>
            <w:tcW w:w="0" w:type="auto"/>
            <w:vAlign w:val="center"/>
            <w:hideMark/>
          </w:tcPr>
          <w:p w14:paraId="74951B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Disponibilidad objetivo — core tradicional</w:t>
            </w:r>
          </w:p>
        </w:tc>
        <w:tc>
          <w:tcPr>
            <w:tcW w:w="0" w:type="auto"/>
            <w:vAlign w:val="center"/>
            <w:hideMark/>
          </w:tcPr>
          <w:p w14:paraId="17492A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99.5 %</w:t>
            </w:r>
          </w:p>
        </w:tc>
        <w:tc>
          <w:tcPr>
            <w:tcW w:w="0" w:type="auto"/>
            <w:vAlign w:val="center"/>
            <w:hideMark/>
          </w:tcPr>
          <w:p w14:paraId="6CF1CE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r>
      <w:tr w:rsidR="000444D1" w:rsidRPr="000444D1" w14:paraId="20236F4A" w14:textId="77777777">
        <w:trPr>
          <w:tblCellSpacing w:w="15" w:type="dxa"/>
        </w:trPr>
        <w:tc>
          <w:tcPr>
            <w:tcW w:w="0" w:type="auto"/>
            <w:vAlign w:val="center"/>
            <w:hideMark/>
          </w:tcPr>
          <w:p w14:paraId="0EF7204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RTO / RPO — capa digital</w:t>
            </w:r>
          </w:p>
        </w:tc>
        <w:tc>
          <w:tcPr>
            <w:tcW w:w="0" w:type="auto"/>
            <w:vAlign w:val="center"/>
            <w:hideMark/>
          </w:tcPr>
          <w:p w14:paraId="399D40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 min / ≈ 0</w:t>
            </w:r>
          </w:p>
        </w:tc>
        <w:tc>
          <w:tcPr>
            <w:tcW w:w="0" w:type="auto"/>
            <w:vAlign w:val="center"/>
            <w:hideMark/>
          </w:tcPr>
          <w:p w14:paraId="60CC7E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61A185E1" w14:textId="77777777">
        <w:trPr>
          <w:tblCellSpacing w:w="15" w:type="dxa"/>
        </w:trPr>
        <w:tc>
          <w:tcPr>
            <w:tcW w:w="0" w:type="auto"/>
            <w:vAlign w:val="center"/>
            <w:hideMark/>
          </w:tcPr>
          <w:p w14:paraId="0A711A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RTO / RPO — core tradicional</w:t>
            </w:r>
          </w:p>
        </w:tc>
        <w:tc>
          <w:tcPr>
            <w:tcW w:w="0" w:type="auto"/>
            <w:vAlign w:val="center"/>
            <w:hideMark/>
          </w:tcPr>
          <w:p w14:paraId="300769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 h / 15 min</w:t>
            </w:r>
          </w:p>
        </w:tc>
        <w:tc>
          <w:tcPr>
            <w:tcW w:w="0" w:type="auto"/>
            <w:vAlign w:val="center"/>
            <w:hideMark/>
          </w:tcPr>
          <w:p w14:paraId="276826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r>
      <w:tr w:rsidR="000444D1" w:rsidRPr="000444D1" w14:paraId="36B49B2F" w14:textId="77777777">
        <w:trPr>
          <w:tblCellSpacing w:w="15" w:type="dxa"/>
        </w:trPr>
        <w:tc>
          <w:tcPr>
            <w:tcW w:w="0" w:type="auto"/>
            <w:vAlign w:val="center"/>
            <w:hideMark/>
          </w:tcPr>
          <w:p w14:paraId="0C99F5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Modelo de despliegue</w:t>
            </w:r>
          </w:p>
        </w:tc>
        <w:tc>
          <w:tcPr>
            <w:tcW w:w="0" w:type="auto"/>
            <w:vAlign w:val="center"/>
            <w:hideMark/>
          </w:tcPr>
          <w:p w14:paraId="0964B9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Híbrido: core tradicional on-premise, capa de integración y digital en nube</w:t>
            </w:r>
          </w:p>
        </w:tc>
        <w:tc>
          <w:tcPr>
            <w:tcW w:w="0" w:type="auto"/>
            <w:vAlign w:val="center"/>
            <w:hideMark/>
          </w:tcPr>
          <w:p w14:paraId="781E1F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r>
    </w:tbl>
    <w:p w14:paraId="49B227C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Los objetivos de disponibilidad y RTO/RPO son </w:t>
      </w:r>
      <w:r w:rsidRPr="000444D1">
        <w:rPr>
          <w:rFonts w:ascii="Times New Roman" w:eastAsia="Times New Roman" w:hAnsi="Times New Roman" w:cs="Times New Roman"/>
          <w:b/>
          <w:bCs/>
          <w:kern w:val="0"/>
          <w14:ligatures w14:val="none"/>
        </w:rPr>
        <w:t>deliberadamente asimétricos</w:t>
      </w:r>
      <w:r w:rsidRPr="000444D1">
        <w:rPr>
          <w:rFonts w:ascii="Times New Roman" w:eastAsia="Times New Roman" w:hAnsi="Times New Roman" w:cs="Times New Roman"/>
          <w:kern w:val="0"/>
          <w14:ligatures w14:val="none"/>
        </w:rPr>
        <w:t xml:space="preserve"> entre el core tradicional y la capa digital. Esta asimetría reconoce que no es realista exigir 99.95 % a un sistema legado y </w:t>
      </w:r>
      <w:r w:rsidRPr="000444D1">
        <w:rPr>
          <w:rFonts w:ascii="Times New Roman" w:eastAsia="Times New Roman" w:hAnsi="Times New Roman" w:cs="Times New Roman"/>
          <w:b/>
          <w:bCs/>
          <w:kern w:val="0"/>
          <w14:ligatures w14:val="none"/>
        </w:rPr>
        <w:t>obliga al diseño a contemplar un modo de operación degradado</w:t>
      </w:r>
      <w:r w:rsidRPr="000444D1">
        <w:rPr>
          <w:rFonts w:ascii="Times New Roman" w:eastAsia="Times New Roman" w:hAnsi="Times New Roman" w:cs="Times New Roman"/>
          <w:kern w:val="0"/>
          <w14:ligatures w14:val="none"/>
        </w:rPr>
        <w:t xml:space="preserve"> (sección 15), en lugar de asumir disponibilidad total de todos los componentes.</w:t>
      </w:r>
    </w:p>
    <w:p w14:paraId="52ACBEA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2.3 Supuestos regulatorios y de cumplimiento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7"/>
        <w:gridCol w:w="541"/>
        <w:gridCol w:w="5082"/>
      </w:tblGrid>
      <w:tr w:rsidR="000444D1" w:rsidRPr="000444D1" w14:paraId="57CB85CB" w14:textId="77777777">
        <w:trPr>
          <w:tblHeader/>
          <w:tblCellSpacing w:w="15" w:type="dxa"/>
        </w:trPr>
        <w:tc>
          <w:tcPr>
            <w:tcW w:w="0" w:type="auto"/>
            <w:vAlign w:val="center"/>
            <w:hideMark/>
          </w:tcPr>
          <w:p w14:paraId="481A0F5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Supuesto</w:t>
            </w:r>
          </w:p>
        </w:tc>
        <w:tc>
          <w:tcPr>
            <w:tcW w:w="0" w:type="auto"/>
            <w:vAlign w:val="center"/>
            <w:hideMark/>
          </w:tcPr>
          <w:p w14:paraId="2ACA4E5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w:t>
            </w:r>
          </w:p>
        </w:tc>
        <w:tc>
          <w:tcPr>
            <w:tcW w:w="0" w:type="auto"/>
            <w:vAlign w:val="center"/>
            <w:hideMark/>
          </w:tcPr>
          <w:p w14:paraId="2E2B8CF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Consecuencia arquitectónica</w:t>
            </w:r>
          </w:p>
        </w:tc>
      </w:tr>
      <w:tr w:rsidR="000444D1" w:rsidRPr="000444D1" w14:paraId="0C6B38EC" w14:textId="77777777">
        <w:trPr>
          <w:tblCellSpacing w:w="15" w:type="dxa"/>
        </w:trPr>
        <w:tc>
          <w:tcPr>
            <w:tcW w:w="0" w:type="auto"/>
            <w:vAlign w:val="center"/>
            <w:hideMark/>
          </w:tcPr>
          <w:p w14:paraId="35D8A1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 la Ley Orgánica de Protección de Datos Personales (LOPDP, Ecuador)</w:t>
            </w:r>
          </w:p>
        </w:tc>
        <w:tc>
          <w:tcPr>
            <w:tcW w:w="0" w:type="auto"/>
            <w:vAlign w:val="center"/>
            <w:hideMark/>
          </w:tcPr>
          <w:p w14:paraId="52A838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1A7B6F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 minimización, derechos ARCO+, notificación de brechas, DPO</w:t>
            </w:r>
          </w:p>
        </w:tc>
      </w:tr>
      <w:tr w:rsidR="000444D1" w:rsidRPr="000444D1" w14:paraId="78BF62F1" w14:textId="77777777">
        <w:trPr>
          <w:tblCellSpacing w:w="15" w:type="dxa"/>
        </w:trPr>
        <w:tc>
          <w:tcPr>
            <w:tcW w:w="0" w:type="auto"/>
            <w:vAlign w:val="center"/>
            <w:hideMark/>
          </w:tcPr>
          <w:p w14:paraId="087360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 normativa del organismo de supervisión bancaria local</w:t>
            </w:r>
          </w:p>
        </w:tc>
        <w:tc>
          <w:tcPr>
            <w:tcW w:w="0" w:type="auto"/>
            <w:vAlign w:val="center"/>
            <w:hideMark/>
          </w:tcPr>
          <w:p w14:paraId="4D561C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7B9AB2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Trazabilidad de operaciones, reportería regulatoria, continuidad del negocio</w:t>
            </w:r>
          </w:p>
        </w:tc>
      </w:tr>
      <w:tr w:rsidR="000444D1" w:rsidRPr="000444D1" w14:paraId="014A3B58" w14:textId="77777777">
        <w:trPr>
          <w:tblCellSpacing w:w="15" w:type="dxa"/>
        </w:trPr>
        <w:tc>
          <w:tcPr>
            <w:tcW w:w="0" w:type="auto"/>
            <w:vAlign w:val="center"/>
            <w:hideMark/>
          </w:tcPr>
          <w:p w14:paraId="6143B4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Open Finance bajo consentimiento explícito, granular y revocable</w:t>
            </w:r>
          </w:p>
        </w:tc>
        <w:tc>
          <w:tcPr>
            <w:tcW w:w="0" w:type="auto"/>
            <w:vAlign w:val="center"/>
            <w:hideMark/>
          </w:tcPr>
          <w:p w14:paraId="7D6EBE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1C90FD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Componente dedicado de gestión de consentimientos</w:t>
            </w:r>
          </w:p>
        </w:tc>
      </w:tr>
      <w:tr w:rsidR="000444D1" w:rsidRPr="000444D1" w14:paraId="19CF12ED" w14:textId="77777777">
        <w:trPr>
          <w:tblCellSpacing w:w="15" w:type="dxa"/>
        </w:trPr>
        <w:tc>
          <w:tcPr>
            <w:tcW w:w="0" w:type="auto"/>
            <w:vAlign w:val="center"/>
            <w:hideMark/>
          </w:tcPr>
          <w:p w14:paraId="17D346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Perfil de seguridad de APIs externas tipo FAPI (OAuth 2.0 + mTLS)</w:t>
            </w:r>
          </w:p>
        </w:tc>
        <w:tc>
          <w:tcPr>
            <w:tcW w:w="0" w:type="auto"/>
            <w:vAlign w:val="center"/>
            <w:hideMark/>
          </w:tcPr>
          <w:p w14:paraId="1F3A26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14D711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Requisitos sobre el API Manager y el proveedor de identidad</w:t>
            </w:r>
          </w:p>
        </w:tc>
      </w:tr>
      <w:tr w:rsidR="000444D1" w:rsidRPr="000444D1" w14:paraId="1E0E925E" w14:textId="77777777">
        <w:trPr>
          <w:tblCellSpacing w:w="15" w:type="dxa"/>
        </w:trPr>
        <w:tc>
          <w:tcPr>
            <w:tcW w:w="0" w:type="auto"/>
            <w:vAlign w:val="center"/>
            <w:hideMark/>
          </w:tcPr>
          <w:p w14:paraId="3815D8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Residencia de datos personales en territorio nacional</w:t>
            </w:r>
          </w:p>
        </w:tc>
        <w:tc>
          <w:tcPr>
            <w:tcW w:w="0" w:type="auto"/>
            <w:vAlign w:val="center"/>
            <w:hideMark/>
          </w:tcPr>
          <w:p w14:paraId="392C7D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c>
          <w:tcPr>
            <w:tcW w:w="0" w:type="auto"/>
            <w:vAlign w:val="center"/>
            <w:hideMark/>
          </w:tcPr>
          <w:p w14:paraId="7AE77F6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Condiciona qué componentes pueden residir en nube pública y qué datos se tokenizan antes de salir del perímetro</w:t>
            </w:r>
          </w:p>
        </w:tc>
      </w:tr>
      <w:tr w:rsidR="000444D1" w:rsidRPr="000444D1" w14:paraId="70F819BE" w14:textId="77777777">
        <w:trPr>
          <w:tblCellSpacing w:w="15" w:type="dxa"/>
        </w:trPr>
        <w:tc>
          <w:tcPr>
            <w:tcW w:w="0" w:type="auto"/>
            <w:vAlign w:val="center"/>
            <w:hideMark/>
          </w:tcPr>
          <w:p w14:paraId="3011E9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Retención de trazas de auditoría: 7 años</w:t>
            </w:r>
          </w:p>
        </w:tc>
        <w:tc>
          <w:tcPr>
            <w:tcW w:w="0" w:type="auto"/>
            <w:vAlign w:val="center"/>
            <w:hideMark/>
          </w:tcPr>
          <w:p w14:paraId="3A434C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w:t>
            </w:r>
          </w:p>
        </w:tc>
        <w:tc>
          <w:tcPr>
            <w:tcW w:w="0" w:type="auto"/>
            <w:vAlign w:val="center"/>
            <w:hideMark/>
          </w:tcPr>
          <w:p w14:paraId="42DB452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Almacenamiento inmutable escalonado (hot/cold)</w:t>
            </w:r>
          </w:p>
        </w:tc>
      </w:tr>
    </w:tbl>
    <w:p w14:paraId="7900798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2.4 Supuestos organizacionales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4"/>
        <w:gridCol w:w="556"/>
      </w:tblGrid>
      <w:tr w:rsidR="000444D1" w:rsidRPr="000444D1" w14:paraId="741E2487" w14:textId="77777777">
        <w:trPr>
          <w:tblHeader/>
          <w:tblCellSpacing w:w="15" w:type="dxa"/>
        </w:trPr>
        <w:tc>
          <w:tcPr>
            <w:tcW w:w="0" w:type="auto"/>
            <w:vAlign w:val="center"/>
            <w:hideMark/>
          </w:tcPr>
          <w:p w14:paraId="2243BC8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Supuesto</w:t>
            </w:r>
          </w:p>
        </w:tc>
        <w:tc>
          <w:tcPr>
            <w:tcW w:w="0" w:type="auto"/>
            <w:vAlign w:val="center"/>
            <w:hideMark/>
          </w:tcPr>
          <w:p w14:paraId="1BA3C08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w:t>
            </w:r>
          </w:p>
        </w:tc>
      </w:tr>
      <w:tr w:rsidR="000444D1" w:rsidRPr="000444D1" w14:paraId="293CDB6D" w14:textId="77777777">
        <w:trPr>
          <w:tblCellSpacing w:w="15" w:type="dxa"/>
        </w:trPr>
        <w:tc>
          <w:tcPr>
            <w:tcW w:w="0" w:type="auto"/>
            <w:vAlign w:val="center"/>
            <w:hideMark/>
          </w:tcPr>
          <w:p w14:paraId="436C4A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Existe capacidad de equipos alineados a dominio (2–4 equipos), no un único equipo monolítico</w:t>
            </w:r>
          </w:p>
        </w:tc>
        <w:tc>
          <w:tcPr>
            <w:tcW w:w="0" w:type="auto"/>
            <w:vAlign w:val="center"/>
            <w:hideMark/>
          </w:tcPr>
          <w:p w14:paraId="2C6B3E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r>
      <w:tr w:rsidR="000444D1" w:rsidRPr="000444D1" w14:paraId="0AE92DE0" w14:textId="77777777">
        <w:trPr>
          <w:tblCellSpacing w:w="15" w:type="dxa"/>
        </w:trPr>
        <w:tc>
          <w:tcPr>
            <w:tcW w:w="0" w:type="auto"/>
            <w:vAlign w:val="center"/>
            <w:hideMark/>
          </w:tcPr>
          <w:p w14:paraId="1EBABC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Madurez de CI/CD e IaC incipiente pero existente; se contempla su fortalecimiento en el plan</w:t>
            </w:r>
          </w:p>
        </w:tc>
        <w:tc>
          <w:tcPr>
            <w:tcW w:w="0" w:type="auto"/>
            <w:vAlign w:val="center"/>
            <w:hideMark/>
          </w:tcPr>
          <w:p w14:paraId="7CD823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r>
      <w:tr w:rsidR="000444D1" w:rsidRPr="000444D1" w14:paraId="574F9B34" w14:textId="77777777">
        <w:trPr>
          <w:tblCellSpacing w:w="15" w:type="dxa"/>
        </w:trPr>
        <w:tc>
          <w:tcPr>
            <w:tcW w:w="0" w:type="auto"/>
            <w:vAlign w:val="center"/>
            <w:hideMark/>
          </w:tcPr>
          <w:p w14:paraId="2E91AE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Existe un proveedor de core digital ya seleccionado, integrable vía API REST</w:t>
            </w:r>
          </w:p>
        </w:tc>
        <w:tc>
          <w:tcPr>
            <w:tcW w:w="0" w:type="auto"/>
            <w:vAlign w:val="center"/>
            <w:hideMark/>
          </w:tcPr>
          <w:p w14:paraId="25D429A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t>
            </w:r>
          </w:p>
        </w:tc>
      </w:tr>
    </w:tbl>
    <w:p w14:paraId="2401ED10"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759E3E91">
          <v:rect id="Horizontal Line 489"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F04A1D"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3. Principios de arquitectura</w:t>
      </w:r>
    </w:p>
    <w:p w14:paraId="3558296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principios siguientes gobiernan todas las decisiones del documento. Cada decisión de la sección 4 se justifica contra ellos.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2221"/>
        <w:gridCol w:w="4110"/>
        <w:gridCol w:w="2580"/>
      </w:tblGrid>
      <w:tr w:rsidR="000444D1" w:rsidRPr="000444D1" w14:paraId="205CC297" w14:textId="77777777">
        <w:trPr>
          <w:tblHeader/>
          <w:tblCellSpacing w:w="15" w:type="dxa"/>
        </w:trPr>
        <w:tc>
          <w:tcPr>
            <w:tcW w:w="0" w:type="auto"/>
            <w:vAlign w:val="center"/>
            <w:hideMark/>
          </w:tcPr>
          <w:p w14:paraId="123A343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5DF1A78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Principio</w:t>
            </w:r>
          </w:p>
        </w:tc>
        <w:tc>
          <w:tcPr>
            <w:tcW w:w="0" w:type="auto"/>
            <w:vAlign w:val="center"/>
            <w:hideMark/>
          </w:tcPr>
          <w:p w14:paraId="1AB4AA7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Enunciado</w:t>
            </w:r>
          </w:p>
        </w:tc>
        <w:tc>
          <w:tcPr>
            <w:tcW w:w="0" w:type="auto"/>
            <w:vAlign w:val="center"/>
            <w:hideMark/>
          </w:tcPr>
          <w:p w14:paraId="1FFBF7C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Cómo se verifica en el diseño</w:t>
            </w:r>
          </w:p>
        </w:tc>
      </w:tr>
      <w:tr w:rsidR="000444D1" w:rsidRPr="000444D1" w14:paraId="197778F1" w14:textId="77777777">
        <w:trPr>
          <w:tblCellSpacing w:w="15" w:type="dxa"/>
        </w:trPr>
        <w:tc>
          <w:tcPr>
            <w:tcW w:w="0" w:type="auto"/>
            <w:vAlign w:val="center"/>
            <w:hideMark/>
          </w:tcPr>
          <w:p w14:paraId="21A1F1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P1</w:t>
            </w:r>
          </w:p>
        </w:tc>
        <w:tc>
          <w:tcPr>
            <w:tcW w:w="0" w:type="auto"/>
            <w:vAlign w:val="center"/>
            <w:hideMark/>
          </w:tcPr>
          <w:p w14:paraId="5CA848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Un dato, un dueño</w:t>
            </w:r>
          </w:p>
        </w:tc>
        <w:tc>
          <w:tcPr>
            <w:tcW w:w="0" w:type="auto"/>
            <w:vAlign w:val="center"/>
            <w:hideMark/>
          </w:tcPr>
          <w:p w14:paraId="3EF8D1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Cada entidad de negocio tiene exactamente un system of record. Ningún otro componente escribe sobre ella.</w:t>
            </w:r>
          </w:p>
        </w:tc>
        <w:tc>
          <w:tcPr>
            <w:tcW w:w="0" w:type="auto"/>
            <w:vAlign w:val="center"/>
            <w:hideMark/>
          </w:tcPr>
          <w:p w14:paraId="6A9CB9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Matriz de SoR (sección 5); ausencia de bases de datos compartidas</w:t>
            </w:r>
          </w:p>
        </w:tc>
      </w:tr>
      <w:tr w:rsidR="000444D1" w:rsidRPr="000444D1" w14:paraId="11933C2B" w14:textId="77777777">
        <w:trPr>
          <w:tblCellSpacing w:w="15" w:type="dxa"/>
        </w:trPr>
        <w:tc>
          <w:tcPr>
            <w:tcW w:w="0" w:type="auto"/>
            <w:vAlign w:val="center"/>
            <w:hideMark/>
          </w:tcPr>
          <w:p w14:paraId="176767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P2</w:t>
            </w:r>
          </w:p>
        </w:tc>
        <w:tc>
          <w:tcPr>
            <w:tcW w:w="0" w:type="auto"/>
            <w:vAlign w:val="center"/>
            <w:hideMark/>
          </w:tcPr>
          <w:p w14:paraId="74F5C6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Aislamiento del legado</w:t>
            </w:r>
          </w:p>
        </w:tc>
        <w:tc>
          <w:tcPr>
            <w:tcW w:w="0" w:type="auto"/>
            <w:vAlign w:val="center"/>
            <w:hideMark/>
          </w:tcPr>
          <w:p w14:paraId="13BC14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Ningún componente fuera de la capa anticorrupción conoce el modelo, los códigos ni los formatos del core tradicional.</w:t>
            </w:r>
          </w:p>
        </w:tc>
        <w:tc>
          <w:tcPr>
            <w:tcW w:w="0" w:type="auto"/>
            <w:vAlign w:val="center"/>
            <w:hideMark/>
          </w:tcPr>
          <w:p w14:paraId="3175DC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Puertos canónicos en el adaptador de core (sección 11)</w:t>
            </w:r>
          </w:p>
        </w:tc>
      </w:tr>
      <w:tr w:rsidR="000444D1" w:rsidRPr="000444D1" w14:paraId="3FB6F2CA" w14:textId="77777777">
        <w:trPr>
          <w:tblCellSpacing w:w="15" w:type="dxa"/>
        </w:trPr>
        <w:tc>
          <w:tcPr>
            <w:tcW w:w="0" w:type="auto"/>
            <w:vAlign w:val="center"/>
            <w:hideMark/>
          </w:tcPr>
          <w:p w14:paraId="5877FE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P3</w:t>
            </w:r>
          </w:p>
        </w:tc>
        <w:tc>
          <w:tcPr>
            <w:tcW w:w="0" w:type="auto"/>
            <w:vAlign w:val="center"/>
            <w:hideMark/>
          </w:tcPr>
          <w:p w14:paraId="0E68C6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Asíncrono por defecto, síncrono por excepción</w:t>
            </w:r>
          </w:p>
        </w:tc>
        <w:tc>
          <w:tcPr>
            <w:tcW w:w="0" w:type="auto"/>
            <w:vAlign w:val="center"/>
            <w:hideMark/>
          </w:tcPr>
          <w:p w14:paraId="649CEF0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comunicación síncrona se admite solo cuando el consumidor necesita el resultado para responder al usuario, y debe justificarse.</w:t>
            </w:r>
          </w:p>
        </w:tc>
        <w:tc>
          <w:tcPr>
            <w:tcW w:w="0" w:type="auto"/>
            <w:vAlign w:val="center"/>
            <w:hideMark/>
          </w:tcPr>
          <w:p w14:paraId="738B3D2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Inventario de invocaciones síncronas en la sección 10</w:t>
            </w:r>
          </w:p>
        </w:tc>
      </w:tr>
      <w:tr w:rsidR="000444D1" w:rsidRPr="000444D1" w14:paraId="4D1DE9E0" w14:textId="77777777">
        <w:trPr>
          <w:tblCellSpacing w:w="15" w:type="dxa"/>
        </w:trPr>
        <w:tc>
          <w:tcPr>
            <w:tcW w:w="0" w:type="auto"/>
            <w:vAlign w:val="center"/>
            <w:hideMark/>
          </w:tcPr>
          <w:p w14:paraId="688D0A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P4</w:t>
            </w:r>
          </w:p>
        </w:tc>
        <w:tc>
          <w:tcPr>
            <w:tcW w:w="0" w:type="auto"/>
            <w:vAlign w:val="center"/>
            <w:hideMark/>
          </w:tcPr>
          <w:p w14:paraId="05DB5F0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Contratos explícitos y versionados</w:t>
            </w:r>
          </w:p>
        </w:tc>
        <w:tc>
          <w:tcPr>
            <w:tcW w:w="0" w:type="auto"/>
            <w:vAlign w:val="center"/>
            <w:hideMark/>
          </w:tcPr>
          <w:p w14:paraId="4BDA51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interacción entre componentes ocurre a través de un contrato publicado y versionado (OpenAPI / AsyncAPI).</w:t>
            </w:r>
          </w:p>
        </w:tc>
        <w:tc>
          <w:tcPr>
            <w:tcW w:w="0" w:type="auto"/>
            <w:vAlign w:val="center"/>
            <w:hideMark/>
          </w:tcPr>
          <w:p w14:paraId="117B95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Catálogo de APIs y eventos (sección 12); gobierno (sección 16)</w:t>
            </w:r>
          </w:p>
        </w:tc>
      </w:tr>
      <w:tr w:rsidR="000444D1" w:rsidRPr="000444D1" w14:paraId="7F1D0E23" w14:textId="77777777">
        <w:trPr>
          <w:tblCellSpacing w:w="15" w:type="dxa"/>
        </w:trPr>
        <w:tc>
          <w:tcPr>
            <w:tcW w:w="0" w:type="auto"/>
            <w:vAlign w:val="center"/>
            <w:hideMark/>
          </w:tcPr>
          <w:p w14:paraId="0FA20F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P5</w:t>
            </w:r>
          </w:p>
        </w:tc>
        <w:tc>
          <w:tcPr>
            <w:tcW w:w="0" w:type="auto"/>
            <w:vAlign w:val="center"/>
            <w:hideMark/>
          </w:tcPr>
          <w:p w14:paraId="5729C1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gateway no decide</w:t>
            </w:r>
          </w:p>
        </w:tc>
        <w:tc>
          <w:tcPr>
            <w:tcW w:w="0" w:type="auto"/>
            <w:vAlign w:val="center"/>
            <w:hideMark/>
          </w:tcPr>
          <w:p w14:paraId="77F4AE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API Gateway realiza enrutamiento, autenticación, límites de tasa y transformación de protocolo. No contiene lógica de negocio.</w:t>
            </w:r>
          </w:p>
        </w:tc>
        <w:tc>
          <w:tcPr>
            <w:tcW w:w="0" w:type="auto"/>
            <w:vAlign w:val="center"/>
            <w:hideMark/>
          </w:tcPr>
          <w:p w14:paraId="00DED1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Sección 12; componentes del gateway (sección 8)</w:t>
            </w:r>
          </w:p>
        </w:tc>
      </w:tr>
      <w:tr w:rsidR="000444D1" w:rsidRPr="000444D1" w14:paraId="4EEB6E88" w14:textId="77777777">
        <w:trPr>
          <w:tblCellSpacing w:w="15" w:type="dxa"/>
        </w:trPr>
        <w:tc>
          <w:tcPr>
            <w:tcW w:w="0" w:type="auto"/>
            <w:vAlign w:val="center"/>
            <w:hideMark/>
          </w:tcPr>
          <w:p w14:paraId="18B450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P6</w:t>
            </w:r>
          </w:p>
        </w:tc>
        <w:tc>
          <w:tcPr>
            <w:tcW w:w="0" w:type="auto"/>
            <w:vAlign w:val="center"/>
            <w:hideMark/>
          </w:tcPr>
          <w:p w14:paraId="587580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Idempotencia y compensación</w:t>
            </w:r>
          </w:p>
        </w:tc>
        <w:tc>
          <w:tcPr>
            <w:tcW w:w="0" w:type="auto"/>
            <w:vAlign w:val="center"/>
            <w:hideMark/>
          </w:tcPr>
          <w:p w14:paraId="2ED855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operación de escritura es idempotente; toda transacción distribuida se resuelve por saga con compensación explícita.</w:t>
            </w:r>
          </w:p>
        </w:tc>
        <w:tc>
          <w:tcPr>
            <w:tcW w:w="0" w:type="auto"/>
            <w:vAlign w:val="center"/>
            <w:hideMark/>
          </w:tcPr>
          <w:p w14:paraId="3C4F72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Flujos de la sección 9; diseño de eventos (sección 12)</w:t>
            </w:r>
          </w:p>
        </w:tc>
      </w:tr>
      <w:tr w:rsidR="000444D1" w:rsidRPr="000444D1" w14:paraId="4EBB3E56" w14:textId="77777777">
        <w:trPr>
          <w:tblCellSpacing w:w="15" w:type="dxa"/>
        </w:trPr>
        <w:tc>
          <w:tcPr>
            <w:tcW w:w="0" w:type="auto"/>
            <w:vAlign w:val="center"/>
            <w:hideMark/>
          </w:tcPr>
          <w:p w14:paraId="38FC3E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P7</w:t>
            </w:r>
          </w:p>
        </w:tc>
        <w:tc>
          <w:tcPr>
            <w:tcW w:w="0" w:type="auto"/>
            <w:vAlign w:val="center"/>
            <w:hideMark/>
          </w:tcPr>
          <w:p w14:paraId="3FEE390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Degradación controlada</w:t>
            </w:r>
          </w:p>
        </w:tc>
        <w:tc>
          <w:tcPr>
            <w:tcW w:w="0" w:type="auto"/>
            <w:vAlign w:val="center"/>
            <w:hideMark/>
          </w:tcPr>
          <w:p w14:paraId="310FB3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indisponibilidad de un componente reduce funcionalidad, no la interrumpe. Cada dependencia define su comportamiento ante fallo.</w:t>
            </w:r>
          </w:p>
        </w:tc>
        <w:tc>
          <w:tcPr>
            <w:tcW w:w="0" w:type="auto"/>
            <w:vAlign w:val="center"/>
            <w:hideMark/>
          </w:tcPr>
          <w:p w14:paraId="425EED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Matriz de degradación (sección 15)</w:t>
            </w:r>
          </w:p>
        </w:tc>
      </w:tr>
      <w:tr w:rsidR="000444D1" w:rsidRPr="000444D1" w14:paraId="3400F25D" w14:textId="77777777">
        <w:trPr>
          <w:tblCellSpacing w:w="15" w:type="dxa"/>
        </w:trPr>
        <w:tc>
          <w:tcPr>
            <w:tcW w:w="0" w:type="auto"/>
            <w:vAlign w:val="center"/>
            <w:hideMark/>
          </w:tcPr>
          <w:p w14:paraId="00534A0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P8</w:t>
            </w:r>
          </w:p>
        </w:tc>
        <w:tc>
          <w:tcPr>
            <w:tcW w:w="0" w:type="auto"/>
            <w:vAlign w:val="center"/>
            <w:hideMark/>
          </w:tcPr>
          <w:p w14:paraId="164CA24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Portabilidad razonada</w:t>
            </w:r>
          </w:p>
        </w:tc>
        <w:tc>
          <w:tcPr>
            <w:tcW w:w="0" w:type="auto"/>
            <w:vAlign w:val="center"/>
            <w:hideMark/>
          </w:tcPr>
          <w:p w14:paraId="14FA31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diseño se expresa en capacidades genéricas; la elección de productos concretos se justifica y se documenta como sustituible.</w:t>
            </w:r>
          </w:p>
        </w:tc>
        <w:tc>
          <w:tcPr>
            <w:tcW w:w="0" w:type="auto"/>
            <w:vAlign w:val="center"/>
            <w:hideMark/>
          </w:tcPr>
          <w:p w14:paraId="5D3E24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Tabla capacidad → producto (sección 10)</w:t>
            </w:r>
          </w:p>
        </w:tc>
      </w:tr>
      <w:tr w:rsidR="000444D1" w:rsidRPr="000444D1" w14:paraId="1E90D97A" w14:textId="77777777">
        <w:trPr>
          <w:tblCellSpacing w:w="15" w:type="dxa"/>
        </w:trPr>
        <w:tc>
          <w:tcPr>
            <w:tcW w:w="0" w:type="auto"/>
            <w:vAlign w:val="center"/>
            <w:hideMark/>
          </w:tcPr>
          <w:p w14:paraId="235E9A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P9</w:t>
            </w:r>
          </w:p>
        </w:tc>
        <w:tc>
          <w:tcPr>
            <w:tcW w:w="0" w:type="auto"/>
            <w:vAlign w:val="center"/>
            <w:hideMark/>
          </w:tcPr>
          <w:p w14:paraId="7F523E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Seguridad en el diseño, no en la periferia</w:t>
            </w:r>
          </w:p>
        </w:tc>
        <w:tc>
          <w:tcPr>
            <w:tcW w:w="0" w:type="auto"/>
            <w:vAlign w:val="center"/>
            <w:hideMark/>
          </w:tcPr>
          <w:p w14:paraId="1134E6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Cada control de seguridad tiene una ubicación concreta en la arquitectura y una amenaza asociada.</w:t>
            </w:r>
          </w:p>
        </w:tc>
        <w:tc>
          <w:tcPr>
            <w:tcW w:w="0" w:type="auto"/>
            <w:vAlign w:val="center"/>
            <w:hideMark/>
          </w:tcPr>
          <w:p w14:paraId="3579D94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Tabla de controles (sección 13)</w:t>
            </w:r>
          </w:p>
        </w:tc>
      </w:tr>
      <w:tr w:rsidR="000444D1" w:rsidRPr="000444D1" w14:paraId="60C3D144" w14:textId="77777777">
        <w:trPr>
          <w:tblCellSpacing w:w="15" w:type="dxa"/>
        </w:trPr>
        <w:tc>
          <w:tcPr>
            <w:tcW w:w="0" w:type="auto"/>
            <w:vAlign w:val="center"/>
            <w:hideMark/>
          </w:tcPr>
          <w:p w14:paraId="35F3D3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P10</w:t>
            </w:r>
          </w:p>
        </w:tc>
        <w:tc>
          <w:tcPr>
            <w:tcW w:w="0" w:type="auto"/>
            <w:vAlign w:val="center"/>
            <w:hideMark/>
          </w:tcPr>
          <w:p w14:paraId="660B2E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Trazabilidad extremo a extremo</w:t>
            </w:r>
          </w:p>
        </w:tc>
        <w:tc>
          <w:tcPr>
            <w:tcW w:w="0" w:type="auto"/>
            <w:vAlign w:val="center"/>
            <w:hideMark/>
          </w:tcPr>
          <w:p w14:paraId="5611D0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operación de negocio es reconstruible a partir de su identificador de correlación.</w:t>
            </w:r>
          </w:p>
        </w:tc>
        <w:tc>
          <w:tcPr>
            <w:tcW w:w="0" w:type="auto"/>
            <w:vAlign w:val="center"/>
            <w:hideMark/>
          </w:tcPr>
          <w:p w14:paraId="048797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Modelo de observabilidad (sección 18)</w:t>
            </w:r>
          </w:p>
        </w:tc>
      </w:tr>
    </w:tbl>
    <w:p w14:paraId="5340004F"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3.1 Aplicación de SOLID a nivel de componentes</w:t>
      </w:r>
    </w:p>
    <w:p w14:paraId="5958B20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Aunque no se entrega código fuente, los principios SOLID se manifiestan en los límites de los componentes propuestos: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5844"/>
        <w:gridCol w:w="1261"/>
      </w:tblGrid>
      <w:tr w:rsidR="000444D1" w:rsidRPr="000444D1" w14:paraId="0B94C8BF" w14:textId="77777777">
        <w:trPr>
          <w:tblHeader/>
          <w:tblCellSpacing w:w="15" w:type="dxa"/>
        </w:trPr>
        <w:tc>
          <w:tcPr>
            <w:tcW w:w="0" w:type="auto"/>
            <w:vAlign w:val="center"/>
            <w:hideMark/>
          </w:tcPr>
          <w:p w14:paraId="3AB2ED3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Principio</w:t>
            </w:r>
          </w:p>
        </w:tc>
        <w:tc>
          <w:tcPr>
            <w:tcW w:w="0" w:type="auto"/>
            <w:vAlign w:val="center"/>
            <w:hideMark/>
          </w:tcPr>
          <w:p w14:paraId="7D43510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Manifestación arquitectónica</w:t>
            </w:r>
          </w:p>
        </w:tc>
        <w:tc>
          <w:tcPr>
            <w:tcW w:w="0" w:type="auto"/>
            <w:vAlign w:val="center"/>
            <w:hideMark/>
          </w:tcPr>
          <w:p w14:paraId="1A88C25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Dónde</w:t>
            </w:r>
          </w:p>
        </w:tc>
      </w:tr>
      <w:tr w:rsidR="000444D1" w:rsidRPr="000444D1" w14:paraId="71022F2B" w14:textId="77777777">
        <w:trPr>
          <w:tblCellSpacing w:w="15" w:type="dxa"/>
        </w:trPr>
        <w:tc>
          <w:tcPr>
            <w:tcW w:w="0" w:type="auto"/>
            <w:vAlign w:val="center"/>
            <w:hideMark/>
          </w:tcPr>
          <w:p w14:paraId="65E5F6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SRP</w:t>
            </w:r>
            <w:r w:rsidRPr="000444D1">
              <w:rPr>
                <w:rFonts w:ascii="Times New Roman" w:eastAsia="Times New Roman" w:hAnsi="Times New Roman" w:cs="Times New Roman"/>
                <w:kern w:val="0"/>
                <w14:ligatures w14:val="none"/>
              </w:rPr>
              <w:t xml:space="preserve"> — Responsabilidad única</w:t>
            </w:r>
          </w:p>
        </w:tc>
        <w:tc>
          <w:tcPr>
            <w:tcW w:w="0" w:type="auto"/>
            <w:vAlign w:val="center"/>
            <w:hideMark/>
          </w:tcPr>
          <w:p w14:paraId="423D68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adaptador por sistema externo; un servicio por Service Domain BIAN, con una única razón de cambio</w:t>
            </w:r>
          </w:p>
        </w:tc>
        <w:tc>
          <w:tcPr>
            <w:tcW w:w="0" w:type="auto"/>
            <w:vAlign w:val="center"/>
            <w:hideMark/>
          </w:tcPr>
          <w:p w14:paraId="48EAC1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Secciones 7 y 8</w:t>
            </w:r>
          </w:p>
        </w:tc>
      </w:tr>
      <w:tr w:rsidR="000444D1" w:rsidRPr="000444D1" w14:paraId="777C077A" w14:textId="77777777">
        <w:trPr>
          <w:tblCellSpacing w:w="15" w:type="dxa"/>
        </w:trPr>
        <w:tc>
          <w:tcPr>
            <w:tcW w:w="0" w:type="auto"/>
            <w:vAlign w:val="center"/>
            <w:hideMark/>
          </w:tcPr>
          <w:p w14:paraId="7BD871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OCP</w:t>
            </w:r>
            <w:r w:rsidRPr="000444D1">
              <w:rPr>
                <w:rFonts w:ascii="Times New Roman" w:eastAsia="Times New Roman" w:hAnsi="Times New Roman" w:cs="Times New Roman"/>
                <w:kern w:val="0"/>
                <w14:ligatures w14:val="none"/>
              </w:rPr>
              <w:t xml:space="preserve"> — Abierto/cerrado</w:t>
            </w:r>
          </w:p>
        </w:tc>
        <w:tc>
          <w:tcPr>
            <w:tcW w:w="0" w:type="auto"/>
            <w:vAlign w:val="center"/>
            <w:hideMark/>
          </w:tcPr>
          <w:p w14:paraId="3989A5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Nuevos consumidores se integran suscribiéndose a eventos existentes, sin modificar al productor</w:t>
            </w:r>
          </w:p>
        </w:tc>
        <w:tc>
          <w:tcPr>
            <w:tcW w:w="0" w:type="auto"/>
            <w:vAlign w:val="center"/>
            <w:hideMark/>
          </w:tcPr>
          <w:p w14:paraId="70A14F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Sección 12</w:t>
            </w:r>
          </w:p>
        </w:tc>
      </w:tr>
      <w:tr w:rsidR="000444D1" w:rsidRPr="000444D1" w14:paraId="64232325" w14:textId="77777777">
        <w:trPr>
          <w:tblCellSpacing w:w="15" w:type="dxa"/>
        </w:trPr>
        <w:tc>
          <w:tcPr>
            <w:tcW w:w="0" w:type="auto"/>
            <w:vAlign w:val="center"/>
            <w:hideMark/>
          </w:tcPr>
          <w:p w14:paraId="6C37D8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LSP</w:t>
            </w:r>
            <w:r w:rsidRPr="000444D1">
              <w:rPr>
                <w:rFonts w:ascii="Times New Roman" w:eastAsia="Times New Roman" w:hAnsi="Times New Roman" w:cs="Times New Roman"/>
                <w:kern w:val="0"/>
                <w14:ligatures w14:val="none"/>
              </w:rPr>
              <w:t xml:space="preserve"> — Sustitución</w:t>
            </w:r>
          </w:p>
        </w:tc>
        <w:tc>
          <w:tcPr>
            <w:tcW w:w="0" w:type="auto"/>
            <w:vAlign w:val="center"/>
            <w:hideMark/>
          </w:tcPr>
          <w:p w14:paraId="356705A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adaptadores de core (tradicional y digital) implementan el mismo puerto canónico y son intercambiables desde la perspectiva del orquestador</w:t>
            </w:r>
          </w:p>
        </w:tc>
        <w:tc>
          <w:tcPr>
            <w:tcW w:w="0" w:type="auto"/>
            <w:vAlign w:val="center"/>
            <w:hideMark/>
          </w:tcPr>
          <w:p w14:paraId="4C51407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Sección 11</w:t>
            </w:r>
          </w:p>
        </w:tc>
      </w:tr>
      <w:tr w:rsidR="000444D1" w:rsidRPr="000444D1" w14:paraId="08F26BD9" w14:textId="77777777">
        <w:trPr>
          <w:tblCellSpacing w:w="15" w:type="dxa"/>
        </w:trPr>
        <w:tc>
          <w:tcPr>
            <w:tcW w:w="0" w:type="auto"/>
            <w:vAlign w:val="center"/>
            <w:hideMark/>
          </w:tcPr>
          <w:p w14:paraId="33081D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ISP</w:t>
            </w:r>
            <w:r w:rsidRPr="000444D1">
              <w:rPr>
                <w:rFonts w:ascii="Times New Roman" w:eastAsia="Times New Roman" w:hAnsi="Times New Roman" w:cs="Times New Roman"/>
                <w:kern w:val="0"/>
                <w14:ligatures w14:val="none"/>
              </w:rPr>
              <w:t xml:space="preserve"> — Segregación de interfaces</w:t>
            </w:r>
          </w:p>
        </w:tc>
        <w:tc>
          <w:tcPr>
            <w:tcW w:w="0" w:type="auto"/>
            <w:vAlign w:val="center"/>
            <w:hideMark/>
          </w:tcPr>
          <w:p w14:paraId="595A06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Interfaces específicas por consumidor (BFF por canal) en lugar de una API única y sobrecargada</w:t>
            </w:r>
          </w:p>
        </w:tc>
        <w:tc>
          <w:tcPr>
            <w:tcW w:w="0" w:type="auto"/>
            <w:vAlign w:val="center"/>
            <w:hideMark/>
          </w:tcPr>
          <w:p w14:paraId="6DA5B3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Sección 12</w:t>
            </w:r>
          </w:p>
        </w:tc>
      </w:tr>
      <w:tr w:rsidR="000444D1" w:rsidRPr="000444D1" w14:paraId="51302C3C" w14:textId="77777777">
        <w:trPr>
          <w:tblCellSpacing w:w="15" w:type="dxa"/>
        </w:trPr>
        <w:tc>
          <w:tcPr>
            <w:tcW w:w="0" w:type="auto"/>
            <w:vAlign w:val="center"/>
            <w:hideMark/>
          </w:tcPr>
          <w:p w14:paraId="572024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DIP</w:t>
            </w:r>
            <w:r w:rsidRPr="000444D1">
              <w:rPr>
                <w:rFonts w:ascii="Times New Roman" w:eastAsia="Times New Roman" w:hAnsi="Times New Roman" w:cs="Times New Roman"/>
                <w:kern w:val="0"/>
                <w14:ligatures w14:val="none"/>
              </w:rPr>
              <w:t xml:space="preserve"> — Inversión de dependencias</w:t>
            </w:r>
          </w:p>
        </w:tc>
        <w:tc>
          <w:tcPr>
            <w:tcW w:w="0" w:type="auto"/>
            <w:vAlign w:val="center"/>
            <w:hideMark/>
          </w:tcPr>
          <w:p w14:paraId="072AAC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servicios de dominio dependen de puertos abstractos; los adaptadores de infraestructura son los detalles</w:t>
            </w:r>
          </w:p>
        </w:tc>
        <w:tc>
          <w:tcPr>
            <w:tcW w:w="0" w:type="auto"/>
            <w:vAlign w:val="center"/>
            <w:hideMark/>
          </w:tcPr>
          <w:p w14:paraId="0B22CD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Secciones 8 y 11</w:t>
            </w:r>
          </w:p>
        </w:tc>
      </w:tr>
    </w:tbl>
    <w:p w14:paraId="401DDEE0"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069DF0CC">
          <v:rect id="Horizontal Line 490"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FC127D"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4. Decisiones de arquitectura (ADR)</w:t>
      </w:r>
    </w:p>
    <w:p w14:paraId="655E1A7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Formato reducido: contexto, decisión, alternativas descartadas, consecuencias.</w:t>
      </w:r>
    </w:p>
    <w:p w14:paraId="6629B432"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ADR-001 — Estrategia de coexistencia multicore: reparto por producto</w:t>
      </w:r>
    </w:p>
    <w:p w14:paraId="68F2DD1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Contexto.</w:t>
      </w:r>
      <w:r w:rsidRPr="000444D1">
        <w:rPr>
          <w:rFonts w:ascii="Times New Roman" w:eastAsia="Times New Roman" w:hAnsi="Times New Roman" w:cs="Times New Roman"/>
          <w:kern w:val="0"/>
          <w14:ligatures w14:val="none"/>
        </w:rPr>
        <w:t xml:space="preserve"> El programa requiere integrar el core tradicional existente con un nuevo core digital. Ambos son sistemas de registro transaccionales y deben coexistir durante un horizonte plurianual. Es necesario un criterio determinista que establezca, para cualquier operación, cuál de los dos cores es la fuente de verdad.</w:t>
      </w:r>
    </w:p>
    <w:p w14:paraId="4819CAD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Decisión.</w:t>
      </w:r>
      <w:r w:rsidRPr="000444D1">
        <w:rPr>
          <w:rFonts w:ascii="Times New Roman" w:eastAsia="Times New Roman" w:hAnsi="Times New Roman" w:cs="Times New Roman"/>
          <w:kern w:val="0"/>
          <w14:ligatures w14:val="none"/>
        </w:rPr>
        <w:t xml:space="preserve"> El reparto se realiza </w:t>
      </w:r>
      <w:r w:rsidRPr="000444D1">
        <w:rPr>
          <w:rFonts w:ascii="Times New Roman" w:eastAsia="Times New Roman" w:hAnsi="Times New Roman" w:cs="Times New Roman"/>
          <w:b/>
          <w:bCs/>
          <w:kern w:val="0"/>
          <w14:ligatures w14:val="none"/>
        </w:rPr>
        <w:t>por producto</w:t>
      </w:r>
      <w:r w:rsidRPr="000444D1">
        <w:rPr>
          <w:rFonts w:ascii="Times New Roman" w:eastAsia="Times New Roman" w:hAnsi="Times New Roman" w:cs="Times New Roman"/>
          <w:kern w:val="0"/>
          <w14:ligatures w14:val="none"/>
        </w:rPr>
        <w:t xml:space="preserve">. El core digital es el system of record de todo producto nuevo (cuenta digital, billetera, crédito digital preaprobado); el core tradicional conserva la propiedad de los productos existentes (cuenta corriente y de ahorros tradicionales, crédito comercial, depósitos a plazo, tarjetas). La resolución del SoR se realiza consultando el </w:t>
      </w:r>
      <w:r w:rsidRPr="000444D1">
        <w:rPr>
          <w:rFonts w:ascii="Times New Roman" w:eastAsia="Times New Roman" w:hAnsi="Times New Roman" w:cs="Times New Roman"/>
          <w:b/>
          <w:bCs/>
          <w:kern w:val="0"/>
          <w14:ligatures w14:val="none"/>
        </w:rPr>
        <w:t>Product Directory</w:t>
      </w:r>
      <w:r w:rsidRPr="000444D1">
        <w:rPr>
          <w:rFonts w:ascii="Times New Roman" w:eastAsia="Times New Roman" w:hAnsi="Times New Roman" w:cs="Times New Roman"/>
          <w:kern w:val="0"/>
          <w14:ligatures w14:val="none"/>
        </w:rPr>
        <w:t xml:space="preserve"> (Service Domain BIAN), que mantiene la relación producto → core propietario.</w:t>
      </w:r>
    </w:p>
    <w:p w14:paraId="2088BA5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Los datos maestros de cliente </w:t>
      </w:r>
      <w:r w:rsidRPr="000444D1">
        <w:rPr>
          <w:rFonts w:ascii="Times New Roman" w:eastAsia="Times New Roman" w:hAnsi="Times New Roman" w:cs="Times New Roman"/>
          <w:b/>
          <w:bCs/>
          <w:kern w:val="0"/>
          <w14:ligatures w14:val="none"/>
        </w:rPr>
        <w:t>no se duplican</w:t>
      </w:r>
      <w:r w:rsidRPr="000444D1">
        <w:rPr>
          <w:rFonts w:ascii="Times New Roman" w:eastAsia="Times New Roman" w:hAnsi="Times New Roman" w:cs="Times New Roman"/>
          <w:kern w:val="0"/>
          <w14:ligatures w14:val="none"/>
        </w:rPr>
        <w:t xml:space="preserve">: durante las primeras fases el core tradicional permanece como SoR de la identidad del cliente, aislado tras un servicio de </w:t>
      </w:r>
      <w:r w:rsidRPr="000444D1">
        <w:rPr>
          <w:rFonts w:ascii="Times New Roman" w:eastAsia="Times New Roman" w:hAnsi="Times New Roman" w:cs="Times New Roman"/>
          <w:i/>
          <w:iCs/>
          <w:kern w:val="0"/>
          <w14:ligatures w14:val="none"/>
        </w:rPr>
        <w:t>Party Reference Data</w:t>
      </w:r>
      <w:r w:rsidRPr="000444D1">
        <w:rPr>
          <w:rFonts w:ascii="Times New Roman" w:eastAsia="Times New Roman" w:hAnsi="Times New Roman" w:cs="Times New Roman"/>
          <w:kern w:val="0"/>
          <w14:ligatures w14:val="none"/>
        </w:rPr>
        <w:t xml:space="preserve"> que lo expone en modelo canónico y publica sus cambios como eventos. Esto evita el problema de sincronización bidireccional de clientes, que es la principal fuente de inconsistencia en programas multicore.</w:t>
      </w:r>
    </w:p>
    <w:p w14:paraId="3861293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Alternativas descartadas.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5928"/>
      </w:tblGrid>
      <w:tr w:rsidR="000444D1" w:rsidRPr="000444D1" w14:paraId="1EA0F89E" w14:textId="77777777">
        <w:trPr>
          <w:tblHeader/>
          <w:tblCellSpacing w:w="15" w:type="dxa"/>
        </w:trPr>
        <w:tc>
          <w:tcPr>
            <w:tcW w:w="0" w:type="auto"/>
            <w:vAlign w:val="center"/>
            <w:hideMark/>
          </w:tcPr>
          <w:p w14:paraId="02780B9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w:t>
            </w:r>
          </w:p>
        </w:tc>
        <w:tc>
          <w:tcPr>
            <w:tcW w:w="0" w:type="auto"/>
            <w:vAlign w:val="center"/>
            <w:hideMark/>
          </w:tcPr>
          <w:p w14:paraId="5262429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01FFBFBC" w14:textId="77777777">
        <w:trPr>
          <w:tblCellSpacing w:w="15" w:type="dxa"/>
        </w:trPr>
        <w:tc>
          <w:tcPr>
            <w:tcW w:w="0" w:type="auto"/>
            <w:vAlign w:val="center"/>
            <w:hideMark/>
          </w:tcPr>
          <w:p w14:paraId="206E8F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Reparto </w:t>
            </w:r>
            <w:r w:rsidRPr="000444D1">
              <w:rPr>
                <w:rFonts w:ascii="Times New Roman" w:eastAsia="Times New Roman" w:hAnsi="Times New Roman" w:cs="Times New Roman"/>
                <w:b/>
                <w:bCs/>
                <w:kern w:val="0"/>
                <w14:ligatures w14:val="none"/>
              </w:rPr>
              <w:t>por segmento de cliente</w:t>
            </w:r>
            <w:r w:rsidRPr="000444D1">
              <w:rPr>
                <w:rFonts w:ascii="Times New Roman" w:eastAsia="Times New Roman" w:hAnsi="Times New Roman" w:cs="Times New Roman"/>
                <w:kern w:val="0"/>
                <w14:ligatures w14:val="none"/>
              </w:rPr>
              <w:t xml:space="preserve"> (migrar carteras completas)</w:t>
            </w:r>
          </w:p>
        </w:tc>
        <w:tc>
          <w:tcPr>
            <w:tcW w:w="0" w:type="auto"/>
            <w:vAlign w:val="center"/>
            <w:hideMark/>
          </w:tcPr>
          <w:p w14:paraId="4C8413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Obliga a duplicar y sincronizar los datos maestros de cliente entre ambos cores; el rollback de una cohorte migrada es costoso y visible para el cliente final; el riesgo se concentra en eventos grandes y poco frecuentes</w:t>
            </w:r>
          </w:p>
        </w:tc>
      </w:tr>
      <w:tr w:rsidR="000444D1" w:rsidRPr="000444D1" w14:paraId="75496120" w14:textId="77777777">
        <w:trPr>
          <w:tblCellSpacing w:w="15" w:type="dxa"/>
        </w:trPr>
        <w:tc>
          <w:tcPr>
            <w:tcW w:w="0" w:type="auto"/>
            <w:vAlign w:val="center"/>
            <w:hideMark/>
          </w:tcPr>
          <w:p w14:paraId="4B6B35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Reparto </w:t>
            </w:r>
            <w:r w:rsidRPr="000444D1">
              <w:rPr>
                <w:rFonts w:ascii="Times New Roman" w:eastAsia="Times New Roman" w:hAnsi="Times New Roman" w:cs="Times New Roman"/>
                <w:b/>
                <w:bCs/>
                <w:kern w:val="0"/>
                <w14:ligatures w14:val="none"/>
              </w:rPr>
              <w:t>por tipo de operación</w:t>
            </w:r>
            <w:r w:rsidRPr="000444D1">
              <w:rPr>
                <w:rFonts w:ascii="Times New Roman" w:eastAsia="Times New Roman" w:hAnsi="Times New Roman" w:cs="Times New Roman"/>
                <w:kern w:val="0"/>
                <w14:ligatures w14:val="none"/>
              </w:rPr>
              <w:t xml:space="preserve"> (el core digital atiende la operativa, el </w:t>
            </w:r>
            <w:r w:rsidRPr="000444D1">
              <w:rPr>
                <w:rFonts w:ascii="Times New Roman" w:eastAsia="Times New Roman" w:hAnsi="Times New Roman" w:cs="Times New Roman"/>
                <w:kern w:val="0"/>
                <w14:ligatures w14:val="none"/>
              </w:rPr>
              <w:lastRenderedPageBreak/>
              <w:t>tradicional conserva la contabilidad)</w:t>
            </w:r>
          </w:p>
        </w:tc>
        <w:tc>
          <w:tcPr>
            <w:tcW w:w="0" w:type="auto"/>
            <w:vAlign w:val="center"/>
            <w:hideMark/>
          </w:tcPr>
          <w:p w14:paraId="6AE52F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Separa la operación de su registro contable, generando ownership ambiguo del saldo y reconciliación permanente. Viola el principio P1</w:t>
            </w:r>
          </w:p>
        </w:tc>
      </w:tr>
    </w:tbl>
    <w:p w14:paraId="1B1FFD2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Consecuencias.</w:t>
      </w:r>
    </w:p>
    <w:p w14:paraId="353F12F0" w14:textId="77777777" w:rsidR="000444D1" w:rsidRPr="000444D1" w:rsidRDefault="000444D1" w:rsidP="00C6468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enrutamiento es determinista, auditable y no requiere estado de sesión.</w:t>
      </w:r>
    </w:p>
    <w:p w14:paraId="4FC65841" w14:textId="77777777" w:rsidR="000444D1" w:rsidRPr="000444D1" w:rsidRDefault="000444D1" w:rsidP="00C6468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posición consolidada del cliente exige composición desde ambos cores, lo que justifica el modelo de lectura del ADR-002.</w:t>
      </w:r>
    </w:p>
    <w:p w14:paraId="07349201" w14:textId="77777777" w:rsidR="000444D1" w:rsidRPr="000444D1" w:rsidRDefault="000444D1" w:rsidP="00C6468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migración se descompone naturalmente en fases por producto, cada una con rollback acotado (sección 17).</w:t>
      </w:r>
    </w:p>
    <w:p w14:paraId="06D1E26B" w14:textId="77777777" w:rsidR="000444D1" w:rsidRPr="000444D1" w:rsidRDefault="000444D1" w:rsidP="00C6468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mismo cliente puede tener productos en ambos cores simultáneamente; esta condición es permanente durante el programa, no transitoria, y el diseño debe tratarla como caso normal.</w:t>
      </w:r>
    </w:p>
    <w:p w14:paraId="3CE7E33C"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76092B3B">
          <v:rect id="Horizontal Line 491"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054FC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ADR-002 — El core tradicional no participa en el camino crítico de lectura</w:t>
      </w:r>
    </w:p>
    <w:p w14:paraId="11D1B2F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Contexto.</w:t>
      </w:r>
      <w:r w:rsidRPr="000444D1">
        <w:rPr>
          <w:rFonts w:ascii="Times New Roman" w:eastAsia="Times New Roman" w:hAnsi="Times New Roman" w:cs="Times New Roman"/>
          <w:kern w:val="0"/>
          <w14:ligatures w14:val="none"/>
        </w:rPr>
        <w:t xml:space="preserve"> Los canales digitales tienen objetivos de latencia (p95 &lt; 500 ms en consulta) y disponibilidad (99.95 %) superiores a los que el core tradicional puede sostener (99.5 %, con ventana de cierre nocturno). Además, cada consulta al core tiene un costo de cómputo no trivial en la plataforma legada.</w:t>
      </w:r>
    </w:p>
    <w:p w14:paraId="34CAD63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Decisión.</w:t>
      </w:r>
      <w:r w:rsidRPr="000444D1">
        <w:rPr>
          <w:rFonts w:ascii="Times New Roman" w:eastAsia="Times New Roman" w:hAnsi="Times New Roman" w:cs="Times New Roman"/>
          <w:kern w:val="0"/>
          <w14:ligatures w14:val="none"/>
        </w:rPr>
        <w:t xml:space="preserve"> Las </w:t>
      </w:r>
      <w:r w:rsidRPr="000444D1">
        <w:rPr>
          <w:rFonts w:ascii="Times New Roman" w:eastAsia="Times New Roman" w:hAnsi="Times New Roman" w:cs="Times New Roman"/>
          <w:b/>
          <w:bCs/>
          <w:kern w:val="0"/>
          <w14:ligatures w14:val="none"/>
        </w:rPr>
        <w:t>lecturas interactivas se sirven desde un modelo de lectura</w:t>
      </w:r>
      <w:r w:rsidRPr="000444D1">
        <w:rPr>
          <w:rFonts w:ascii="Times New Roman" w:eastAsia="Times New Roman" w:hAnsi="Times New Roman" w:cs="Times New Roman"/>
          <w:kern w:val="0"/>
          <w14:ligatures w14:val="none"/>
        </w:rPr>
        <w:t xml:space="preserve"> (posición consolidada) mantenido por eventos, no desde el core. Las </w:t>
      </w:r>
      <w:r w:rsidRPr="000444D1">
        <w:rPr>
          <w:rFonts w:ascii="Times New Roman" w:eastAsia="Times New Roman" w:hAnsi="Times New Roman" w:cs="Times New Roman"/>
          <w:b/>
          <w:bCs/>
          <w:kern w:val="0"/>
          <w14:ligatures w14:val="none"/>
        </w:rPr>
        <w:t>escrituras sí se dirigen al core propietario</w:t>
      </w:r>
      <w:r w:rsidRPr="000444D1">
        <w:rPr>
          <w:rFonts w:ascii="Times New Roman" w:eastAsia="Times New Roman" w:hAnsi="Times New Roman" w:cs="Times New Roman"/>
          <w:kern w:val="0"/>
          <w14:ligatures w14:val="none"/>
        </w:rPr>
        <w:t xml:space="preserve"> de forma síncrona, porque es la fuente de verdad contable y quien ejecuta la validación autoritativa de fondos.</w:t>
      </w:r>
    </w:p>
    <w:p w14:paraId="6488CFD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distinción es deliberada y resuelve el riesgo clásico de este patrón: </w:t>
      </w:r>
      <w:r w:rsidRPr="000444D1">
        <w:rPr>
          <w:rFonts w:ascii="Times New Roman" w:eastAsia="Times New Roman" w:hAnsi="Times New Roman" w:cs="Times New Roman"/>
          <w:b/>
          <w:bCs/>
          <w:kern w:val="0"/>
          <w14:ligatures w14:val="none"/>
        </w:rPr>
        <w:t>el modelo de lectura nunca autoriza una operación</w:t>
      </w:r>
      <w:r w:rsidRPr="000444D1">
        <w:rPr>
          <w:rFonts w:ascii="Times New Roman" w:eastAsia="Times New Roman" w:hAnsi="Times New Roman" w:cs="Times New Roman"/>
          <w:kern w:val="0"/>
          <w14:ligatures w14:val="none"/>
        </w:rPr>
        <w:t>. Una transferencia no se aprueba porque el read model muestre saldo suficiente; se aprueba porque el core lo confirma en el momento del débito. El read model informa, el core decide. Los saldos expuestos a los canales incluyen su marca de tiempo de actualización.</w:t>
      </w:r>
    </w:p>
    <w:p w14:paraId="6F99B54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Alternativas descartadas.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7028"/>
      </w:tblGrid>
      <w:tr w:rsidR="000444D1" w:rsidRPr="000444D1" w14:paraId="0311EF93" w14:textId="77777777">
        <w:trPr>
          <w:tblHeader/>
          <w:tblCellSpacing w:w="15" w:type="dxa"/>
        </w:trPr>
        <w:tc>
          <w:tcPr>
            <w:tcW w:w="0" w:type="auto"/>
            <w:vAlign w:val="center"/>
            <w:hideMark/>
          </w:tcPr>
          <w:p w14:paraId="76CD618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w:t>
            </w:r>
          </w:p>
        </w:tc>
        <w:tc>
          <w:tcPr>
            <w:tcW w:w="0" w:type="auto"/>
            <w:vAlign w:val="center"/>
            <w:hideMark/>
          </w:tcPr>
          <w:p w14:paraId="4022688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732CBA5B" w14:textId="77777777">
        <w:trPr>
          <w:tblCellSpacing w:w="15" w:type="dxa"/>
        </w:trPr>
        <w:tc>
          <w:tcPr>
            <w:tcW w:w="0" w:type="auto"/>
            <w:vAlign w:val="center"/>
            <w:hideMark/>
          </w:tcPr>
          <w:p w14:paraId="622081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directa al core en cada lectura</w:t>
            </w:r>
          </w:p>
        </w:tc>
        <w:tc>
          <w:tcPr>
            <w:tcW w:w="0" w:type="auto"/>
            <w:vAlign w:val="center"/>
            <w:hideMark/>
          </w:tcPr>
          <w:p w14:paraId="141B37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Incumple latencia y disponibilidad objetivo; traslada la ventana de cierre al cliente final; carga innecesaria sobre la plataforma legada</w:t>
            </w:r>
          </w:p>
        </w:tc>
      </w:tr>
      <w:tr w:rsidR="000444D1" w:rsidRPr="000444D1" w14:paraId="09061ECF" w14:textId="77777777">
        <w:trPr>
          <w:tblCellSpacing w:w="15" w:type="dxa"/>
        </w:trPr>
        <w:tc>
          <w:tcPr>
            <w:tcW w:w="0" w:type="auto"/>
            <w:vAlign w:val="center"/>
            <w:hideMark/>
          </w:tcPr>
          <w:p w14:paraId="15F630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Caché de respuestas del core</w:t>
            </w:r>
          </w:p>
        </w:tc>
        <w:tc>
          <w:tcPr>
            <w:tcW w:w="0" w:type="auto"/>
            <w:vAlign w:val="center"/>
            <w:hideMark/>
          </w:tcPr>
          <w:p w14:paraId="20A585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resuelve la indisponibilidad durante el cierre nocturno ni la invalidación ante cambios originados fuera de los canales digitales</w:t>
            </w:r>
          </w:p>
        </w:tc>
      </w:tr>
      <w:tr w:rsidR="000444D1" w:rsidRPr="000444D1" w14:paraId="452EF54D" w14:textId="77777777">
        <w:trPr>
          <w:tblCellSpacing w:w="15" w:type="dxa"/>
        </w:trPr>
        <w:tc>
          <w:tcPr>
            <w:tcW w:w="0" w:type="auto"/>
            <w:vAlign w:val="center"/>
            <w:hideMark/>
          </w:tcPr>
          <w:p w14:paraId="4AD8A0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 Sourcing como modelo de persistencia</w:t>
            </w:r>
          </w:p>
        </w:tc>
        <w:tc>
          <w:tcPr>
            <w:tcW w:w="0" w:type="auto"/>
            <w:vAlign w:val="center"/>
            <w:hideMark/>
          </w:tcPr>
          <w:p w14:paraId="738B61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requisito que motivaría su uso (trazabilidad regulatoria) se satisface con un registro de auditoría inmutable, a un costo operativo y de curva de aprendizaje sustancialmente menor</w:t>
            </w:r>
          </w:p>
        </w:tc>
      </w:tr>
    </w:tbl>
    <w:p w14:paraId="3585618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Consecuencias.</w:t>
      </w:r>
      <w:r w:rsidRPr="000444D1">
        <w:rPr>
          <w:rFonts w:ascii="Times New Roman" w:eastAsia="Times New Roman" w:hAnsi="Times New Roman" w:cs="Times New Roman"/>
          <w:kern w:val="0"/>
          <w14:ligatures w14:val="none"/>
        </w:rPr>
        <w:t xml:space="preserve"> El modelo de lectura es eventualmente consistente; requiere una política explícita de frescura y un mecanismo de reconciliación periódica contra el core. La completitud de su alimentación depende del ADR-004.</w:t>
      </w:r>
    </w:p>
    <w:p w14:paraId="58FAD6EC"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3D06BB0F">
          <v:rect id="Horizontal Line 492"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141100"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ADR-003 — Estilo de integración y modelo de consistencia</w:t>
      </w:r>
    </w:p>
    <w:p w14:paraId="5EDCEAB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Contexto.</w:t>
      </w:r>
      <w:r w:rsidRPr="000444D1">
        <w:rPr>
          <w:rFonts w:ascii="Times New Roman" w:eastAsia="Times New Roman" w:hAnsi="Times New Roman" w:cs="Times New Roman"/>
          <w:kern w:val="0"/>
          <w14:ligatures w14:val="none"/>
        </w:rPr>
        <w:t xml:space="preserve"> Seis sistemas heterogéneos con distintos perfiles de disponibilidad y latencia. La integración punto a punto síncrona produce acoplamiento temporal y fallos en cascada; la asincronía total impide responder al usuario en operaciones interactivas.</w:t>
      </w:r>
    </w:p>
    <w:p w14:paraId="5C26484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Decisión.</w:t>
      </w:r>
      <w:r w:rsidRPr="000444D1">
        <w:rPr>
          <w:rFonts w:ascii="Times New Roman" w:eastAsia="Times New Roman" w:hAnsi="Times New Roman" w:cs="Times New Roman"/>
          <w:kern w:val="0"/>
          <w14:ligatures w14:val="none"/>
        </w:rPr>
        <w:t xml:space="preserve"> </w:t>
      </w:r>
      <w:r w:rsidRPr="000444D1">
        <w:rPr>
          <w:rFonts w:ascii="Times New Roman" w:eastAsia="Times New Roman" w:hAnsi="Times New Roman" w:cs="Times New Roman"/>
          <w:b/>
          <w:bCs/>
          <w:kern w:val="0"/>
          <w14:ligatures w14:val="none"/>
        </w:rPr>
        <w:t>Asíncrono por defecto mediante un bus de eventos; síncrono por excepción justificada.</w:t>
      </w:r>
      <w:r w:rsidRPr="000444D1">
        <w:rPr>
          <w:rFonts w:ascii="Times New Roman" w:eastAsia="Times New Roman" w:hAnsi="Times New Roman" w:cs="Times New Roman"/>
          <w:kern w:val="0"/>
          <w14:ligatures w14:val="none"/>
        </w:rPr>
        <w:t xml:space="preserve"> Se admite invocación síncrona únicamente en cuatro casos, que constituyen el inventario completo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8"/>
        <w:gridCol w:w="5132"/>
      </w:tblGrid>
      <w:tr w:rsidR="000444D1" w:rsidRPr="000444D1" w14:paraId="394BE9DA" w14:textId="77777777">
        <w:trPr>
          <w:tblHeader/>
          <w:tblCellSpacing w:w="15" w:type="dxa"/>
        </w:trPr>
        <w:tc>
          <w:tcPr>
            <w:tcW w:w="0" w:type="auto"/>
            <w:vAlign w:val="center"/>
            <w:hideMark/>
          </w:tcPr>
          <w:p w14:paraId="43AF89A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Invocación síncrona</w:t>
            </w:r>
          </w:p>
        </w:tc>
        <w:tc>
          <w:tcPr>
            <w:tcW w:w="0" w:type="auto"/>
            <w:vAlign w:val="center"/>
            <w:hideMark/>
          </w:tcPr>
          <w:p w14:paraId="4041D9C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Justificación</w:t>
            </w:r>
          </w:p>
        </w:tc>
      </w:tr>
      <w:tr w:rsidR="000444D1" w:rsidRPr="000444D1" w14:paraId="3DB7C7E1" w14:textId="77777777">
        <w:trPr>
          <w:tblCellSpacing w:w="15" w:type="dxa"/>
        </w:trPr>
        <w:tc>
          <w:tcPr>
            <w:tcW w:w="0" w:type="auto"/>
            <w:vAlign w:val="center"/>
            <w:hideMark/>
          </w:tcPr>
          <w:p w14:paraId="30572C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Autenticación y autorización de la sesión</w:t>
            </w:r>
          </w:p>
        </w:tc>
        <w:tc>
          <w:tcPr>
            <w:tcW w:w="0" w:type="auto"/>
            <w:vAlign w:val="center"/>
            <w:hideMark/>
          </w:tcPr>
          <w:p w14:paraId="1B44E9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canal no puede continuar sin el resultado</w:t>
            </w:r>
          </w:p>
        </w:tc>
      </w:tr>
      <w:tr w:rsidR="000444D1" w:rsidRPr="000444D1" w14:paraId="6739CCB7" w14:textId="77777777">
        <w:trPr>
          <w:tblCellSpacing w:w="15" w:type="dxa"/>
        </w:trPr>
        <w:tc>
          <w:tcPr>
            <w:tcW w:w="0" w:type="auto"/>
            <w:vAlign w:val="center"/>
            <w:hideMark/>
          </w:tcPr>
          <w:p w14:paraId="4E7BDB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Validación de fondos y débito contra el core propietario</w:t>
            </w:r>
          </w:p>
        </w:tc>
        <w:tc>
          <w:tcPr>
            <w:tcW w:w="0" w:type="auto"/>
            <w:vAlign w:val="center"/>
            <w:hideMark/>
          </w:tcPr>
          <w:p w14:paraId="009ECD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Requiere confirmación autoritativa antes de responder al cliente</w:t>
            </w:r>
          </w:p>
        </w:tc>
      </w:tr>
      <w:tr w:rsidR="000444D1" w:rsidRPr="000444D1" w14:paraId="4055BAA3" w14:textId="77777777">
        <w:trPr>
          <w:tblCellSpacing w:w="15" w:type="dxa"/>
        </w:trPr>
        <w:tc>
          <w:tcPr>
            <w:tcW w:w="0" w:type="auto"/>
            <w:vAlign w:val="center"/>
            <w:hideMark/>
          </w:tcPr>
          <w:p w14:paraId="2F6F77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de fraude en línea</w:t>
            </w:r>
          </w:p>
        </w:tc>
        <w:tc>
          <w:tcPr>
            <w:tcW w:w="0" w:type="auto"/>
            <w:vAlign w:val="center"/>
            <w:hideMark/>
          </w:tcPr>
          <w:p w14:paraId="62465C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Debe ocurrir antes de autorizar (ver ADR-005)</w:t>
            </w:r>
          </w:p>
        </w:tc>
      </w:tr>
      <w:tr w:rsidR="000444D1" w:rsidRPr="000444D1" w14:paraId="70309DFD" w14:textId="77777777">
        <w:trPr>
          <w:tblCellSpacing w:w="15" w:type="dxa"/>
        </w:trPr>
        <w:tc>
          <w:tcPr>
            <w:tcW w:w="0" w:type="auto"/>
            <w:vAlign w:val="center"/>
            <w:hideMark/>
          </w:tcPr>
          <w:p w14:paraId="33E5D9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al modelo de lectura</w:t>
            </w:r>
          </w:p>
        </w:tc>
        <w:tc>
          <w:tcPr>
            <w:tcW w:w="0" w:type="auto"/>
            <w:vAlign w:val="center"/>
            <w:hideMark/>
          </w:tcPr>
          <w:p w14:paraId="13DBBE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Operación local de baja latencia, sin dependencia de sistemas legados</w:t>
            </w:r>
          </w:p>
        </w:tc>
      </w:tr>
    </w:tbl>
    <w:p w14:paraId="1429EA8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Consistencia transaccional: </w:t>
      </w:r>
      <w:r w:rsidRPr="000444D1">
        <w:rPr>
          <w:rFonts w:ascii="Times New Roman" w:eastAsia="Times New Roman" w:hAnsi="Times New Roman" w:cs="Times New Roman"/>
          <w:b/>
          <w:bCs/>
          <w:kern w:val="0"/>
          <w14:ligatures w14:val="none"/>
        </w:rPr>
        <w:t>saga orquestada</w:t>
      </w:r>
      <w:r w:rsidRPr="000444D1">
        <w:rPr>
          <w:rFonts w:ascii="Times New Roman" w:eastAsia="Times New Roman" w:hAnsi="Times New Roman" w:cs="Times New Roman"/>
          <w:kern w:val="0"/>
          <w14:ligatures w14:val="none"/>
        </w:rPr>
        <w:t xml:space="preserve"> para la ejecución de pagos —transacción de negocio con múltiples participantes que requiere compensación auditable y visibilidad del estado para efectos regulatorios— y </w:t>
      </w:r>
      <w:r w:rsidRPr="000444D1">
        <w:rPr>
          <w:rFonts w:ascii="Times New Roman" w:eastAsia="Times New Roman" w:hAnsi="Times New Roman" w:cs="Times New Roman"/>
          <w:b/>
          <w:bCs/>
          <w:kern w:val="0"/>
          <w14:ligatures w14:val="none"/>
        </w:rPr>
        <w:t>coreografía por eventos</w:t>
      </w:r>
      <w:r w:rsidRPr="000444D1">
        <w:rPr>
          <w:rFonts w:ascii="Times New Roman" w:eastAsia="Times New Roman" w:hAnsi="Times New Roman" w:cs="Times New Roman"/>
          <w:kern w:val="0"/>
          <w14:ligatures w14:val="none"/>
        </w:rPr>
        <w:t xml:space="preserve"> para la propagación de cambios de dominio hacia riesgos, fraude, notificaciones y analítica. Todo servicio productor implementa </w:t>
      </w:r>
      <w:r w:rsidRPr="000444D1">
        <w:rPr>
          <w:rFonts w:ascii="Times New Roman" w:eastAsia="Times New Roman" w:hAnsi="Times New Roman" w:cs="Times New Roman"/>
          <w:b/>
          <w:bCs/>
          <w:kern w:val="0"/>
          <w14:ligatures w14:val="none"/>
        </w:rPr>
        <w:t>outbox transaccional</w:t>
      </w:r>
      <w:r w:rsidRPr="000444D1">
        <w:rPr>
          <w:rFonts w:ascii="Times New Roman" w:eastAsia="Times New Roman" w:hAnsi="Times New Roman" w:cs="Times New Roman"/>
          <w:kern w:val="0"/>
          <w14:ligatures w14:val="none"/>
        </w:rPr>
        <w:t xml:space="preserve">; toda operación de escritura expone </w:t>
      </w:r>
      <w:r w:rsidRPr="000444D1">
        <w:rPr>
          <w:rFonts w:ascii="Times New Roman" w:eastAsia="Times New Roman" w:hAnsi="Times New Roman" w:cs="Times New Roman"/>
          <w:b/>
          <w:bCs/>
          <w:kern w:val="0"/>
          <w14:ligatures w14:val="none"/>
        </w:rPr>
        <w:t>clave de idempotencia</w:t>
      </w:r>
      <w:r w:rsidRPr="000444D1">
        <w:rPr>
          <w:rFonts w:ascii="Times New Roman" w:eastAsia="Times New Roman" w:hAnsi="Times New Roman" w:cs="Times New Roman"/>
          <w:kern w:val="0"/>
          <w14:ligatures w14:val="none"/>
        </w:rPr>
        <w:t>.</w:t>
      </w:r>
    </w:p>
    <w:p w14:paraId="2715E01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Alternativas descartadas.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7"/>
        <w:gridCol w:w="6413"/>
      </w:tblGrid>
      <w:tr w:rsidR="000444D1" w:rsidRPr="000444D1" w14:paraId="2743B4F1" w14:textId="77777777">
        <w:trPr>
          <w:tblHeader/>
          <w:tblCellSpacing w:w="15" w:type="dxa"/>
        </w:trPr>
        <w:tc>
          <w:tcPr>
            <w:tcW w:w="0" w:type="auto"/>
            <w:vAlign w:val="center"/>
            <w:hideMark/>
          </w:tcPr>
          <w:p w14:paraId="0D42463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w:t>
            </w:r>
          </w:p>
        </w:tc>
        <w:tc>
          <w:tcPr>
            <w:tcW w:w="0" w:type="auto"/>
            <w:vAlign w:val="center"/>
            <w:hideMark/>
          </w:tcPr>
          <w:p w14:paraId="428C9BD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6EDC63A0" w14:textId="77777777">
        <w:trPr>
          <w:tblCellSpacing w:w="15" w:type="dxa"/>
        </w:trPr>
        <w:tc>
          <w:tcPr>
            <w:tcW w:w="0" w:type="auto"/>
            <w:vAlign w:val="center"/>
            <w:hideMark/>
          </w:tcPr>
          <w:p w14:paraId="6B81449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Transacción distribuida (2PC / XA) sobre ambos cores</w:t>
            </w:r>
          </w:p>
        </w:tc>
        <w:tc>
          <w:tcPr>
            <w:tcW w:w="0" w:type="auto"/>
            <w:vAlign w:val="center"/>
            <w:hideMark/>
          </w:tcPr>
          <w:p w14:paraId="593204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Acoplamiento temporal inaceptable; el core tradicional no ofrece un coordinador transaccional externo viable</w:t>
            </w:r>
          </w:p>
        </w:tc>
      </w:tr>
      <w:tr w:rsidR="000444D1" w:rsidRPr="000444D1" w14:paraId="6BC38D06" w14:textId="77777777">
        <w:trPr>
          <w:tblCellSpacing w:w="15" w:type="dxa"/>
        </w:trPr>
        <w:tc>
          <w:tcPr>
            <w:tcW w:w="0" w:type="auto"/>
            <w:vAlign w:val="center"/>
            <w:hideMark/>
          </w:tcPr>
          <w:p w14:paraId="17E6E6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Saga por coreografía también para pagos</w:t>
            </w:r>
          </w:p>
        </w:tc>
        <w:tc>
          <w:tcPr>
            <w:tcW w:w="0" w:type="auto"/>
            <w:vAlign w:val="center"/>
            <w:hideMark/>
          </w:tcPr>
          <w:p w14:paraId="103567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estado de la transacción quedaría implícito y disperso, dificultando la trazabilidad regulatoria y el diagnóstico de compensaciones fallidas</w:t>
            </w:r>
          </w:p>
        </w:tc>
      </w:tr>
      <w:tr w:rsidR="000444D1" w:rsidRPr="000444D1" w14:paraId="22F79BA6" w14:textId="77777777">
        <w:trPr>
          <w:tblCellSpacing w:w="15" w:type="dxa"/>
        </w:trPr>
        <w:tc>
          <w:tcPr>
            <w:tcW w:w="0" w:type="auto"/>
            <w:vAlign w:val="center"/>
            <w:hideMark/>
          </w:tcPr>
          <w:p w14:paraId="4806060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Orquestación central para todos los flujos</w:t>
            </w:r>
          </w:p>
        </w:tc>
        <w:tc>
          <w:tcPr>
            <w:tcW w:w="0" w:type="auto"/>
            <w:vAlign w:val="center"/>
            <w:hideMark/>
          </w:tcPr>
          <w:p w14:paraId="2A2330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Concentraría lógica de dominio ajena en un único componente, reintroduciendo un monolito de integración</w:t>
            </w:r>
          </w:p>
        </w:tc>
      </w:tr>
    </w:tbl>
    <w:p w14:paraId="101AEDE0"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5B0DF590">
          <v:rect id="Horizontal Line 493"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24512F"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ADR-004 — Ingesta de cambios del core tradicional: doble mecanismo</w:t>
      </w:r>
    </w:p>
    <w:p w14:paraId="304B7BB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Contexto.</w:t>
      </w:r>
      <w:r w:rsidRPr="000444D1">
        <w:rPr>
          <w:rFonts w:ascii="Times New Roman" w:eastAsia="Times New Roman" w:hAnsi="Times New Roman" w:cs="Times New Roman"/>
          <w:kern w:val="0"/>
          <w14:ligatures w14:val="none"/>
        </w:rPr>
        <w:t xml:space="preserve"> El core tradicional no publica eventos de cambio de estado (supuesto 2.1). Los sistemas de riesgos y fraude, y el modelo de lectura del ADR-002, requieren conocer </w:t>
      </w:r>
      <w:r w:rsidRPr="000444D1">
        <w:rPr>
          <w:rFonts w:ascii="Times New Roman" w:eastAsia="Times New Roman" w:hAnsi="Times New Roman" w:cs="Times New Roman"/>
          <w:b/>
          <w:bCs/>
          <w:kern w:val="0"/>
          <w14:ligatures w14:val="none"/>
        </w:rPr>
        <w:t>todos</w:t>
      </w:r>
      <w:r w:rsidRPr="000444D1">
        <w:rPr>
          <w:rFonts w:ascii="Times New Roman" w:eastAsia="Times New Roman" w:hAnsi="Times New Roman" w:cs="Times New Roman"/>
          <w:kern w:val="0"/>
          <w14:ligatures w14:val="none"/>
        </w:rPr>
        <w:t xml:space="preserve"> los cambios que ocurren en él, incluidos los originados por canales no digitales: ventanilla, cajeros automáticos, procesos batch internos y operaciones de back office.</w:t>
      </w:r>
    </w:p>
    <w:p w14:paraId="5AD6479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Decisión.</w:t>
      </w:r>
      <w:r w:rsidRPr="000444D1">
        <w:rPr>
          <w:rFonts w:ascii="Times New Roman" w:eastAsia="Times New Roman" w:hAnsi="Times New Roman" w:cs="Times New Roman"/>
          <w:kern w:val="0"/>
          <w14:ligatures w14:val="none"/>
        </w:rPr>
        <w:t xml:space="preserve"> Se combinan dos mecanismos complementarios:</w:t>
      </w:r>
    </w:p>
    <w:p w14:paraId="69854E75" w14:textId="77777777" w:rsidR="000444D1" w:rsidRPr="000444D1" w:rsidRDefault="000444D1" w:rsidP="00C6468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Emisión de eventos desde la capa anticorrupción.</w:t>
      </w:r>
      <w:r w:rsidRPr="000444D1">
        <w:rPr>
          <w:rFonts w:ascii="Times New Roman" w:eastAsia="Times New Roman" w:hAnsi="Times New Roman" w:cs="Times New Roman"/>
          <w:kern w:val="0"/>
          <w14:ligatures w14:val="none"/>
        </w:rPr>
        <w:t xml:space="preserve"> Toda operación que el propio ACL origina contra el core produce un evento de dominio inmediatamente tras su confirmación. Cubre el 100 % del tráfico digital con latencia mínima.</w:t>
      </w:r>
    </w:p>
    <w:p w14:paraId="3A1FE035" w14:textId="77777777" w:rsidR="000444D1" w:rsidRPr="000444D1" w:rsidRDefault="000444D1" w:rsidP="00C6468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Captura de cambios (CDC) sobre la réplica de la base de datos del core.</w:t>
      </w:r>
      <w:r w:rsidRPr="000444D1">
        <w:rPr>
          <w:rFonts w:ascii="Times New Roman" w:eastAsia="Times New Roman" w:hAnsi="Times New Roman" w:cs="Times New Roman"/>
          <w:kern w:val="0"/>
          <w14:ligatures w14:val="none"/>
        </w:rPr>
        <w:t xml:space="preserve"> Captura las operaciones </w:t>
      </w:r>
      <w:r w:rsidRPr="000444D1">
        <w:rPr>
          <w:rFonts w:ascii="Times New Roman" w:eastAsia="Times New Roman" w:hAnsi="Times New Roman" w:cs="Times New Roman"/>
          <w:b/>
          <w:bCs/>
          <w:kern w:val="0"/>
          <w14:ligatures w14:val="none"/>
        </w:rPr>
        <w:t>no originadas en los canales digitales</w:t>
      </w:r>
      <w:r w:rsidRPr="000444D1">
        <w:rPr>
          <w:rFonts w:ascii="Times New Roman" w:eastAsia="Times New Roman" w:hAnsi="Times New Roman" w:cs="Times New Roman"/>
          <w:kern w:val="0"/>
          <w14:ligatures w14:val="none"/>
        </w:rPr>
        <w:t>, que el mecanismo anterior no puede ver.</w:t>
      </w:r>
    </w:p>
    <w:p w14:paraId="73E914D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punto crítico de esta decisión es el segundo mecanismo.</w:t>
      </w:r>
      <w:r w:rsidRPr="000444D1">
        <w:rPr>
          <w:rFonts w:ascii="Times New Roman" w:eastAsia="Times New Roman" w:hAnsi="Times New Roman" w:cs="Times New Roman"/>
          <w:kern w:val="0"/>
          <w14:ligatures w14:val="none"/>
        </w:rPr>
        <w:t xml:space="preserve"> Sin él, el modelo de lectura mostraría saldos desactualizados tras una operación en ventanilla, y —más grave— el motor de fraude quedaría ciego a la actividad presencial del cliente, que es precisamente parte del patrón de comportamiento que necesita evaluar. Un diseño que solo emite eventos desde el ACL parece completo y no lo es.</w:t>
      </w:r>
    </w:p>
    <w:p w14:paraId="4FD14FC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Alternativas descartadas.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1"/>
        <w:gridCol w:w="6049"/>
      </w:tblGrid>
      <w:tr w:rsidR="000444D1" w:rsidRPr="000444D1" w14:paraId="7EB3B296" w14:textId="77777777">
        <w:trPr>
          <w:tblHeader/>
          <w:tblCellSpacing w:w="15" w:type="dxa"/>
        </w:trPr>
        <w:tc>
          <w:tcPr>
            <w:tcW w:w="0" w:type="auto"/>
            <w:vAlign w:val="center"/>
            <w:hideMark/>
          </w:tcPr>
          <w:p w14:paraId="2BEF414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w:t>
            </w:r>
          </w:p>
        </w:tc>
        <w:tc>
          <w:tcPr>
            <w:tcW w:w="0" w:type="auto"/>
            <w:vAlign w:val="center"/>
            <w:hideMark/>
          </w:tcPr>
          <w:p w14:paraId="14A7A6B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6793C31E" w14:textId="77777777">
        <w:trPr>
          <w:tblCellSpacing w:w="15" w:type="dxa"/>
        </w:trPr>
        <w:tc>
          <w:tcPr>
            <w:tcW w:w="0" w:type="auto"/>
            <w:vAlign w:val="center"/>
            <w:hideMark/>
          </w:tcPr>
          <w:p w14:paraId="4ED72B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Únicamente eventos desde el ACL</w:t>
            </w:r>
          </w:p>
        </w:tc>
        <w:tc>
          <w:tcPr>
            <w:tcW w:w="0" w:type="auto"/>
            <w:vAlign w:val="center"/>
            <w:hideMark/>
          </w:tcPr>
          <w:p w14:paraId="2FA1A7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Cobertura incompleta: invisible a operaciones presenciales y batch</w:t>
            </w:r>
          </w:p>
        </w:tc>
      </w:tr>
      <w:tr w:rsidR="000444D1" w:rsidRPr="000444D1" w14:paraId="173862A8" w14:textId="77777777">
        <w:trPr>
          <w:tblCellSpacing w:w="15" w:type="dxa"/>
        </w:trPr>
        <w:tc>
          <w:tcPr>
            <w:tcW w:w="0" w:type="auto"/>
            <w:vAlign w:val="center"/>
            <w:hideMark/>
          </w:tcPr>
          <w:p w14:paraId="2AB144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Únicamente polling programado sobre el core</w:t>
            </w:r>
          </w:p>
        </w:tc>
        <w:tc>
          <w:tcPr>
            <w:tcW w:w="0" w:type="auto"/>
            <w:vAlign w:val="center"/>
            <w:hideMark/>
          </w:tcPr>
          <w:p w14:paraId="6DA6131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incompatible con los canales digitales y carga sostenida sobre la plataforma legada</w:t>
            </w:r>
          </w:p>
        </w:tc>
      </w:tr>
      <w:tr w:rsidR="000444D1" w:rsidRPr="000444D1" w14:paraId="10098AAD" w14:textId="77777777">
        <w:trPr>
          <w:tblCellSpacing w:w="15" w:type="dxa"/>
        </w:trPr>
        <w:tc>
          <w:tcPr>
            <w:tcW w:w="0" w:type="auto"/>
            <w:vAlign w:val="center"/>
            <w:hideMark/>
          </w:tcPr>
          <w:p w14:paraId="692D8B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Modificar el core para que publique eventos nativamente</w:t>
            </w:r>
          </w:p>
        </w:tc>
        <w:tc>
          <w:tcPr>
            <w:tcW w:w="0" w:type="auto"/>
            <w:vAlign w:val="center"/>
            <w:hideMark/>
          </w:tcPr>
          <w:p w14:paraId="133FC2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Contradice el supuesto de baja modificabilidad; introduce dependencia del ciclo de release trimestral del legado</w:t>
            </w:r>
          </w:p>
        </w:tc>
      </w:tr>
    </w:tbl>
    <w:p w14:paraId="5919BD2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Consecuencias.</w:t>
      </w:r>
      <w:r w:rsidRPr="000444D1">
        <w:rPr>
          <w:rFonts w:ascii="Times New Roman" w:eastAsia="Times New Roman" w:hAnsi="Times New Roman" w:cs="Times New Roman"/>
          <w:kern w:val="0"/>
          <w14:ligatures w14:val="none"/>
        </w:rPr>
        <w:t xml:space="preserve"> Existen dos fuentes de eventos que pueden reportar el mismo hecho. Se requiere </w:t>
      </w:r>
      <w:r w:rsidRPr="000444D1">
        <w:rPr>
          <w:rFonts w:ascii="Times New Roman" w:eastAsia="Times New Roman" w:hAnsi="Times New Roman" w:cs="Times New Roman"/>
          <w:b/>
          <w:bCs/>
          <w:kern w:val="0"/>
          <w14:ligatures w14:val="none"/>
        </w:rPr>
        <w:t>deduplicación por clave de negocio</w:t>
      </w:r>
      <w:r w:rsidRPr="000444D1">
        <w:rPr>
          <w:rFonts w:ascii="Times New Roman" w:eastAsia="Times New Roman" w:hAnsi="Times New Roman" w:cs="Times New Roman"/>
          <w:kern w:val="0"/>
          <w14:ligatures w14:val="none"/>
        </w:rPr>
        <w:t xml:space="preserve"> y consumidores idempotentes. Este es el costo aceptado a cambio de completitud.</w:t>
      </w:r>
    </w:p>
    <w:p w14:paraId="4B7A64BF"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35A02265">
          <v:rect id="Horizontal Line 494"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77DC9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ADR-005 — Política de evaluación de fraude en línea</w:t>
      </w:r>
    </w:p>
    <w:p w14:paraId="5E56413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Contexto.</w:t>
      </w:r>
      <w:r w:rsidRPr="000444D1">
        <w:rPr>
          <w:rFonts w:ascii="Times New Roman" w:eastAsia="Times New Roman" w:hAnsi="Times New Roman" w:cs="Times New Roman"/>
          <w:kern w:val="0"/>
          <w14:ligatures w14:val="none"/>
        </w:rPr>
        <w:t xml:space="preserve"> El motor de fraude debe evaluar la operación antes de autorizarla, dentro de un presupuesto de 300 ms. Situarlo en el camino crítico lo convierte en una dependencia cuya indisponibilidad afectaría a toda la operativa transaccional del banco.</w:t>
      </w:r>
    </w:p>
    <w:p w14:paraId="2E114D0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Decisión.</w:t>
      </w:r>
      <w:r w:rsidRPr="000444D1">
        <w:rPr>
          <w:rFonts w:ascii="Times New Roman" w:eastAsia="Times New Roman" w:hAnsi="Times New Roman" w:cs="Times New Roman"/>
          <w:kern w:val="0"/>
          <w14:ligatures w14:val="none"/>
        </w:rPr>
        <w:t xml:space="preserve"> Invocación </w:t>
      </w:r>
      <w:r w:rsidRPr="000444D1">
        <w:rPr>
          <w:rFonts w:ascii="Times New Roman" w:eastAsia="Times New Roman" w:hAnsi="Times New Roman" w:cs="Times New Roman"/>
          <w:b/>
          <w:bCs/>
          <w:kern w:val="0"/>
          <w14:ligatures w14:val="none"/>
        </w:rPr>
        <w:t>síncrona con timeout de 300 ms</w:t>
      </w:r>
      <w:r w:rsidRPr="000444D1">
        <w:rPr>
          <w:rFonts w:ascii="Times New Roman" w:eastAsia="Times New Roman" w:hAnsi="Times New Roman" w:cs="Times New Roman"/>
          <w:kern w:val="0"/>
          <w14:ligatures w14:val="none"/>
        </w:rPr>
        <w:t xml:space="preserve"> y política de degradación </w:t>
      </w:r>
      <w:r w:rsidRPr="000444D1">
        <w:rPr>
          <w:rFonts w:ascii="Times New Roman" w:eastAsia="Times New Roman" w:hAnsi="Times New Roman" w:cs="Times New Roman"/>
          <w:b/>
          <w:bCs/>
          <w:kern w:val="0"/>
          <w14:ligatures w14:val="none"/>
        </w:rPr>
        <w:t>graduada por umbral de monto</w:t>
      </w:r>
      <w:r w:rsidRPr="000444D1">
        <w:rPr>
          <w:rFonts w:ascii="Times New Roman" w:eastAsia="Times New Roman" w:hAnsi="Times New Roman" w:cs="Times New Roman"/>
          <w:kern w:val="0"/>
          <w14:ligatures w14:val="none"/>
        </w:rPr>
        <w:t xml:space="preserve">: ante ausencia de respuesta, las operaciones por debajo del umbral se autorizan y se marcan para evaluación posterior obligatoria; las operaciones por encima del </w:t>
      </w:r>
      <w:r w:rsidRPr="000444D1">
        <w:rPr>
          <w:rFonts w:ascii="Times New Roman" w:eastAsia="Times New Roman" w:hAnsi="Times New Roman" w:cs="Times New Roman"/>
          <w:kern w:val="0"/>
          <w14:ligatures w14:val="none"/>
        </w:rPr>
        <w:lastRenderedPageBreak/>
        <w:t>umbral se rechazan con mensaje de reintento. Adicionalmente, toda operación —autorizada o no— se publica como evento para evaluación asíncrona de riesgos y realimentación del modelo.</w:t>
      </w:r>
    </w:p>
    <w:p w14:paraId="68C3C74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Alternativas descartadas.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6"/>
        <w:gridCol w:w="6444"/>
      </w:tblGrid>
      <w:tr w:rsidR="000444D1" w:rsidRPr="000444D1" w14:paraId="3E051293" w14:textId="77777777">
        <w:trPr>
          <w:tblHeader/>
          <w:tblCellSpacing w:w="15" w:type="dxa"/>
        </w:trPr>
        <w:tc>
          <w:tcPr>
            <w:tcW w:w="0" w:type="auto"/>
            <w:vAlign w:val="center"/>
            <w:hideMark/>
          </w:tcPr>
          <w:p w14:paraId="39C1A7B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w:t>
            </w:r>
          </w:p>
        </w:tc>
        <w:tc>
          <w:tcPr>
            <w:tcW w:w="0" w:type="auto"/>
            <w:vAlign w:val="center"/>
            <w:hideMark/>
          </w:tcPr>
          <w:p w14:paraId="554B1F8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5578B774" w14:textId="77777777">
        <w:trPr>
          <w:tblCellSpacing w:w="15" w:type="dxa"/>
        </w:trPr>
        <w:tc>
          <w:tcPr>
            <w:tcW w:w="0" w:type="auto"/>
            <w:vAlign w:val="center"/>
            <w:hideMark/>
          </w:tcPr>
          <w:p w14:paraId="63A662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i/>
                <w:iCs/>
                <w:kern w:val="0"/>
                <w14:ligatures w14:val="none"/>
              </w:rPr>
              <w:t>Fail-open</w:t>
            </w:r>
            <w:r w:rsidRPr="000444D1">
              <w:rPr>
                <w:rFonts w:ascii="Times New Roman" w:eastAsia="Times New Roman" w:hAnsi="Times New Roman" w:cs="Times New Roman"/>
                <w:kern w:val="0"/>
                <w14:ligatures w14:val="none"/>
              </w:rPr>
              <w:t xml:space="preserve"> puro</w:t>
            </w:r>
          </w:p>
        </w:tc>
        <w:tc>
          <w:tcPr>
            <w:tcW w:w="0" w:type="auto"/>
            <w:vAlign w:val="center"/>
            <w:hideMark/>
          </w:tcPr>
          <w:p w14:paraId="0119CA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caída del motor abriría una ventana de fraude masivo, con impacto material y reputacional</w:t>
            </w:r>
          </w:p>
        </w:tc>
      </w:tr>
      <w:tr w:rsidR="000444D1" w:rsidRPr="000444D1" w14:paraId="19E7BAA9" w14:textId="77777777">
        <w:trPr>
          <w:tblCellSpacing w:w="15" w:type="dxa"/>
        </w:trPr>
        <w:tc>
          <w:tcPr>
            <w:tcW w:w="0" w:type="auto"/>
            <w:vAlign w:val="center"/>
            <w:hideMark/>
          </w:tcPr>
          <w:p w14:paraId="1322CB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i/>
                <w:iCs/>
                <w:kern w:val="0"/>
                <w14:ligatures w14:val="none"/>
              </w:rPr>
              <w:t>Fail-closed</w:t>
            </w:r>
            <w:r w:rsidRPr="000444D1">
              <w:rPr>
                <w:rFonts w:ascii="Times New Roman" w:eastAsia="Times New Roman" w:hAnsi="Times New Roman" w:cs="Times New Roman"/>
                <w:kern w:val="0"/>
                <w14:ligatures w14:val="none"/>
              </w:rPr>
              <w:t xml:space="preserve"> puro</w:t>
            </w:r>
          </w:p>
        </w:tc>
        <w:tc>
          <w:tcPr>
            <w:tcW w:w="0" w:type="auto"/>
            <w:vAlign w:val="center"/>
            <w:hideMark/>
          </w:tcPr>
          <w:p w14:paraId="38F494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Convierte al motor de fraude en punto único de falla de toda la operativa transaccional del banco</w:t>
            </w:r>
          </w:p>
        </w:tc>
      </w:tr>
      <w:tr w:rsidR="000444D1" w:rsidRPr="000444D1" w14:paraId="0A0D51BC" w14:textId="77777777">
        <w:trPr>
          <w:tblCellSpacing w:w="15" w:type="dxa"/>
        </w:trPr>
        <w:tc>
          <w:tcPr>
            <w:tcW w:w="0" w:type="auto"/>
            <w:vAlign w:val="center"/>
            <w:hideMark/>
          </w:tcPr>
          <w:p w14:paraId="69F098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exclusivamente asíncrona</w:t>
            </w:r>
          </w:p>
        </w:tc>
        <w:tc>
          <w:tcPr>
            <w:tcW w:w="0" w:type="auto"/>
            <w:vAlign w:val="center"/>
            <w:hideMark/>
          </w:tcPr>
          <w:p w14:paraId="4E1155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permite bloquear la operación antes de su ejecución, que es el objetivo del sistema</w:t>
            </w:r>
          </w:p>
        </w:tc>
      </w:tr>
    </w:tbl>
    <w:p w14:paraId="3C053E8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Consecuencias.</w:t>
      </w:r>
      <w:r w:rsidRPr="000444D1">
        <w:rPr>
          <w:rFonts w:ascii="Times New Roman" w:eastAsia="Times New Roman" w:hAnsi="Times New Roman" w:cs="Times New Roman"/>
          <w:kern w:val="0"/>
          <w14:ligatures w14:val="none"/>
        </w:rPr>
        <w:t xml:space="preserve"> El umbral es un parámetro de negocio, no técnico, y debe ser configurable sin despliegue. La decisión y su motivo se registran en la traza de auditoría de cada operación.</w:t>
      </w:r>
    </w:p>
    <w:p w14:paraId="303CF22D"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0617FECE">
          <v:rect id="Horizontal Line 559"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D236B1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ADR-006 — Modelo de despliegue y selección de proveedor de nube</w:t>
      </w:r>
    </w:p>
    <w:p w14:paraId="42D0E4F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Contexto.</w:t>
      </w:r>
      <w:r w:rsidRPr="000444D1">
        <w:rPr>
          <w:rFonts w:ascii="Times New Roman" w:eastAsia="Times New Roman" w:hAnsi="Times New Roman" w:cs="Times New Roman"/>
          <w:kern w:val="0"/>
          <w14:ligatures w14:val="none"/>
        </w:rPr>
        <w:t xml:space="preserve"> El core tradicional reside on-premise y su reubicación está fuera de alcance. La capa digital requiere elasticidad para absorber picos estacionales de ×4. Existe además un requisito de residencia de datos personales.</w:t>
      </w:r>
    </w:p>
    <w:p w14:paraId="62EBCE3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Decisión.</w:t>
      </w:r>
      <w:r w:rsidRPr="000444D1">
        <w:rPr>
          <w:rFonts w:ascii="Times New Roman" w:eastAsia="Times New Roman" w:hAnsi="Times New Roman" w:cs="Times New Roman"/>
          <w:kern w:val="0"/>
          <w14:ligatures w14:val="none"/>
        </w:rPr>
        <w:t xml:space="preserve"> Modelo </w:t>
      </w:r>
      <w:r w:rsidRPr="000444D1">
        <w:rPr>
          <w:rFonts w:ascii="Times New Roman" w:eastAsia="Times New Roman" w:hAnsi="Times New Roman" w:cs="Times New Roman"/>
          <w:b/>
          <w:bCs/>
          <w:kern w:val="0"/>
          <w14:ligatures w14:val="none"/>
        </w:rPr>
        <w:t>híbrido</w:t>
      </w:r>
      <w:r w:rsidRPr="000444D1">
        <w:rPr>
          <w:rFonts w:ascii="Times New Roman" w:eastAsia="Times New Roman" w:hAnsi="Times New Roman" w:cs="Times New Roman"/>
          <w:kern w:val="0"/>
          <w14:ligatures w14:val="none"/>
        </w:rPr>
        <w:t xml:space="preserve">: core tradicional y sus réplicas permanecen on-premise; capa de integración, servicios de dominio, modelo de lectura y canales se despliegan en nube, con conectividad dedicada de baja latencia hacia el centro de datos. Se adopta </w:t>
      </w:r>
      <w:r w:rsidRPr="000444D1">
        <w:rPr>
          <w:rFonts w:ascii="Times New Roman" w:eastAsia="Times New Roman" w:hAnsi="Times New Roman" w:cs="Times New Roman"/>
          <w:b/>
          <w:bCs/>
          <w:kern w:val="0"/>
          <w14:ligatures w14:val="none"/>
        </w:rPr>
        <w:t>un proveedor de referencia</w:t>
      </w:r>
      <w:r w:rsidRPr="000444D1">
        <w:rPr>
          <w:rFonts w:ascii="Times New Roman" w:eastAsia="Times New Roman" w:hAnsi="Times New Roman" w:cs="Times New Roman"/>
          <w:kern w:val="0"/>
          <w14:ligatures w14:val="none"/>
        </w:rPr>
        <w:t xml:space="preserve"> para efectos de concreción del diseño, y se documenta el mapeo de cada capacidad genérica a su servicio concreto, junto con su equivalente en el proveedor alternativo.</w:t>
      </w:r>
    </w:p>
    <w:p w14:paraId="0B53C81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arquitectura se expresa en </w:t>
      </w:r>
      <w:r w:rsidRPr="000444D1">
        <w:rPr>
          <w:rFonts w:ascii="Times New Roman" w:eastAsia="Times New Roman" w:hAnsi="Times New Roman" w:cs="Times New Roman"/>
          <w:b/>
          <w:bCs/>
          <w:kern w:val="0"/>
          <w14:ligatures w14:val="none"/>
        </w:rPr>
        <w:t>capacidades genéricas</w:t>
      </w:r>
      <w:r w:rsidRPr="000444D1">
        <w:rPr>
          <w:rFonts w:ascii="Times New Roman" w:eastAsia="Times New Roman" w:hAnsi="Times New Roman" w:cs="Times New Roman"/>
          <w:kern w:val="0"/>
          <w14:ligatures w14:val="none"/>
        </w:rPr>
        <w:t xml:space="preserve"> (broker de eventos, gestor de APIs, almacén de secretos, proveedor de identidad); la selección de productos concretos es una decisión de implementación documentada y sustituible, no un supuesto estructural (principio P8). El detalle del mapeo se desarrolla en la sección 10.</w:t>
      </w:r>
    </w:p>
    <w:p w14:paraId="282FCA3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Alternativas descartadas.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7438"/>
      </w:tblGrid>
      <w:tr w:rsidR="000444D1" w:rsidRPr="000444D1" w14:paraId="7C2A9F06" w14:textId="77777777">
        <w:trPr>
          <w:tblHeader/>
          <w:tblCellSpacing w:w="15" w:type="dxa"/>
        </w:trPr>
        <w:tc>
          <w:tcPr>
            <w:tcW w:w="0" w:type="auto"/>
            <w:vAlign w:val="center"/>
            <w:hideMark/>
          </w:tcPr>
          <w:p w14:paraId="4C6E3C4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w:t>
            </w:r>
          </w:p>
        </w:tc>
        <w:tc>
          <w:tcPr>
            <w:tcW w:w="0" w:type="auto"/>
            <w:vAlign w:val="center"/>
            <w:hideMark/>
          </w:tcPr>
          <w:p w14:paraId="3C0A8F5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07830A82" w14:textId="77777777">
        <w:trPr>
          <w:tblCellSpacing w:w="15" w:type="dxa"/>
        </w:trPr>
        <w:tc>
          <w:tcPr>
            <w:tcW w:w="0" w:type="auto"/>
            <w:vAlign w:val="center"/>
            <w:hideMark/>
          </w:tcPr>
          <w:p w14:paraId="0A23AAE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on-premise</w:t>
            </w:r>
          </w:p>
        </w:tc>
        <w:tc>
          <w:tcPr>
            <w:tcW w:w="0" w:type="auto"/>
            <w:vAlign w:val="center"/>
            <w:hideMark/>
          </w:tcPr>
          <w:p w14:paraId="155F63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satisface la elasticidad requerida ante picos estacionales sin sobredimensionar permanentemente la infraestructura</w:t>
            </w:r>
          </w:p>
        </w:tc>
      </w:tr>
      <w:tr w:rsidR="000444D1" w:rsidRPr="000444D1" w14:paraId="21FDCE3B" w14:textId="77777777">
        <w:trPr>
          <w:tblCellSpacing w:w="15" w:type="dxa"/>
        </w:trPr>
        <w:tc>
          <w:tcPr>
            <w:tcW w:w="0" w:type="auto"/>
            <w:vAlign w:val="center"/>
            <w:hideMark/>
          </w:tcPr>
          <w:p w14:paraId="4936C8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en nube pública</w:t>
            </w:r>
          </w:p>
        </w:tc>
        <w:tc>
          <w:tcPr>
            <w:tcW w:w="0" w:type="auto"/>
            <w:vAlign w:val="center"/>
            <w:hideMark/>
          </w:tcPr>
          <w:p w14:paraId="55B529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Fuera de alcance (reubicación del core) y en tensión con el requisito de residencia de datos</w:t>
            </w:r>
          </w:p>
        </w:tc>
      </w:tr>
      <w:tr w:rsidR="000444D1" w:rsidRPr="000444D1" w14:paraId="58C69BF0" w14:textId="77777777">
        <w:trPr>
          <w:tblCellSpacing w:w="15" w:type="dxa"/>
        </w:trPr>
        <w:tc>
          <w:tcPr>
            <w:tcW w:w="0" w:type="auto"/>
            <w:vAlign w:val="center"/>
            <w:hideMark/>
          </w:tcPr>
          <w:p w14:paraId="20DD78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Multinube activo-activo</w:t>
            </w:r>
          </w:p>
        </w:tc>
        <w:tc>
          <w:tcPr>
            <w:tcW w:w="0" w:type="auto"/>
            <w:vAlign w:val="center"/>
            <w:hideMark/>
          </w:tcPr>
          <w:p w14:paraId="6B7093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Complejidad operativa desproporcionada frente al beneficio; no lo exige ningún requisito declarado</w:t>
            </w:r>
          </w:p>
        </w:tc>
      </w:tr>
    </w:tbl>
    <w:p w14:paraId="565918D5"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676CEA82">
          <v:rect id="Horizontal Line 558"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31A8AA2"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5. Modelo de dominios y systems of record</w:t>
      </w:r>
    </w:p>
    <w:p w14:paraId="1C4527D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 sección establece la descomposición funcional de la solución y la propiedad del dato. Es la base de la que se derivan los diagramas de las secciones 6 a 8: cada servicio del diagrama de contenedores corresponde a un dominio identificado aquí, y ningún dominio identificado aquí carece de representación en el diagrama.</w:t>
      </w:r>
    </w:p>
    <w:p w14:paraId="2417404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5.1 Encuadre en el modelo BIAN</w:t>
      </w:r>
    </w:p>
    <w:p w14:paraId="2B0981F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Se adopta el </w:t>
      </w:r>
      <w:r w:rsidRPr="000444D1">
        <w:rPr>
          <w:rFonts w:ascii="Times New Roman" w:eastAsia="Times New Roman" w:hAnsi="Times New Roman" w:cs="Times New Roman"/>
          <w:b/>
          <w:bCs/>
          <w:kern w:val="0"/>
          <w14:ligatures w14:val="none"/>
        </w:rPr>
        <w:t>BIAN Service Landscape</w:t>
      </w:r>
      <w:r w:rsidRPr="000444D1">
        <w:rPr>
          <w:rFonts w:ascii="Times New Roman" w:eastAsia="Times New Roman" w:hAnsi="Times New Roman" w:cs="Times New Roman"/>
          <w:kern w:val="0"/>
          <w14:ligatures w14:val="none"/>
        </w:rPr>
        <w:t xml:space="preserve"> como marco de referencia para la nomenclatura y el alcance funcional de los servicios. La motivación es concreta y no cosmética: BIAN provee una partición del negocio bancario en </w:t>
      </w:r>
      <w:r w:rsidRPr="000444D1">
        <w:rPr>
          <w:rFonts w:ascii="Times New Roman" w:eastAsia="Times New Roman" w:hAnsi="Times New Roman" w:cs="Times New Roman"/>
          <w:i/>
          <w:iCs/>
          <w:kern w:val="0"/>
          <w14:ligatures w14:val="none"/>
        </w:rPr>
        <w:t>Service Domains</w:t>
      </w:r>
      <w:r w:rsidRPr="000444D1">
        <w:rPr>
          <w:rFonts w:ascii="Times New Roman" w:eastAsia="Times New Roman" w:hAnsi="Times New Roman" w:cs="Times New Roman"/>
          <w:kern w:val="0"/>
          <w14:ligatures w14:val="none"/>
        </w:rPr>
        <w:t xml:space="preserve"> con responsabilidad y frontera de datos ya definidas, lo que reduce la arbitrariedad en el corte de servicios —precisamente el punto donde las arquitecturas de microservicios suelen degradarse— y facilita el diálogo con proveedores y reguladores que comparten ese vocabulario.</w:t>
      </w:r>
    </w:p>
    <w:p w14:paraId="26CCA87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escenario planteado involucra cuatro de las Business Areas del modelo. No se abordan todas: las áreas de soporte al negocio (finanzas, recursos humanos, tecnología interna) quedan fuera del alcance declarado en la sección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3120"/>
        <w:gridCol w:w="4378"/>
      </w:tblGrid>
      <w:tr w:rsidR="000444D1" w:rsidRPr="000444D1" w14:paraId="44C77288" w14:textId="77777777">
        <w:trPr>
          <w:tblHeader/>
          <w:tblCellSpacing w:w="15" w:type="dxa"/>
        </w:trPr>
        <w:tc>
          <w:tcPr>
            <w:tcW w:w="0" w:type="auto"/>
            <w:vAlign w:val="center"/>
            <w:hideMark/>
          </w:tcPr>
          <w:p w14:paraId="1467CA1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Business Area</w:t>
            </w:r>
          </w:p>
        </w:tc>
        <w:tc>
          <w:tcPr>
            <w:tcW w:w="0" w:type="auto"/>
            <w:vAlign w:val="center"/>
            <w:hideMark/>
          </w:tcPr>
          <w:p w14:paraId="6CC11E5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Business Domain</w:t>
            </w:r>
          </w:p>
        </w:tc>
        <w:tc>
          <w:tcPr>
            <w:tcW w:w="0" w:type="auto"/>
            <w:vAlign w:val="center"/>
            <w:hideMark/>
          </w:tcPr>
          <w:p w14:paraId="47B6A43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Relevancia en este escenario</w:t>
            </w:r>
          </w:p>
        </w:tc>
      </w:tr>
      <w:tr w:rsidR="000444D1" w:rsidRPr="000444D1" w14:paraId="731F29B8" w14:textId="77777777">
        <w:trPr>
          <w:tblCellSpacing w:w="15" w:type="dxa"/>
        </w:trPr>
        <w:tc>
          <w:tcPr>
            <w:tcW w:w="0" w:type="auto"/>
            <w:vAlign w:val="center"/>
            <w:hideMark/>
          </w:tcPr>
          <w:p w14:paraId="328191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Reference Data</w:t>
            </w:r>
          </w:p>
        </w:tc>
        <w:tc>
          <w:tcPr>
            <w:tcW w:w="0" w:type="auto"/>
            <w:vAlign w:val="center"/>
            <w:hideMark/>
          </w:tcPr>
          <w:p w14:paraId="2FCA74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Party Reference Data · Product Management</w:t>
            </w:r>
          </w:p>
        </w:tc>
        <w:tc>
          <w:tcPr>
            <w:tcW w:w="0" w:type="auto"/>
            <w:vAlign w:val="center"/>
            <w:hideMark/>
          </w:tcPr>
          <w:p w14:paraId="04EF80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Identidad del cliente y catálogo de productos; determinan el enrutamiento multicore</w:t>
            </w:r>
          </w:p>
        </w:tc>
      </w:tr>
      <w:tr w:rsidR="000444D1" w:rsidRPr="000444D1" w14:paraId="5C549356" w14:textId="77777777">
        <w:trPr>
          <w:tblCellSpacing w:w="15" w:type="dxa"/>
        </w:trPr>
        <w:tc>
          <w:tcPr>
            <w:tcW w:w="0" w:type="auto"/>
            <w:vAlign w:val="center"/>
            <w:hideMark/>
          </w:tcPr>
          <w:p w14:paraId="0D905A4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Sales &amp; Service</w:t>
            </w:r>
          </w:p>
        </w:tc>
        <w:tc>
          <w:tcPr>
            <w:tcW w:w="0" w:type="auto"/>
            <w:vAlign w:val="center"/>
            <w:hideMark/>
          </w:tcPr>
          <w:p w14:paraId="75E509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Customer Management · Servicing</w:t>
            </w:r>
          </w:p>
        </w:tc>
        <w:tc>
          <w:tcPr>
            <w:tcW w:w="0" w:type="auto"/>
            <w:vAlign w:val="center"/>
            <w:hideMark/>
          </w:tcPr>
          <w:p w14:paraId="6EA573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Posición consolidada del cliente y atención por canal</w:t>
            </w:r>
          </w:p>
        </w:tc>
      </w:tr>
      <w:tr w:rsidR="000444D1" w:rsidRPr="000444D1" w14:paraId="19D2E020" w14:textId="77777777">
        <w:trPr>
          <w:tblCellSpacing w:w="15" w:type="dxa"/>
        </w:trPr>
        <w:tc>
          <w:tcPr>
            <w:tcW w:w="0" w:type="auto"/>
            <w:vAlign w:val="center"/>
            <w:hideMark/>
          </w:tcPr>
          <w:p w14:paraId="33A527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Operations &amp; Execution</w:t>
            </w:r>
          </w:p>
        </w:tc>
        <w:tc>
          <w:tcPr>
            <w:tcW w:w="0" w:type="auto"/>
            <w:vAlign w:val="center"/>
            <w:hideMark/>
          </w:tcPr>
          <w:p w14:paraId="61D906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Payments · Account Management · Cards</w:t>
            </w:r>
          </w:p>
        </w:tc>
        <w:tc>
          <w:tcPr>
            <w:tcW w:w="0" w:type="auto"/>
            <w:vAlign w:val="center"/>
            <w:hideMark/>
          </w:tcPr>
          <w:p w14:paraId="5DCCED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Ejecución transaccional; es donde reside la coexistencia de los dos cores</w:t>
            </w:r>
          </w:p>
        </w:tc>
      </w:tr>
      <w:tr w:rsidR="000444D1" w:rsidRPr="000444D1" w14:paraId="2E91A30E" w14:textId="77777777">
        <w:trPr>
          <w:tblCellSpacing w:w="15" w:type="dxa"/>
        </w:trPr>
        <w:tc>
          <w:tcPr>
            <w:tcW w:w="0" w:type="auto"/>
            <w:vAlign w:val="center"/>
            <w:hideMark/>
          </w:tcPr>
          <w:p w14:paraId="49ECDD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Risk &amp; Compliance</w:t>
            </w:r>
          </w:p>
        </w:tc>
        <w:tc>
          <w:tcPr>
            <w:tcW w:w="0" w:type="auto"/>
            <w:vAlign w:val="center"/>
            <w:hideMark/>
          </w:tcPr>
          <w:p w14:paraId="1EFE3C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Financial Crime · Credit Risk · Regulatory Compliance</w:t>
            </w:r>
          </w:p>
        </w:tc>
        <w:tc>
          <w:tcPr>
            <w:tcW w:w="0" w:type="auto"/>
            <w:vAlign w:val="center"/>
            <w:hideMark/>
          </w:tcPr>
          <w:p w14:paraId="1A6BA4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Fraude, riesgos y trazabilidad regulatoria</w:t>
            </w:r>
          </w:p>
        </w:tc>
      </w:tr>
    </w:tbl>
    <w:p w14:paraId="2429158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Nota sobre el uso de BIAN.</w:t>
      </w:r>
      <w:r w:rsidRPr="000444D1">
        <w:rPr>
          <w:rFonts w:ascii="Times New Roman" w:eastAsia="Times New Roman" w:hAnsi="Times New Roman" w:cs="Times New Roman"/>
          <w:kern w:val="0"/>
          <w14:ligatures w14:val="none"/>
        </w:rPr>
        <w:t xml:space="preserve"> Se emplea como marco de referencia semántica, no como especificación de implementación. Los servicios propuestos se alinean al alcance funcional de los Service Domains correspondientes, pero su granularidad de despliegue responde a criterios de acoplamiento y de organización de equipos (sección 5.4). La denominación exacta de cada Service Domain debe verificarse contra la versión vigente del Service Landscape antes de su adopción formal en el catálogo de servicios del banco.</w:t>
      </w:r>
    </w:p>
    <w:p w14:paraId="572C5DF2"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5.2 Matriz de dominios</w:t>
      </w:r>
    </w:p>
    <w:p w14:paraId="5C1CEEB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Nueve dominios cubren el alcance del escenario. La columna </w:t>
      </w:r>
      <w:r w:rsidRPr="000444D1">
        <w:rPr>
          <w:rFonts w:ascii="Times New Roman" w:eastAsia="Times New Roman" w:hAnsi="Times New Roman" w:cs="Times New Roman"/>
          <w:i/>
          <w:iCs/>
          <w:kern w:val="0"/>
          <w14:ligatures w14:val="none"/>
        </w:rPr>
        <w:t>tipo</w:t>
      </w:r>
      <w:r w:rsidRPr="000444D1">
        <w:rPr>
          <w:rFonts w:ascii="Times New Roman" w:eastAsia="Times New Roman" w:hAnsi="Times New Roman" w:cs="Times New Roman"/>
          <w:kern w:val="0"/>
          <w14:ligatures w14:val="none"/>
        </w:rPr>
        <w:t xml:space="preserve"> distingue tres naturalezas cuya diferencia es determinante para el diseño: los dominios </w:t>
      </w:r>
      <w:r w:rsidRPr="000444D1">
        <w:rPr>
          <w:rFonts w:ascii="Times New Roman" w:eastAsia="Times New Roman" w:hAnsi="Times New Roman" w:cs="Times New Roman"/>
          <w:b/>
          <w:bCs/>
          <w:kern w:val="0"/>
          <w14:ligatures w14:val="none"/>
        </w:rPr>
        <w:t>propietarios</w:t>
      </w:r>
      <w:r w:rsidRPr="000444D1">
        <w:rPr>
          <w:rFonts w:ascii="Times New Roman" w:eastAsia="Times New Roman" w:hAnsi="Times New Roman" w:cs="Times New Roman"/>
          <w:kern w:val="0"/>
          <w14:ligatures w14:val="none"/>
        </w:rPr>
        <w:t xml:space="preserve"> poseen datos y son fuente </w:t>
      </w:r>
      <w:r w:rsidRPr="000444D1">
        <w:rPr>
          <w:rFonts w:ascii="Times New Roman" w:eastAsia="Times New Roman" w:hAnsi="Times New Roman" w:cs="Times New Roman"/>
          <w:kern w:val="0"/>
          <w14:ligatures w14:val="none"/>
        </w:rPr>
        <w:lastRenderedPageBreak/>
        <w:t xml:space="preserve">de verdad; los </w:t>
      </w:r>
      <w:r w:rsidRPr="000444D1">
        <w:rPr>
          <w:rFonts w:ascii="Times New Roman" w:eastAsia="Times New Roman" w:hAnsi="Times New Roman" w:cs="Times New Roman"/>
          <w:b/>
          <w:bCs/>
          <w:kern w:val="0"/>
          <w14:ligatures w14:val="none"/>
        </w:rPr>
        <w:t>de mediación</w:t>
      </w:r>
      <w:r w:rsidRPr="000444D1">
        <w:rPr>
          <w:rFonts w:ascii="Times New Roman" w:eastAsia="Times New Roman" w:hAnsi="Times New Roman" w:cs="Times New Roman"/>
          <w:kern w:val="0"/>
          <w14:ligatures w14:val="none"/>
        </w:rPr>
        <w:t xml:space="preserve"> no poseen datos propios y traducen hacia un sistema existente; las </w:t>
      </w:r>
      <w:r w:rsidRPr="000444D1">
        <w:rPr>
          <w:rFonts w:ascii="Times New Roman" w:eastAsia="Times New Roman" w:hAnsi="Times New Roman" w:cs="Times New Roman"/>
          <w:b/>
          <w:bCs/>
          <w:kern w:val="0"/>
          <w14:ligatures w14:val="none"/>
        </w:rPr>
        <w:t>proyecciones</w:t>
      </w:r>
      <w:r w:rsidRPr="000444D1">
        <w:rPr>
          <w:rFonts w:ascii="Times New Roman" w:eastAsia="Times New Roman" w:hAnsi="Times New Roman" w:cs="Times New Roman"/>
          <w:kern w:val="0"/>
          <w14:ligatures w14:val="none"/>
        </w:rPr>
        <w:t xml:space="preserve"> no poseen datos ni fuente de verdad, y solo materializan una vista derivada de eventos ajenos.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006"/>
        <w:gridCol w:w="1838"/>
        <w:gridCol w:w="1193"/>
        <w:gridCol w:w="3954"/>
      </w:tblGrid>
      <w:tr w:rsidR="000444D1" w:rsidRPr="000444D1" w14:paraId="4AFEF177" w14:textId="77777777">
        <w:trPr>
          <w:tblHeader/>
          <w:tblCellSpacing w:w="15" w:type="dxa"/>
        </w:trPr>
        <w:tc>
          <w:tcPr>
            <w:tcW w:w="0" w:type="auto"/>
            <w:vAlign w:val="center"/>
            <w:hideMark/>
          </w:tcPr>
          <w:p w14:paraId="5CFDFE1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17090FD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Dominio</w:t>
            </w:r>
          </w:p>
        </w:tc>
        <w:tc>
          <w:tcPr>
            <w:tcW w:w="0" w:type="auto"/>
            <w:vAlign w:val="center"/>
            <w:hideMark/>
          </w:tcPr>
          <w:p w14:paraId="51B0BAD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Service Domain BIAN de referencia</w:t>
            </w:r>
          </w:p>
        </w:tc>
        <w:tc>
          <w:tcPr>
            <w:tcW w:w="0" w:type="auto"/>
            <w:vAlign w:val="center"/>
            <w:hideMark/>
          </w:tcPr>
          <w:p w14:paraId="03FD866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w:t>
            </w:r>
          </w:p>
        </w:tc>
        <w:tc>
          <w:tcPr>
            <w:tcW w:w="0" w:type="auto"/>
            <w:vAlign w:val="center"/>
            <w:hideMark/>
          </w:tcPr>
          <w:p w14:paraId="301905C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 única</w:t>
            </w:r>
          </w:p>
        </w:tc>
      </w:tr>
      <w:tr w:rsidR="000444D1" w:rsidRPr="000444D1" w14:paraId="0004C0A9" w14:textId="77777777">
        <w:trPr>
          <w:tblCellSpacing w:w="15" w:type="dxa"/>
        </w:trPr>
        <w:tc>
          <w:tcPr>
            <w:tcW w:w="0" w:type="auto"/>
            <w:vAlign w:val="center"/>
            <w:hideMark/>
          </w:tcPr>
          <w:p w14:paraId="318244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w:t>
            </w:r>
          </w:p>
        </w:tc>
        <w:tc>
          <w:tcPr>
            <w:tcW w:w="0" w:type="auto"/>
            <w:vAlign w:val="center"/>
            <w:hideMark/>
          </w:tcPr>
          <w:p w14:paraId="6D7AE2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Datos maestros de cliente</w:t>
            </w:r>
          </w:p>
        </w:tc>
        <w:tc>
          <w:tcPr>
            <w:tcW w:w="0" w:type="auto"/>
            <w:vAlign w:val="center"/>
            <w:hideMark/>
          </w:tcPr>
          <w:p w14:paraId="1E4B43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Party Reference Data Directory</w:t>
            </w:r>
          </w:p>
        </w:tc>
        <w:tc>
          <w:tcPr>
            <w:tcW w:w="0" w:type="auto"/>
            <w:vAlign w:val="center"/>
            <w:hideMark/>
          </w:tcPr>
          <w:p w14:paraId="4861FDA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Mediación</w:t>
            </w:r>
          </w:p>
        </w:tc>
        <w:tc>
          <w:tcPr>
            <w:tcW w:w="0" w:type="auto"/>
            <w:vAlign w:val="center"/>
            <w:hideMark/>
          </w:tcPr>
          <w:p w14:paraId="724C9B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Exponer la identidad del cliente en modelo canónico y publicar sus cambios como eventos</w:t>
            </w:r>
          </w:p>
        </w:tc>
      </w:tr>
      <w:tr w:rsidR="000444D1" w:rsidRPr="000444D1" w14:paraId="19ADAD52" w14:textId="77777777">
        <w:trPr>
          <w:tblCellSpacing w:w="15" w:type="dxa"/>
        </w:trPr>
        <w:tc>
          <w:tcPr>
            <w:tcW w:w="0" w:type="auto"/>
            <w:vAlign w:val="center"/>
            <w:hideMark/>
          </w:tcPr>
          <w:p w14:paraId="515FD69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D2</w:t>
            </w:r>
          </w:p>
        </w:tc>
        <w:tc>
          <w:tcPr>
            <w:tcW w:w="0" w:type="auto"/>
            <w:vAlign w:val="center"/>
            <w:hideMark/>
          </w:tcPr>
          <w:p w14:paraId="64B8CF8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Catálogo de productos</w:t>
            </w:r>
          </w:p>
        </w:tc>
        <w:tc>
          <w:tcPr>
            <w:tcW w:w="0" w:type="auto"/>
            <w:vAlign w:val="center"/>
            <w:hideMark/>
          </w:tcPr>
          <w:p w14:paraId="20FE3F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 Directory</w:t>
            </w:r>
          </w:p>
        </w:tc>
        <w:tc>
          <w:tcPr>
            <w:tcW w:w="0" w:type="auto"/>
            <w:vAlign w:val="center"/>
            <w:hideMark/>
          </w:tcPr>
          <w:p w14:paraId="54E4E89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6CBC95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Mantener el catálogo de productos y la relación producto → core propietario que resuelve el enrutamiento</w:t>
            </w:r>
          </w:p>
        </w:tc>
      </w:tr>
      <w:tr w:rsidR="000444D1" w:rsidRPr="000444D1" w14:paraId="62B36A10" w14:textId="77777777">
        <w:trPr>
          <w:tblCellSpacing w:w="15" w:type="dxa"/>
        </w:trPr>
        <w:tc>
          <w:tcPr>
            <w:tcW w:w="0" w:type="auto"/>
            <w:vAlign w:val="center"/>
            <w:hideMark/>
          </w:tcPr>
          <w:p w14:paraId="36DEE7C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w:t>
            </w:r>
          </w:p>
        </w:tc>
        <w:tc>
          <w:tcPr>
            <w:tcW w:w="0" w:type="auto"/>
            <w:vAlign w:val="center"/>
            <w:hideMark/>
          </w:tcPr>
          <w:p w14:paraId="206F62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Posición consolidada</w:t>
            </w:r>
          </w:p>
        </w:tc>
        <w:tc>
          <w:tcPr>
            <w:tcW w:w="0" w:type="auto"/>
            <w:vAlign w:val="center"/>
            <w:hideMark/>
          </w:tcPr>
          <w:p w14:paraId="6C13C6A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Customer Position</w:t>
            </w:r>
          </w:p>
        </w:tc>
        <w:tc>
          <w:tcPr>
            <w:tcW w:w="0" w:type="auto"/>
            <w:vAlign w:val="center"/>
            <w:hideMark/>
          </w:tcPr>
          <w:p w14:paraId="4DB9DA6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Proyección</w:t>
            </w:r>
          </w:p>
        </w:tc>
        <w:tc>
          <w:tcPr>
            <w:tcW w:w="0" w:type="auto"/>
            <w:vAlign w:val="center"/>
            <w:hideMark/>
          </w:tcPr>
          <w:p w14:paraId="6DFB748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Materializar la posición del cliente a través de ambos cores para consulta interactiva</w:t>
            </w:r>
          </w:p>
        </w:tc>
      </w:tr>
      <w:tr w:rsidR="000444D1" w:rsidRPr="000444D1" w14:paraId="00016B6D" w14:textId="77777777">
        <w:trPr>
          <w:tblCellSpacing w:w="15" w:type="dxa"/>
        </w:trPr>
        <w:tc>
          <w:tcPr>
            <w:tcW w:w="0" w:type="auto"/>
            <w:vAlign w:val="center"/>
            <w:hideMark/>
          </w:tcPr>
          <w:p w14:paraId="17F8D90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w:t>
            </w:r>
          </w:p>
        </w:tc>
        <w:tc>
          <w:tcPr>
            <w:tcW w:w="0" w:type="auto"/>
            <w:vAlign w:val="center"/>
            <w:hideMark/>
          </w:tcPr>
          <w:p w14:paraId="40AACC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Órdenes de pago</w:t>
            </w:r>
          </w:p>
        </w:tc>
        <w:tc>
          <w:tcPr>
            <w:tcW w:w="0" w:type="auto"/>
            <w:vAlign w:val="center"/>
            <w:hideMark/>
          </w:tcPr>
          <w:p w14:paraId="7386F1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Payment Order</w:t>
            </w:r>
          </w:p>
        </w:tc>
        <w:tc>
          <w:tcPr>
            <w:tcW w:w="0" w:type="auto"/>
            <w:vAlign w:val="center"/>
            <w:hideMark/>
          </w:tcPr>
          <w:p w14:paraId="1AFA3B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0CBB14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Mantener el ciclo de vida de la orden de pago y orquestar su saga de ejecución</w:t>
            </w:r>
          </w:p>
        </w:tc>
      </w:tr>
      <w:tr w:rsidR="000444D1" w:rsidRPr="000444D1" w14:paraId="2100D5FD" w14:textId="77777777">
        <w:trPr>
          <w:tblCellSpacing w:w="15" w:type="dxa"/>
        </w:trPr>
        <w:tc>
          <w:tcPr>
            <w:tcW w:w="0" w:type="auto"/>
            <w:vAlign w:val="center"/>
            <w:hideMark/>
          </w:tcPr>
          <w:p w14:paraId="5182D1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w:t>
            </w:r>
          </w:p>
        </w:tc>
        <w:tc>
          <w:tcPr>
            <w:tcW w:w="0" w:type="auto"/>
            <w:vAlign w:val="center"/>
            <w:hideMark/>
          </w:tcPr>
          <w:p w14:paraId="22B5591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de fraude</w:t>
            </w:r>
          </w:p>
        </w:tc>
        <w:tc>
          <w:tcPr>
            <w:tcW w:w="0" w:type="auto"/>
            <w:vAlign w:val="center"/>
            <w:hideMark/>
          </w:tcPr>
          <w:p w14:paraId="222895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Fraud Evaluation</w:t>
            </w:r>
          </w:p>
        </w:tc>
        <w:tc>
          <w:tcPr>
            <w:tcW w:w="0" w:type="auto"/>
            <w:vAlign w:val="center"/>
            <w:hideMark/>
          </w:tcPr>
          <w:p w14:paraId="09F207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Mediación</w:t>
            </w:r>
          </w:p>
        </w:tc>
        <w:tc>
          <w:tcPr>
            <w:tcW w:w="0" w:type="auto"/>
            <w:vAlign w:val="center"/>
            <w:hideMark/>
          </w:tcPr>
          <w:p w14:paraId="251B3D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Aplicar la política de evaluación en línea (ADR-005) y mediar con el motor de fraude existente</w:t>
            </w:r>
          </w:p>
        </w:tc>
      </w:tr>
      <w:tr w:rsidR="000444D1" w:rsidRPr="000444D1" w14:paraId="0F403281" w14:textId="77777777">
        <w:trPr>
          <w:tblCellSpacing w:w="15" w:type="dxa"/>
        </w:trPr>
        <w:tc>
          <w:tcPr>
            <w:tcW w:w="0" w:type="auto"/>
            <w:vAlign w:val="center"/>
            <w:hideMark/>
          </w:tcPr>
          <w:p w14:paraId="381E17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D6</w:t>
            </w:r>
          </w:p>
        </w:tc>
        <w:tc>
          <w:tcPr>
            <w:tcW w:w="0" w:type="auto"/>
            <w:vAlign w:val="center"/>
            <w:hideMark/>
          </w:tcPr>
          <w:p w14:paraId="757222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de riesgo</w:t>
            </w:r>
          </w:p>
        </w:tc>
        <w:tc>
          <w:tcPr>
            <w:tcW w:w="0" w:type="auto"/>
            <w:vAlign w:val="center"/>
            <w:hideMark/>
          </w:tcPr>
          <w:p w14:paraId="36A51D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Customer Credit Rating</w:t>
            </w:r>
          </w:p>
        </w:tc>
        <w:tc>
          <w:tcPr>
            <w:tcW w:w="0" w:type="auto"/>
            <w:vAlign w:val="center"/>
            <w:hideMark/>
          </w:tcPr>
          <w:p w14:paraId="775DDF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Mediación</w:t>
            </w:r>
          </w:p>
        </w:tc>
        <w:tc>
          <w:tcPr>
            <w:tcW w:w="0" w:type="auto"/>
            <w:vAlign w:val="center"/>
            <w:hideMark/>
          </w:tcPr>
          <w:p w14:paraId="6742F8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Mediar con el sistema de gestión de riesgos y exponer su veredicto en modelo canónico</w:t>
            </w:r>
          </w:p>
        </w:tc>
      </w:tr>
      <w:tr w:rsidR="000444D1" w:rsidRPr="000444D1" w14:paraId="14D7C750" w14:textId="77777777">
        <w:trPr>
          <w:tblCellSpacing w:w="15" w:type="dxa"/>
        </w:trPr>
        <w:tc>
          <w:tcPr>
            <w:tcW w:w="0" w:type="auto"/>
            <w:vAlign w:val="center"/>
            <w:hideMark/>
          </w:tcPr>
          <w:p w14:paraId="2CDE43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w:t>
            </w:r>
          </w:p>
        </w:tc>
        <w:tc>
          <w:tcPr>
            <w:tcW w:w="0" w:type="auto"/>
            <w:vAlign w:val="center"/>
            <w:hideMark/>
          </w:tcPr>
          <w:p w14:paraId="65CA87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Consentimientos</w:t>
            </w:r>
          </w:p>
        </w:tc>
        <w:tc>
          <w:tcPr>
            <w:tcW w:w="0" w:type="auto"/>
            <w:vAlign w:val="center"/>
            <w:hideMark/>
          </w:tcPr>
          <w:p w14:paraId="25CD33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i/>
                <w:iCs/>
                <w:kern w:val="0"/>
                <w14:ligatures w14:val="none"/>
              </w:rPr>
              <w:t>(extensión — ver nota)</w:t>
            </w:r>
          </w:p>
        </w:tc>
        <w:tc>
          <w:tcPr>
            <w:tcW w:w="0" w:type="auto"/>
            <w:vAlign w:val="center"/>
            <w:hideMark/>
          </w:tcPr>
          <w:p w14:paraId="4C384D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26FB61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Registrar, consultar y revocar los consentimientos de acceso de terceros Open Finance</w:t>
            </w:r>
          </w:p>
        </w:tc>
      </w:tr>
      <w:tr w:rsidR="000444D1" w:rsidRPr="000444D1" w14:paraId="1924F9F3" w14:textId="77777777">
        <w:trPr>
          <w:tblCellSpacing w:w="15" w:type="dxa"/>
        </w:trPr>
        <w:tc>
          <w:tcPr>
            <w:tcW w:w="0" w:type="auto"/>
            <w:vAlign w:val="center"/>
            <w:hideMark/>
          </w:tcPr>
          <w:p w14:paraId="350605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w:t>
            </w:r>
          </w:p>
        </w:tc>
        <w:tc>
          <w:tcPr>
            <w:tcW w:w="0" w:type="auto"/>
            <w:vAlign w:val="center"/>
            <w:hideMark/>
          </w:tcPr>
          <w:p w14:paraId="43197D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Historial de eventos de cliente</w:t>
            </w:r>
          </w:p>
        </w:tc>
        <w:tc>
          <w:tcPr>
            <w:tcW w:w="0" w:type="auto"/>
            <w:vAlign w:val="center"/>
            <w:hideMark/>
          </w:tcPr>
          <w:p w14:paraId="43E099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Customer Event History</w:t>
            </w:r>
          </w:p>
        </w:tc>
        <w:tc>
          <w:tcPr>
            <w:tcW w:w="0" w:type="auto"/>
            <w:vAlign w:val="center"/>
            <w:hideMark/>
          </w:tcPr>
          <w:p w14:paraId="1A63E1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04BE71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Conservar el registro inmutable de operaciones para trazabilidad regulatoria</w:t>
            </w:r>
          </w:p>
        </w:tc>
      </w:tr>
      <w:tr w:rsidR="000444D1" w:rsidRPr="000444D1" w14:paraId="4FD190C3" w14:textId="77777777">
        <w:trPr>
          <w:tblCellSpacing w:w="15" w:type="dxa"/>
        </w:trPr>
        <w:tc>
          <w:tcPr>
            <w:tcW w:w="0" w:type="auto"/>
            <w:vAlign w:val="center"/>
            <w:hideMark/>
          </w:tcPr>
          <w:p w14:paraId="3A958DE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D9</w:t>
            </w:r>
          </w:p>
        </w:tc>
        <w:tc>
          <w:tcPr>
            <w:tcW w:w="0" w:type="auto"/>
            <w:vAlign w:val="center"/>
            <w:hideMark/>
          </w:tcPr>
          <w:p w14:paraId="1670F0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Entitlements de acceso</w:t>
            </w:r>
          </w:p>
        </w:tc>
        <w:tc>
          <w:tcPr>
            <w:tcW w:w="0" w:type="auto"/>
            <w:vAlign w:val="center"/>
            <w:hideMark/>
          </w:tcPr>
          <w:p w14:paraId="05BB60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Customer Access Entitlement</w:t>
            </w:r>
          </w:p>
        </w:tc>
        <w:tc>
          <w:tcPr>
            <w:tcW w:w="0" w:type="auto"/>
            <w:vAlign w:val="center"/>
            <w:hideMark/>
          </w:tcPr>
          <w:p w14:paraId="007284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444616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Determinar qué productos y operaciones puede ejercer cada identidad sobre cada cuenta</w:t>
            </w:r>
          </w:p>
        </w:tc>
      </w:tr>
    </w:tbl>
    <w:p w14:paraId="35AB6E8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Nota sobre D7.</w:t>
      </w:r>
      <w:r w:rsidRPr="000444D1">
        <w:rPr>
          <w:rFonts w:ascii="Times New Roman" w:eastAsia="Times New Roman" w:hAnsi="Times New Roman" w:cs="Times New Roman"/>
          <w:kern w:val="0"/>
          <w14:ligatures w14:val="none"/>
        </w:rPr>
        <w:t xml:space="preserve"> El modelo BIAN no ofrece un Service Domain que cubra con precisión la gestión de consentimientos de Open Finance en el sentido que le da la normativa de banca abierta. Se declara explícitamente como </w:t>
      </w:r>
      <w:r w:rsidRPr="000444D1">
        <w:rPr>
          <w:rFonts w:ascii="Times New Roman" w:eastAsia="Times New Roman" w:hAnsi="Times New Roman" w:cs="Times New Roman"/>
          <w:b/>
          <w:bCs/>
          <w:kern w:val="0"/>
          <w14:ligatures w14:val="none"/>
        </w:rPr>
        <w:t>extensión al marco</w:t>
      </w:r>
      <w:r w:rsidRPr="000444D1">
        <w:rPr>
          <w:rFonts w:ascii="Times New Roman" w:eastAsia="Times New Roman" w:hAnsi="Times New Roman" w:cs="Times New Roman"/>
          <w:kern w:val="0"/>
          <w14:ligatures w14:val="none"/>
        </w:rPr>
        <w:t>, en lugar de forzar su encaje en un Service Domain existente. Documentar la brecha es preferible a una alineación aparente que resultaría engañosa para quien lea el diseño con el modelo BIAN en la mano.</w:t>
      </w:r>
    </w:p>
    <w:p w14:paraId="0CBBAA7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Elementos deliberadamente no elevados a dominio.</w:t>
      </w:r>
      <w:r w:rsidRPr="000444D1">
        <w:rPr>
          <w:rFonts w:ascii="Times New Roman" w:eastAsia="Times New Roman" w:hAnsi="Times New Roman" w:cs="Times New Roman"/>
          <w:kern w:val="0"/>
          <w14:ligatures w14:val="none"/>
        </w:rPr>
        <w:t xml:space="preserve"> Los siguientes se implementan como adaptadores de infraestructura, no como servicios de dominio, porque carecen de lógica de negocio y de datos propios: adaptador del core tradicional (capa anticorrupción), adaptador del core digital, adaptador de redes de pago externas, y canalización de captura de cambios (CDC). </w:t>
      </w:r>
      <w:r w:rsidRPr="000444D1">
        <w:rPr>
          <w:rFonts w:ascii="Times New Roman" w:eastAsia="Times New Roman" w:hAnsi="Times New Roman" w:cs="Times New Roman"/>
          <w:kern w:val="0"/>
          <w14:ligatures w14:val="none"/>
        </w:rPr>
        <w:lastRenderedPageBreak/>
        <w:t>Elevarlos a servicios de dominio produciría componentes sin responsabilidad de negocio identificable, que es uno de los anti-patrones que el diseño debe evitar.</w:t>
      </w:r>
    </w:p>
    <w:p w14:paraId="1686D83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5.3 Matriz de systems of record</w:t>
      </w:r>
    </w:p>
    <w:p w14:paraId="4E21990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Regla de lectura: </w:t>
      </w:r>
      <w:r w:rsidRPr="000444D1">
        <w:rPr>
          <w:rFonts w:ascii="Times New Roman" w:eastAsia="Times New Roman" w:hAnsi="Times New Roman" w:cs="Times New Roman"/>
          <w:b/>
          <w:bCs/>
          <w:kern w:val="0"/>
          <w14:ligatures w14:val="none"/>
        </w:rPr>
        <w:t>para cada entidad existe exactamente un propietario, y solo él escribe.</w:t>
      </w:r>
      <w:r w:rsidRPr="000444D1">
        <w:rPr>
          <w:rFonts w:ascii="Times New Roman" w:eastAsia="Times New Roman" w:hAnsi="Times New Roman" w:cs="Times New Roman"/>
          <w:kern w:val="0"/>
          <w14:ligatures w14:val="none"/>
        </w:rPr>
        <w:t xml:space="preserve"> Todo acceso de escritura desde cualquier otro componente ocurre a través del propietario, nunca contra su almacén.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1924"/>
        <w:gridCol w:w="1871"/>
        <w:gridCol w:w="1567"/>
        <w:gridCol w:w="2157"/>
      </w:tblGrid>
      <w:tr w:rsidR="000444D1" w:rsidRPr="000444D1" w14:paraId="450706C0" w14:textId="77777777">
        <w:trPr>
          <w:tblHeader/>
          <w:tblCellSpacing w:w="15" w:type="dxa"/>
        </w:trPr>
        <w:tc>
          <w:tcPr>
            <w:tcW w:w="0" w:type="auto"/>
            <w:vAlign w:val="center"/>
            <w:hideMark/>
          </w:tcPr>
          <w:p w14:paraId="79F8CD0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Entidad de negocio</w:t>
            </w:r>
          </w:p>
        </w:tc>
        <w:tc>
          <w:tcPr>
            <w:tcW w:w="0" w:type="auto"/>
            <w:vAlign w:val="center"/>
            <w:hideMark/>
          </w:tcPr>
          <w:p w14:paraId="58DF634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System of Record</w:t>
            </w:r>
          </w:p>
        </w:tc>
        <w:tc>
          <w:tcPr>
            <w:tcW w:w="0" w:type="auto"/>
            <w:vAlign w:val="center"/>
            <w:hideMark/>
          </w:tcPr>
          <w:p w14:paraId="0CF1A3A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Escrito por</w:t>
            </w:r>
          </w:p>
        </w:tc>
        <w:tc>
          <w:tcPr>
            <w:tcW w:w="0" w:type="auto"/>
            <w:vAlign w:val="center"/>
            <w:hideMark/>
          </w:tcPr>
          <w:p w14:paraId="2D1FB18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Consumido por</w:t>
            </w:r>
          </w:p>
        </w:tc>
        <w:tc>
          <w:tcPr>
            <w:tcW w:w="0" w:type="auto"/>
            <w:vAlign w:val="center"/>
            <w:hideMark/>
          </w:tcPr>
          <w:p w14:paraId="33EA77E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Mecanismo de acceso</w:t>
            </w:r>
          </w:p>
        </w:tc>
      </w:tr>
      <w:tr w:rsidR="000444D1" w:rsidRPr="000444D1" w14:paraId="475F8A56" w14:textId="77777777">
        <w:trPr>
          <w:tblCellSpacing w:w="15" w:type="dxa"/>
        </w:trPr>
        <w:tc>
          <w:tcPr>
            <w:tcW w:w="0" w:type="auto"/>
            <w:vAlign w:val="center"/>
            <w:hideMark/>
          </w:tcPr>
          <w:p w14:paraId="399ADD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Datos maestros de cliente</w:t>
            </w:r>
          </w:p>
        </w:tc>
        <w:tc>
          <w:tcPr>
            <w:tcW w:w="0" w:type="auto"/>
            <w:vAlign w:val="center"/>
            <w:hideMark/>
          </w:tcPr>
          <w:p w14:paraId="0523D0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tradicional</w:t>
            </w:r>
          </w:p>
        </w:tc>
        <w:tc>
          <w:tcPr>
            <w:tcW w:w="0" w:type="auto"/>
            <w:vAlign w:val="center"/>
            <w:hideMark/>
          </w:tcPr>
          <w:p w14:paraId="4A077C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tradicional (canales propios y back office)</w:t>
            </w:r>
          </w:p>
        </w:tc>
        <w:tc>
          <w:tcPr>
            <w:tcW w:w="0" w:type="auto"/>
            <w:vAlign w:val="center"/>
            <w:hideMark/>
          </w:tcPr>
          <w:p w14:paraId="1C4761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D5, D6, D7, canales</w:t>
            </w:r>
          </w:p>
        </w:tc>
        <w:tc>
          <w:tcPr>
            <w:tcW w:w="0" w:type="auto"/>
            <w:vAlign w:val="center"/>
            <w:hideMark/>
          </w:tcPr>
          <w:p w14:paraId="797CE4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Lectura vía D1; cambios propagados por eventos (ADR-004)</w:t>
            </w:r>
          </w:p>
        </w:tc>
      </w:tr>
      <w:tr w:rsidR="000444D1" w:rsidRPr="000444D1" w14:paraId="3447612B" w14:textId="77777777">
        <w:trPr>
          <w:tblCellSpacing w:w="15" w:type="dxa"/>
        </w:trPr>
        <w:tc>
          <w:tcPr>
            <w:tcW w:w="0" w:type="auto"/>
            <w:vAlign w:val="center"/>
            <w:hideMark/>
          </w:tcPr>
          <w:p w14:paraId="374AEC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Catálogo de productos y su core propietario</w:t>
            </w:r>
          </w:p>
        </w:tc>
        <w:tc>
          <w:tcPr>
            <w:tcW w:w="0" w:type="auto"/>
            <w:vAlign w:val="center"/>
            <w:hideMark/>
          </w:tcPr>
          <w:p w14:paraId="505123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D2 — Catálogo de productos</w:t>
            </w:r>
          </w:p>
        </w:tc>
        <w:tc>
          <w:tcPr>
            <w:tcW w:w="0" w:type="auto"/>
            <w:vAlign w:val="center"/>
            <w:hideMark/>
          </w:tcPr>
          <w:p w14:paraId="53D72E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D2</w:t>
            </w:r>
          </w:p>
        </w:tc>
        <w:tc>
          <w:tcPr>
            <w:tcW w:w="0" w:type="auto"/>
            <w:vAlign w:val="center"/>
            <w:hideMark/>
          </w:tcPr>
          <w:p w14:paraId="0119824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D4, canales, adaptadores de core</w:t>
            </w:r>
          </w:p>
        </w:tc>
        <w:tc>
          <w:tcPr>
            <w:tcW w:w="0" w:type="auto"/>
            <w:vAlign w:val="center"/>
            <w:hideMark/>
          </w:tcPr>
          <w:p w14:paraId="4AA8440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síncrona de baja latencia; datos de cambio poco frecuente, cacheables</w:t>
            </w:r>
          </w:p>
        </w:tc>
      </w:tr>
      <w:tr w:rsidR="000444D1" w:rsidRPr="000444D1" w14:paraId="3C3DF226" w14:textId="77777777">
        <w:trPr>
          <w:tblCellSpacing w:w="15" w:type="dxa"/>
        </w:trPr>
        <w:tc>
          <w:tcPr>
            <w:tcW w:w="0" w:type="auto"/>
            <w:vAlign w:val="center"/>
            <w:hideMark/>
          </w:tcPr>
          <w:p w14:paraId="316787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Cuenta tradicional, saldo y movimientos</w:t>
            </w:r>
          </w:p>
        </w:tc>
        <w:tc>
          <w:tcPr>
            <w:tcW w:w="0" w:type="auto"/>
            <w:vAlign w:val="center"/>
            <w:hideMark/>
          </w:tcPr>
          <w:p w14:paraId="6BCB49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tradicional</w:t>
            </w:r>
          </w:p>
        </w:tc>
        <w:tc>
          <w:tcPr>
            <w:tcW w:w="0" w:type="auto"/>
            <w:vAlign w:val="center"/>
            <w:hideMark/>
          </w:tcPr>
          <w:p w14:paraId="70E142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tradicional</w:t>
            </w:r>
          </w:p>
        </w:tc>
        <w:tc>
          <w:tcPr>
            <w:tcW w:w="0" w:type="auto"/>
            <w:vAlign w:val="center"/>
            <w:hideMark/>
          </w:tcPr>
          <w:p w14:paraId="0CC9A3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D4, D5, D6</w:t>
            </w:r>
          </w:p>
        </w:tc>
        <w:tc>
          <w:tcPr>
            <w:tcW w:w="0" w:type="auto"/>
            <w:vAlign w:val="center"/>
            <w:hideMark/>
          </w:tcPr>
          <w:p w14:paraId="2E98F0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Escritura síncrona vía capa anticorrupción; lectura desde D3</w:t>
            </w:r>
          </w:p>
        </w:tc>
      </w:tr>
      <w:tr w:rsidR="000444D1" w:rsidRPr="000444D1" w14:paraId="0DA15CD8" w14:textId="77777777">
        <w:trPr>
          <w:tblCellSpacing w:w="15" w:type="dxa"/>
        </w:trPr>
        <w:tc>
          <w:tcPr>
            <w:tcW w:w="0" w:type="auto"/>
            <w:vAlign w:val="center"/>
            <w:hideMark/>
          </w:tcPr>
          <w:p w14:paraId="2F7F63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Cuenta digital, saldo y movimientos</w:t>
            </w:r>
          </w:p>
        </w:tc>
        <w:tc>
          <w:tcPr>
            <w:tcW w:w="0" w:type="auto"/>
            <w:vAlign w:val="center"/>
            <w:hideMark/>
          </w:tcPr>
          <w:p w14:paraId="452AAB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digital</w:t>
            </w:r>
          </w:p>
        </w:tc>
        <w:tc>
          <w:tcPr>
            <w:tcW w:w="0" w:type="auto"/>
            <w:vAlign w:val="center"/>
            <w:hideMark/>
          </w:tcPr>
          <w:p w14:paraId="10F41E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digital</w:t>
            </w:r>
          </w:p>
        </w:tc>
        <w:tc>
          <w:tcPr>
            <w:tcW w:w="0" w:type="auto"/>
            <w:vAlign w:val="center"/>
            <w:hideMark/>
          </w:tcPr>
          <w:p w14:paraId="00387FF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D4, D5, D6</w:t>
            </w:r>
          </w:p>
        </w:tc>
        <w:tc>
          <w:tcPr>
            <w:tcW w:w="0" w:type="auto"/>
            <w:vAlign w:val="center"/>
            <w:hideMark/>
          </w:tcPr>
          <w:p w14:paraId="129232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REST del core digital vía su adaptador</w:t>
            </w:r>
          </w:p>
        </w:tc>
      </w:tr>
      <w:tr w:rsidR="000444D1" w:rsidRPr="000444D1" w14:paraId="67393B87" w14:textId="77777777">
        <w:trPr>
          <w:tblCellSpacing w:w="15" w:type="dxa"/>
        </w:trPr>
        <w:tc>
          <w:tcPr>
            <w:tcW w:w="0" w:type="auto"/>
            <w:vAlign w:val="center"/>
            <w:hideMark/>
          </w:tcPr>
          <w:p w14:paraId="02737F4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Posición consolidada del cliente</w:t>
            </w:r>
          </w:p>
        </w:tc>
        <w:tc>
          <w:tcPr>
            <w:tcW w:w="0" w:type="auto"/>
            <w:vAlign w:val="center"/>
            <w:hideMark/>
          </w:tcPr>
          <w:p w14:paraId="23E684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i/>
                <w:iCs/>
                <w:kern w:val="0"/>
                <w14:ligatures w14:val="none"/>
              </w:rPr>
              <w:t>(ninguno — proyección)</w:t>
            </w:r>
          </w:p>
        </w:tc>
        <w:tc>
          <w:tcPr>
            <w:tcW w:w="0" w:type="auto"/>
            <w:vAlign w:val="center"/>
            <w:hideMark/>
          </w:tcPr>
          <w:p w14:paraId="5D6DF1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a partir de eventos</w:t>
            </w:r>
          </w:p>
        </w:tc>
        <w:tc>
          <w:tcPr>
            <w:tcW w:w="0" w:type="auto"/>
            <w:vAlign w:val="center"/>
            <w:hideMark/>
          </w:tcPr>
          <w:p w14:paraId="5DD467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Canales, D5</w:t>
            </w:r>
          </w:p>
        </w:tc>
        <w:tc>
          <w:tcPr>
            <w:tcW w:w="0" w:type="auto"/>
            <w:vAlign w:val="center"/>
            <w:hideMark/>
          </w:tcPr>
          <w:p w14:paraId="38A32E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Consulta local; </w:t>
            </w:r>
            <w:r w:rsidRPr="000444D1">
              <w:rPr>
                <w:rFonts w:ascii="Times New Roman" w:eastAsia="Times New Roman" w:hAnsi="Times New Roman" w:cs="Times New Roman"/>
                <w:b/>
                <w:bCs/>
                <w:kern w:val="0"/>
                <w14:ligatures w14:val="none"/>
              </w:rPr>
              <w:t>no autoriza operaciones</w:t>
            </w:r>
            <w:r w:rsidRPr="000444D1">
              <w:rPr>
                <w:rFonts w:ascii="Times New Roman" w:eastAsia="Times New Roman" w:hAnsi="Times New Roman" w:cs="Times New Roman"/>
                <w:kern w:val="0"/>
                <w14:ligatures w14:val="none"/>
              </w:rPr>
              <w:t xml:space="preserve"> (ADR-002)</w:t>
            </w:r>
          </w:p>
        </w:tc>
      </w:tr>
      <w:tr w:rsidR="000444D1" w:rsidRPr="000444D1" w14:paraId="5A1EE1BA" w14:textId="77777777">
        <w:trPr>
          <w:tblCellSpacing w:w="15" w:type="dxa"/>
        </w:trPr>
        <w:tc>
          <w:tcPr>
            <w:tcW w:w="0" w:type="auto"/>
            <w:vAlign w:val="center"/>
            <w:hideMark/>
          </w:tcPr>
          <w:p w14:paraId="19AD96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Orden de pago y su estado</w:t>
            </w:r>
          </w:p>
        </w:tc>
        <w:tc>
          <w:tcPr>
            <w:tcW w:w="0" w:type="auto"/>
            <w:vAlign w:val="center"/>
            <w:hideMark/>
          </w:tcPr>
          <w:p w14:paraId="337DA6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D4 — Órdenes de pago</w:t>
            </w:r>
          </w:p>
        </w:tc>
        <w:tc>
          <w:tcPr>
            <w:tcW w:w="0" w:type="auto"/>
            <w:vAlign w:val="center"/>
            <w:hideMark/>
          </w:tcPr>
          <w:p w14:paraId="765D2F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w:t>
            </w:r>
          </w:p>
        </w:tc>
        <w:tc>
          <w:tcPr>
            <w:tcW w:w="0" w:type="auto"/>
            <w:vAlign w:val="center"/>
            <w:hideMark/>
          </w:tcPr>
          <w:p w14:paraId="6FFE52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Canales, D5, D8, analítica</w:t>
            </w:r>
          </w:p>
        </w:tc>
        <w:tc>
          <w:tcPr>
            <w:tcW w:w="0" w:type="auto"/>
            <w:vAlign w:val="center"/>
            <w:hideMark/>
          </w:tcPr>
          <w:p w14:paraId="0AA0E9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síncrona para originación; eventos para el resto</w:t>
            </w:r>
          </w:p>
        </w:tc>
      </w:tr>
      <w:tr w:rsidR="000444D1" w:rsidRPr="000444D1" w14:paraId="54010F37" w14:textId="77777777">
        <w:trPr>
          <w:tblCellSpacing w:w="15" w:type="dxa"/>
        </w:trPr>
        <w:tc>
          <w:tcPr>
            <w:tcW w:w="0" w:type="auto"/>
            <w:vAlign w:val="center"/>
            <w:hideMark/>
          </w:tcPr>
          <w:p w14:paraId="6DC690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Asiento contable</w:t>
            </w:r>
          </w:p>
        </w:tc>
        <w:tc>
          <w:tcPr>
            <w:tcW w:w="0" w:type="auto"/>
            <w:vAlign w:val="center"/>
            <w:hideMark/>
          </w:tcPr>
          <w:p w14:paraId="75935F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propietario del producto</w:t>
            </w:r>
          </w:p>
        </w:tc>
        <w:tc>
          <w:tcPr>
            <w:tcW w:w="0" w:type="auto"/>
            <w:vAlign w:val="center"/>
            <w:hideMark/>
          </w:tcPr>
          <w:p w14:paraId="31C1EA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correspondiente</w:t>
            </w:r>
          </w:p>
        </w:tc>
        <w:tc>
          <w:tcPr>
            <w:tcW w:w="0" w:type="auto"/>
            <w:vAlign w:val="center"/>
            <w:hideMark/>
          </w:tcPr>
          <w:p w14:paraId="775CE9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Contabilidad, reportería regulatoria</w:t>
            </w:r>
          </w:p>
        </w:tc>
        <w:tc>
          <w:tcPr>
            <w:tcW w:w="0" w:type="auto"/>
            <w:vAlign w:val="center"/>
            <w:hideMark/>
          </w:tcPr>
          <w:p w14:paraId="426912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expuesto a canales; conciliación batch</w:t>
            </w:r>
          </w:p>
        </w:tc>
      </w:tr>
      <w:tr w:rsidR="000444D1" w:rsidRPr="000444D1" w14:paraId="06CD78CC" w14:textId="77777777">
        <w:trPr>
          <w:tblCellSpacing w:w="15" w:type="dxa"/>
        </w:trPr>
        <w:tc>
          <w:tcPr>
            <w:tcW w:w="0" w:type="auto"/>
            <w:vAlign w:val="center"/>
            <w:hideMark/>
          </w:tcPr>
          <w:p w14:paraId="47B185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 Open Finance</w:t>
            </w:r>
          </w:p>
        </w:tc>
        <w:tc>
          <w:tcPr>
            <w:tcW w:w="0" w:type="auto"/>
            <w:vAlign w:val="center"/>
            <w:hideMark/>
          </w:tcPr>
          <w:p w14:paraId="004A15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D7 — Consentimientos</w:t>
            </w:r>
          </w:p>
        </w:tc>
        <w:tc>
          <w:tcPr>
            <w:tcW w:w="0" w:type="auto"/>
            <w:vAlign w:val="center"/>
            <w:hideMark/>
          </w:tcPr>
          <w:p w14:paraId="3537BC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w:t>
            </w:r>
          </w:p>
        </w:tc>
        <w:tc>
          <w:tcPr>
            <w:tcW w:w="0" w:type="auto"/>
            <w:vAlign w:val="center"/>
            <w:hideMark/>
          </w:tcPr>
          <w:p w14:paraId="363AE2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Gateway externo, D8, terceros</w:t>
            </w:r>
          </w:p>
        </w:tc>
        <w:tc>
          <w:tcPr>
            <w:tcW w:w="0" w:type="auto"/>
            <w:vAlign w:val="center"/>
            <w:hideMark/>
          </w:tcPr>
          <w:p w14:paraId="0C0069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síncrona; validación en cada acceso de tercero</w:t>
            </w:r>
          </w:p>
        </w:tc>
      </w:tr>
      <w:tr w:rsidR="000444D1" w:rsidRPr="000444D1" w14:paraId="7FE55581" w14:textId="77777777">
        <w:trPr>
          <w:tblCellSpacing w:w="15" w:type="dxa"/>
        </w:trPr>
        <w:tc>
          <w:tcPr>
            <w:tcW w:w="0" w:type="auto"/>
            <w:vAlign w:val="center"/>
            <w:hideMark/>
          </w:tcPr>
          <w:p w14:paraId="139FD5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Veredicto y score de fraude</w:t>
            </w:r>
          </w:p>
        </w:tc>
        <w:tc>
          <w:tcPr>
            <w:tcW w:w="0" w:type="auto"/>
            <w:vAlign w:val="center"/>
            <w:hideMark/>
          </w:tcPr>
          <w:p w14:paraId="75DC82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Sistema de prevención de fraudes</w:t>
            </w:r>
          </w:p>
        </w:tc>
        <w:tc>
          <w:tcPr>
            <w:tcW w:w="0" w:type="auto"/>
            <w:vAlign w:val="center"/>
            <w:hideMark/>
          </w:tcPr>
          <w:p w14:paraId="2786AA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de fraude</w:t>
            </w:r>
          </w:p>
        </w:tc>
        <w:tc>
          <w:tcPr>
            <w:tcW w:w="0" w:type="auto"/>
            <w:vAlign w:val="center"/>
            <w:hideMark/>
          </w:tcPr>
          <w:p w14:paraId="74577A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D8</w:t>
            </w:r>
          </w:p>
        </w:tc>
        <w:tc>
          <w:tcPr>
            <w:tcW w:w="0" w:type="auto"/>
            <w:vAlign w:val="center"/>
            <w:hideMark/>
          </w:tcPr>
          <w:p w14:paraId="5B08E9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Invocación síncrona vía D5; eventos de realimentación</w:t>
            </w:r>
          </w:p>
        </w:tc>
      </w:tr>
      <w:tr w:rsidR="000444D1" w:rsidRPr="000444D1" w14:paraId="2E55245A" w14:textId="77777777">
        <w:trPr>
          <w:tblCellSpacing w:w="15" w:type="dxa"/>
        </w:trPr>
        <w:tc>
          <w:tcPr>
            <w:tcW w:w="0" w:type="auto"/>
            <w:vAlign w:val="center"/>
            <w:hideMark/>
          </w:tcPr>
          <w:p w14:paraId="1C0E3B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Perfil y calificación de riesgo</w:t>
            </w:r>
          </w:p>
        </w:tc>
        <w:tc>
          <w:tcPr>
            <w:tcW w:w="0" w:type="auto"/>
            <w:vAlign w:val="center"/>
            <w:hideMark/>
          </w:tcPr>
          <w:p w14:paraId="692011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Sistema de gestión de riesgos</w:t>
            </w:r>
          </w:p>
        </w:tc>
        <w:tc>
          <w:tcPr>
            <w:tcW w:w="0" w:type="auto"/>
            <w:vAlign w:val="center"/>
            <w:hideMark/>
          </w:tcPr>
          <w:p w14:paraId="0E513A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de riesgos</w:t>
            </w:r>
          </w:p>
        </w:tc>
        <w:tc>
          <w:tcPr>
            <w:tcW w:w="0" w:type="auto"/>
            <w:vAlign w:val="center"/>
            <w:hideMark/>
          </w:tcPr>
          <w:p w14:paraId="5D4151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D9, originación de productos</w:t>
            </w:r>
          </w:p>
        </w:tc>
        <w:tc>
          <w:tcPr>
            <w:tcW w:w="0" w:type="auto"/>
            <w:vAlign w:val="center"/>
            <w:hideMark/>
          </w:tcPr>
          <w:p w14:paraId="2DF1BF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vía D6; actualización por eventos</w:t>
            </w:r>
          </w:p>
        </w:tc>
      </w:tr>
      <w:tr w:rsidR="000444D1" w:rsidRPr="000444D1" w14:paraId="3E5F8EBE" w14:textId="77777777">
        <w:trPr>
          <w:tblCellSpacing w:w="15" w:type="dxa"/>
        </w:trPr>
        <w:tc>
          <w:tcPr>
            <w:tcW w:w="0" w:type="auto"/>
            <w:vAlign w:val="center"/>
            <w:hideMark/>
          </w:tcPr>
          <w:p w14:paraId="13606C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Identidad y credenciales</w:t>
            </w:r>
          </w:p>
        </w:tc>
        <w:tc>
          <w:tcPr>
            <w:tcW w:w="0" w:type="auto"/>
            <w:vAlign w:val="center"/>
            <w:hideMark/>
          </w:tcPr>
          <w:p w14:paraId="752038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Proveedor de identidad (IdP)</w:t>
            </w:r>
          </w:p>
        </w:tc>
        <w:tc>
          <w:tcPr>
            <w:tcW w:w="0" w:type="auto"/>
            <w:vAlign w:val="center"/>
            <w:hideMark/>
          </w:tcPr>
          <w:p w14:paraId="702D07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IdP</w:t>
            </w:r>
          </w:p>
        </w:tc>
        <w:tc>
          <w:tcPr>
            <w:tcW w:w="0" w:type="auto"/>
            <w:vAlign w:val="center"/>
            <w:hideMark/>
          </w:tcPr>
          <w:p w14:paraId="0A77EC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Todos los componentes</w:t>
            </w:r>
          </w:p>
        </w:tc>
        <w:tc>
          <w:tcPr>
            <w:tcW w:w="0" w:type="auto"/>
            <w:vAlign w:val="center"/>
            <w:hideMark/>
          </w:tcPr>
          <w:p w14:paraId="35BA12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Tokens firmados; ningún servicio almacena credenciales</w:t>
            </w:r>
          </w:p>
        </w:tc>
      </w:tr>
      <w:tr w:rsidR="000444D1" w:rsidRPr="000444D1" w14:paraId="00286CBE" w14:textId="77777777">
        <w:trPr>
          <w:tblCellSpacing w:w="15" w:type="dxa"/>
        </w:trPr>
        <w:tc>
          <w:tcPr>
            <w:tcW w:w="0" w:type="auto"/>
            <w:vAlign w:val="center"/>
            <w:hideMark/>
          </w:tcPr>
          <w:p w14:paraId="72F3EC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Entitlements sobre cuentas</w:t>
            </w:r>
          </w:p>
        </w:tc>
        <w:tc>
          <w:tcPr>
            <w:tcW w:w="0" w:type="auto"/>
            <w:vAlign w:val="center"/>
            <w:hideMark/>
          </w:tcPr>
          <w:p w14:paraId="12CEB1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D9 — Entitlements</w:t>
            </w:r>
          </w:p>
        </w:tc>
        <w:tc>
          <w:tcPr>
            <w:tcW w:w="0" w:type="auto"/>
            <w:vAlign w:val="center"/>
            <w:hideMark/>
          </w:tcPr>
          <w:p w14:paraId="1E720D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D9</w:t>
            </w:r>
          </w:p>
        </w:tc>
        <w:tc>
          <w:tcPr>
            <w:tcW w:w="0" w:type="auto"/>
            <w:vAlign w:val="center"/>
            <w:hideMark/>
          </w:tcPr>
          <w:p w14:paraId="1884BA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Gateway, canales, D4</w:t>
            </w:r>
          </w:p>
        </w:tc>
        <w:tc>
          <w:tcPr>
            <w:tcW w:w="0" w:type="auto"/>
            <w:vAlign w:val="center"/>
            <w:hideMark/>
          </w:tcPr>
          <w:p w14:paraId="36F215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síncrona; decisión de autorización previa a la operación</w:t>
            </w:r>
          </w:p>
        </w:tc>
      </w:tr>
      <w:tr w:rsidR="000444D1" w:rsidRPr="000444D1" w14:paraId="465DBDB9" w14:textId="77777777">
        <w:trPr>
          <w:tblCellSpacing w:w="15" w:type="dxa"/>
        </w:trPr>
        <w:tc>
          <w:tcPr>
            <w:tcW w:w="0" w:type="auto"/>
            <w:vAlign w:val="center"/>
            <w:hideMark/>
          </w:tcPr>
          <w:p w14:paraId="29E05D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Traza inmutable de operaciones</w:t>
            </w:r>
          </w:p>
        </w:tc>
        <w:tc>
          <w:tcPr>
            <w:tcW w:w="0" w:type="auto"/>
            <w:vAlign w:val="center"/>
            <w:hideMark/>
          </w:tcPr>
          <w:p w14:paraId="1F7D9A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D8 — Historial de eventos</w:t>
            </w:r>
          </w:p>
        </w:tc>
        <w:tc>
          <w:tcPr>
            <w:tcW w:w="0" w:type="auto"/>
            <w:vAlign w:val="center"/>
            <w:hideMark/>
          </w:tcPr>
          <w:p w14:paraId="309E6B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por consumo de eventos</w:t>
            </w:r>
          </w:p>
        </w:tc>
        <w:tc>
          <w:tcPr>
            <w:tcW w:w="0" w:type="auto"/>
            <w:vAlign w:val="center"/>
            <w:hideMark/>
          </w:tcPr>
          <w:p w14:paraId="4886B0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Auditoría, regulador, soporte</w:t>
            </w:r>
          </w:p>
        </w:tc>
        <w:tc>
          <w:tcPr>
            <w:tcW w:w="0" w:type="auto"/>
            <w:vAlign w:val="center"/>
            <w:hideMark/>
          </w:tcPr>
          <w:p w14:paraId="722D13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Solo lectura; almacenamiento de escritura única</w:t>
            </w:r>
          </w:p>
        </w:tc>
      </w:tr>
    </w:tbl>
    <w:p w14:paraId="15442DA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Tres observaciones que esta matriz hace explícitas:</w:t>
      </w:r>
    </w:p>
    <w:p w14:paraId="739882DC" w14:textId="77777777" w:rsidR="000444D1" w:rsidRPr="000444D1" w:rsidRDefault="000444D1" w:rsidP="00C6468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La posición consolidada no tiene system of record.</w:t>
      </w:r>
      <w:r w:rsidRPr="000444D1">
        <w:rPr>
          <w:rFonts w:ascii="Times New Roman" w:eastAsia="Times New Roman" w:hAnsi="Times New Roman" w:cs="Times New Roman"/>
          <w:kern w:val="0"/>
          <w14:ligatures w14:val="none"/>
        </w:rPr>
        <w:t xml:space="preserve"> Es una proyección, y se declara como tal para impedir que se la trate como fuente de verdad. Esta distinción es la que sostiene la decisión del ADR-002.</w:t>
      </w:r>
    </w:p>
    <w:p w14:paraId="3CE1234A" w14:textId="77777777" w:rsidR="000444D1" w:rsidRPr="000444D1" w:rsidRDefault="000444D1" w:rsidP="00C6468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Los datos maestros de cliente permanecen en el core tradicional.</w:t>
      </w:r>
      <w:r w:rsidRPr="000444D1">
        <w:rPr>
          <w:rFonts w:ascii="Times New Roman" w:eastAsia="Times New Roman" w:hAnsi="Times New Roman" w:cs="Times New Roman"/>
          <w:kern w:val="0"/>
          <w14:ligatures w14:val="none"/>
        </w:rPr>
        <w:t xml:space="preserve"> No se duplican en el core digital. Es la decisión que evita la sincronización bidireccional de clientes, principal fuente de inconsistencia en programas multicore (ADR-001).</w:t>
      </w:r>
    </w:p>
    <w:p w14:paraId="2413A0FB" w14:textId="77777777" w:rsidR="000444D1" w:rsidRPr="000444D1" w:rsidRDefault="000444D1" w:rsidP="00C6468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Ningún componente comparte base de datos con otro.</w:t>
      </w:r>
      <w:r w:rsidRPr="000444D1">
        <w:rPr>
          <w:rFonts w:ascii="Times New Roman" w:eastAsia="Times New Roman" w:hAnsi="Times New Roman" w:cs="Times New Roman"/>
          <w:kern w:val="0"/>
          <w14:ligatures w14:val="none"/>
        </w:rPr>
        <w:t xml:space="preserve"> Los almacenes de D2, D4, D7, D8 y D9 son privados de su propietario; el de D3 es una proyección reconstruible por reproducción de eventos.</w:t>
      </w:r>
    </w:p>
    <w:p w14:paraId="20138185"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5.4 Criterio de descomposición en servicios</w:t>
      </w:r>
    </w:p>
    <w:p w14:paraId="275C97F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descomposición se rige por tres reglas, aplicadas en orden. Su propósito es acotar el número de servicios: un catálogo excesivo de componentes es tan defectuoso como un monolito, y su justificación individual se vuelve inviable.</w:t>
      </w:r>
    </w:p>
    <w:p w14:paraId="263ED7F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Regla 1 — Un servicio por dominio con dato propio.</w:t>
      </w:r>
      <w:r w:rsidRPr="000444D1">
        <w:rPr>
          <w:rFonts w:ascii="Times New Roman" w:eastAsia="Times New Roman" w:hAnsi="Times New Roman" w:cs="Times New Roman"/>
          <w:kern w:val="0"/>
          <w14:ligatures w14:val="none"/>
        </w:rPr>
        <w:t xml:space="preserve"> Solo se crea un servicio si posee al menos una entidad de la que es system of record, o si materializa una proyección explícitamente declarada. Un servicio sin dato propio es, casi siempre, un adaptador disfrazado.</w:t>
      </w:r>
    </w:p>
    <w:p w14:paraId="53EFF48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Regla 2 — Frontera en el límite de consistencia.</w:t>
      </w:r>
      <w:r w:rsidRPr="000444D1">
        <w:rPr>
          <w:rFonts w:ascii="Times New Roman" w:eastAsia="Times New Roman" w:hAnsi="Times New Roman" w:cs="Times New Roman"/>
          <w:kern w:val="0"/>
          <w14:ligatures w14:val="none"/>
        </w:rPr>
        <w:t xml:space="preserve"> Los datos que deben cambiar de forma atómica permanecen dentro del mismo servicio. Si dos entidades requieren una transacción común de forma recurrente, pertenecen al mismo dominio, con independencia de que BIAN las separe.</w:t>
      </w:r>
    </w:p>
    <w:p w14:paraId="378491B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Regla 3 — Un dominio, un equipo.</w:t>
      </w:r>
      <w:r w:rsidRPr="000444D1">
        <w:rPr>
          <w:rFonts w:ascii="Times New Roman" w:eastAsia="Times New Roman" w:hAnsi="Times New Roman" w:cs="Times New Roman"/>
          <w:kern w:val="0"/>
          <w14:ligatures w14:val="none"/>
        </w:rPr>
        <w:t xml:space="preserve"> Ningún dominio se divide por debajo del tamaño que un equipo puede sostener de extremo a extremo. Con la capacidad organizacional asumida (2 a 4 equipos, supuesto 2.4), nueve dominios es el techo razonable.</w:t>
      </w:r>
    </w:p>
    <w:p w14:paraId="73D62B6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Resultado.</w:t>
      </w:r>
      <w:r w:rsidRPr="000444D1">
        <w:rPr>
          <w:rFonts w:ascii="Times New Roman" w:eastAsia="Times New Roman" w:hAnsi="Times New Roman" w:cs="Times New Roman"/>
          <w:kern w:val="0"/>
          <w14:ligatures w14:val="none"/>
        </w:rPr>
        <w:t xml:space="preserve"> Nueve servicios de dominio, más los adaptadores de infraestructura enumerados en 5.2. El diagrama de contenedores de la sección 7 no contiene ningún elemento que no proceda de esta sección.</w:t>
      </w:r>
    </w:p>
    <w:p w14:paraId="7A4C3B80"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Aplicación de los principios SOLID a la descomposición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8338"/>
      </w:tblGrid>
      <w:tr w:rsidR="000444D1" w:rsidRPr="000444D1" w14:paraId="5DB54608" w14:textId="77777777">
        <w:trPr>
          <w:tblHeader/>
          <w:tblCellSpacing w:w="15" w:type="dxa"/>
        </w:trPr>
        <w:tc>
          <w:tcPr>
            <w:tcW w:w="0" w:type="auto"/>
            <w:vAlign w:val="center"/>
            <w:hideMark/>
          </w:tcPr>
          <w:p w14:paraId="59938DF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Principio</w:t>
            </w:r>
          </w:p>
        </w:tc>
        <w:tc>
          <w:tcPr>
            <w:tcW w:w="0" w:type="auto"/>
            <w:vAlign w:val="center"/>
            <w:hideMark/>
          </w:tcPr>
          <w:p w14:paraId="0CBA2F4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Evidencia en el modelo de dominios</w:t>
            </w:r>
          </w:p>
        </w:tc>
      </w:tr>
      <w:tr w:rsidR="000444D1" w:rsidRPr="000444D1" w14:paraId="39EB19AA" w14:textId="77777777">
        <w:trPr>
          <w:tblCellSpacing w:w="15" w:type="dxa"/>
        </w:trPr>
        <w:tc>
          <w:tcPr>
            <w:tcW w:w="0" w:type="auto"/>
            <w:vAlign w:val="center"/>
            <w:hideMark/>
          </w:tcPr>
          <w:p w14:paraId="0E4C8F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SRP</w:t>
            </w:r>
          </w:p>
        </w:tc>
        <w:tc>
          <w:tcPr>
            <w:tcW w:w="0" w:type="auto"/>
            <w:vAlign w:val="center"/>
            <w:hideMark/>
          </w:tcPr>
          <w:p w14:paraId="2A271F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columna </w:t>
            </w:r>
            <w:r w:rsidRPr="000444D1">
              <w:rPr>
                <w:rFonts w:ascii="Times New Roman" w:eastAsia="Times New Roman" w:hAnsi="Times New Roman" w:cs="Times New Roman"/>
                <w:i/>
                <w:iCs/>
                <w:kern w:val="0"/>
                <w14:ligatures w14:val="none"/>
              </w:rPr>
              <w:t>responsabilidad única</w:t>
            </w:r>
            <w:r w:rsidRPr="000444D1">
              <w:rPr>
                <w:rFonts w:ascii="Times New Roman" w:eastAsia="Times New Roman" w:hAnsi="Times New Roman" w:cs="Times New Roman"/>
                <w:kern w:val="0"/>
                <w14:ligatures w14:val="none"/>
              </w:rPr>
              <w:t xml:space="preserve"> de la matriz 5.2 es una sola frase por dominio. Un dominio que requiriera dos frases indicaría un corte incorrecto</w:t>
            </w:r>
          </w:p>
        </w:tc>
      </w:tr>
      <w:tr w:rsidR="000444D1" w:rsidRPr="000444D1" w14:paraId="3F5FFE02" w14:textId="77777777">
        <w:trPr>
          <w:tblCellSpacing w:w="15" w:type="dxa"/>
        </w:trPr>
        <w:tc>
          <w:tcPr>
            <w:tcW w:w="0" w:type="auto"/>
            <w:vAlign w:val="center"/>
            <w:hideMark/>
          </w:tcPr>
          <w:p w14:paraId="0B44514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OCP</w:t>
            </w:r>
          </w:p>
        </w:tc>
        <w:tc>
          <w:tcPr>
            <w:tcW w:w="0" w:type="auto"/>
            <w:vAlign w:val="center"/>
            <w:hideMark/>
          </w:tcPr>
          <w:p w14:paraId="56EF8F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nuevo consumidor de la actividad transaccional (analítica, un nuevo motor de riesgos) se integra suscribiéndose a los eventos existentes, sin modificar a D4 ni a los adaptadores de core</w:t>
            </w:r>
          </w:p>
        </w:tc>
      </w:tr>
      <w:tr w:rsidR="000444D1" w:rsidRPr="000444D1" w14:paraId="0543DEC0" w14:textId="77777777">
        <w:trPr>
          <w:tblCellSpacing w:w="15" w:type="dxa"/>
        </w:trPr>
        <w:tc>
          <w:tcPr>
            <w:tcW w:w="0" w:type="auto"/>
            <w:vAlign w:val="center"/>
            <w:hideMark/>
          </w:tcPr>
          <w:p w14:paraId="60A05F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LSP</w:t>
            </w:r>
          </w:p>
        </w:tc>
        <w:tc>
          <w:tcPr>
            <w:tcW w:w="0" w:type="auto"/>
            <w:vAlign w:val="center"/>
            <w:hideMark/>
          </w:tcPr>
          <w:p w14:paraId="037D9E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adaptadores de ambos cores implementan el mismo puerto canónico; D4 orquesta la ejecución de un pago sin conocer cuál de los dos lo atiende</w:t>
            </w:r>
          </w:p>
        </w:tc>
      </w:tr>
      <w:tr w:rsidR="000444D1" w:rsidRPr="000444D1" w14:paraId="07A77987" w14:textId="77777777">
        <w:trPr>
          <w:tblCellSpacing w:w="15" w:type="dxa"/>
        </w:trPr>
        <w:tc>
          <w:tcPr>
            <w:tcW w:w="0" w:type="auto"/>
            <w:vAlign w:val="center"/>
            <w:hideMark/>
          </w:tcPr>
          <w:p w14:paraId="17C51F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ISP</w:t>
            </w:r>
          </w:p>
        </w:tc>
        <w:tc>
          <w:tcPr>
            <w:tcW w:w="0" w:type="auto"/>
            <w:vAlign w:val="center"/>
            <w:hideMark/>
          </w:tcPr>
          <w:p w14:paraId="0048E5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 y D6 exponen interfaces distintas para consumidores distintos, en lugar de una interfaz única de cliente que obligue a todos a conocer el modelo completo</w:t>
            </w:r>
          </w:p>
        </w:tc>
      </w:tr>
      <w:tr w:rsidR="000444D1" w:rsidRPr="000444D1" w14:paraId="4EF5BDF3" w14:textId="77777777">
        <w:trPr>
          <w:tblCellSpacing w:w="15" w:type="dxa"/>
        </w:trPr>
        <w:tc>
          <w:tcPr>
            <w:tcW w:w="0" w:type="auto"/>
            <w:vAlign w:val="center"/>
            <w:hideMark/>
          </w:tcPr>
          <w:p w14:paraId="3EEDD7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DIP</w:t>
            </w:r>
          </w:p>
        </w:tc>
        <w:tc>
          <w:tcPr>
            <w:tcW w:w="0" w:type="auto"/>
            <w:vAlign w:val="center"/>
            <w:hideMark/>
          </w:tcPr>
          <w:p w14:paraId="45725A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D4 depende del puerto </w:t>
            </w:r>
            <w:r w:rsidRPr="000444D1">
              <w:rPr>
                <w:rFonts w:ascii="Courier New" w:eastAsia="Times New Roman" w:hAnsi="Courier New" w:cs="Courier New"/>
                <w:kern w:val="0"/>
                <w:sz w:val="20"/>
                <w:szCs w:val="20"/>
                <w14:ligatures w14:val="none"/>
              </w:rPr>
              <w:t>IPaymentExecutionPort</w:t>
            </w:r>
            <w:r w:rsidRPr="000444D1">
              <w:rPr>
                <w:rFonts w:ascii="Times New Roman" w:eastAsia="Times New Roman" w:hAnsi="Times New Roman" w:cs="Times New Roman"/>
                <w:kern w:val="0"/>
                <w14:ligatures w14:val="none"/>
              </w:rPr>
              <w:t>, no de la implementación MQ del core tradicional ni de la API REST del core digital</w:t>
            </w:r>
          </w:p>
        </w:tc>
      </w:tr>
    </w:tbl>
    <w:p w14:paraId="4484FE93"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40E13379">
          <v:rect id="Horizontal Line 497"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272B70"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6. Vista C4 — Nivel 1: Contexto</w:t>
      </w:r>
    </w:p>
    <w:p w14:paraId="22BA3FF5" w14:textId="3B73D593"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fldChar w:fldCharType="begin"/>
      </w:r>
      <w:r w:rsidRPr="000444D1">
        <w:rPr>
          <w:rFonts w:ascii="Times New Roman" w:eastAsia="Times New Roman" w:hAnsi="Times New Roman" w:cs="Times New Roman"/>
          <w:kern w:val="0"/>
          <w14:ligatures w14:val="none"/>
        </w:rPr>
        <w:instrText xml:space="preserve"> INCLUDEPICTURE "https://claude.ai/chat/diagramas/c4-nivel1-contexto.png" \* MERGEFORMATINET </w:instrText>
      </w:r>
      <w:r w:rsidRPr="000444D1">
        <w:rPr>
          <w:rFonts w:ascii="Times New Roman" w:eastAsia="Times New Roman" w:hAnsi="Times New Roman" w:cs="Times New Roman"/>
          <w:kern w:val="0"/>
          <w14:ligatures w14:val="none"/>
        </w:rPr>
        <w:fldChar w:fldCharType="separate"/>
      </w:r>
      <w:r w:rsidRPr="000444D1">
        <w:rPr>
          <w:rFonts w:ascii="Times New Roman" w:eastAsia="Times New Roman" w:hAnsi="Times New Roman" w:cs="Times New Roman"/>
          <w:noProof/>
          <w:kern w:val="0"/>
          <w14:ligatures w14:val="none"/>
        </w:rPr>
        <mc:AlternateContent>
          <mc:Choice Requires="wps">
            <w:drawing>
              <wp:inline distT="0" distB="0" distL="0" distR="0" wp14:anchorId="571EAB66" wp14:editId="618B6378">
                <wp:extent cx="302260" cy="302260"/>
                <wp:effectExtent l="0" t="0" r="0" b="0"/>
                <wp:docPr id="712512260" name="Rectangle 72" descr="Diagrama C4 nivel 1 — contex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6CC5C8" id="Rectangle 72" o:spid="_x0000_s1026" alt="Diagrama C4 nivel 1 — context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0444D1">
        <w:rPr>
          <w:rFonts w:ascii="Times New Roman" w:eastAsia="Times New Roman" w:hAnsi="Times New Roman" w:cs="Times New Roman"/>
          <w:kern w:val="0"/>
          <w14:ligatures w14:val="none"/>
        </w:rPr>
        <w:fldChar w:fldCharType="end"/>
      </w:r>
    </w:p>
    <w:p w14:paraId="5E344C6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6.1 Sistema en alcance</w:t>
      </w:r>
    </w:p>
    <w:p w14:paraId="1764FB2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Plataforma de Integración y Servicios Digitales.</w:t>
      </w:r>
      <w:r w:rsidRPr="000444D1">
        <w:rPr>
          <w:rFonts w:ascii="Times New Roman" w:eastAsia="Times New Roman" w:hAnsi="Times New Roman" w:cs="Times New Roman"/>
          <w:kern w:val="0"/>
          <w14:ligatures w14:val="none"/>
        </w:rPr>
        <w:t xml:space="preserve"> Comprende la capa de mediación, los servicios de dominio de la sección 5 y las interfaces expuestas a canales y terceros.</w:t>
      </w:r>
    </w:p>
    <w:p w14:paraId="180466F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Los dos cores bancarios se representan como </w:t>
      </w:r>
      <w:r w:rsidRPr="000444D1">
        <w:rPr>
          <w:rFonts w:ascii="Times New Roman" w:eastAsia="Times New Roman" w:hAnsi="Times New Roman" w:cs="Times New Roman"/>
          <w:b/>
          <w:bCs/>
          <w:kern w:val="0"/>
          <w14:ligatures w14:val="none"/>
        </w:rPr>
        <w:t>sistemas vecinos y no como parte del sistema en alcance</w:t>
      </w:r>
      <w:r w:rsidRPr="000444D1">
        <w:rPr>
          <w:rFonts w:ascii="Times New Roman" w:eastAsia="Times New Roman" w:hAnsi="Times New Roman" w:cs="Times New Roman"/>
          <w:kern w:val="0"/>
          <w14:ligatures w14:val="none"/>
        </w:rPr>
        <w:t>. La decisión es deliberada: incluir ambos cores dentro de una única caja haría desaparecer del nivel 1 la coexistencia multicore, que es la característica definitoria de este escenario. Representarlos por separado permite que la dualidad de sistemas de registro sea visible desde el diagrama de mayor nivel.</w:t>
      </w:r>
    </w:p>
    <w:p w14:paraId="7BEF7429"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6.2 Actores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2425"/>
        <w:gridCol w:w="5152"/>
      </w:tblGrid>
      <w:tr w:rsidR="000444D1" w:rsidRPr="000444D1" w14:paraId="7C0E7276" w14:textId="77777777">
        <w:trPr>
          <w:tblHeader/>
          <w:tblCellSpacing w:w="15" w:type="dxa"/>
        </w:trPr>
        <w:tc>
          <w:tcPr>
            <w:tcW w:w="0" w:type="auto"/>
            <w:vAlign w:val="center"/>
            <w:hideMark/>
          </w:tcPr>
          <w:p w14:paraId="2C4845F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Actor</w:t>
            </w:r>
          </w:p>
        </w:tc>
        <w:tc>
          <w:tcPr>
            <w:tcW w:w="0" w:type="auto"/>
            <w:vAlign w:val="center"/>
            <w:hideMark/>
          </w:tcPr>
          <w:p w14:paraId="6BB05B4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Descripción</w:t>
            </w:r>
          </w:p>
        </w:tc>
        <w:tc>
          <w:tcPr>
            <w:tcW w:w="0" w:type="auto"/>
            <w:vAlign w:val="center"/>
            <w:hideMark/>
          </w:tcPr>
          <w:p w14:paraId="67A9E6F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Interacción con el sistema</w:t>
            </w:r>
          </w:p>
        </w:tc>
      </w:tr>
      <w:tr w:rsidR="000444D1" w:rsidRPr="000444D1" w14:paraId="026F44D8" w14:textId="77777777">
        <w:trPr>
          <w:tblCellSpacing w:w="15" w:type="dxa"/>
        </w:trPr>
        <w:tc>
          <w:tcPr>
            <w:tcW w:w="0" w:type="auto"/>
            <w:vAlign w:val="center"/>
            <w:hideMark/>
          </w:tcPr>
          <w:p w14:paraId="514A05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Cliente digital</w:t>
            </w:r>
          </w:p>
        </w:tc>
        <w:tc>
          <w:tcPr>
            <w:tcW w:w="0" w:type="auto"/>
            <w:vAlign w:val="center"/>
            <w:hideMark/>
          </w:tcPr>
          <w:p w14:paraId="1FCDDA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Persona titular de productos, opera por banca web o móvil</w:t>
            </w:r>
          </w:p>
        </w:tc>
        <w:tc>
          <w:tcPr>
            <w:tcW w:w="0" w:type="auto"/>
            <w:vAlign w:val="center"/>
            <w:hideMark/>
          </w:tcPr>
          <w:p w14:paraId="374238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su posición, origina pagos, otorga y revoca consentimientos de Open Finance</w:t>
            </w:r>
          </w:p>
        </w:tc>
      </w:tr>
      <w:tr w:rsidR="000444D1" w:rsidRPr="000444D1" w14:paraId="76767B02" w14:textId="77777777">
        <w:trPr>
          <w:tblCellSpacing w:w="15" w:type="dxa"/>
        </w:trPr>
        <w:tc>
          <w:tcPr>
            <w:tcW w:w="0" w:type="auto"/>
            <w:vAlign w:val="center"/>
            <w:hideMark/>
          </w:tcPr>
          <w:p w14:paraId="01B0CE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Personal interno</w:t>
            </w:r>
          </w:p>
        </w:tc>
        <w:tc>
          <w:tcPr>
            <w:tcW w:w="0" w:type="auto"/>
            <w:vAlign w:val="center"/>
            <w:hideMark/>
          </w:tcPr>
          <w:p w14:paraId="76F137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Ejecutivo de agencia y personal de back office</w:t>
            </w:r>
          </w:p>
        </w:tc>
        <w:tc>
          <w:tcPr>
            <w:tcW w:w="0" w:type="auto"/>
            <w:vAlign w:val="center"/>
            <w:hideMark/>
          </w:tcPr>
          <w:p w14:paraId="1EF34A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opera contra la plataforma: opera contra el core tradicional por sus canales propios. Sus operaciones deben, no obstante, hacerse visibles a la plataforma (ADR-004)</w:t>
            </w:r>
          </w:p>
        </w:tc>
      </w:tr>
      <w:tr w:rsidR="000444D1" w:rsidRPr="000444D1" w14:paraId="710F4D7F" w14:textId="77777777">
        <w:trPr>
          <w:tblCellSpacing w:w="15" w:type="dxa"/>
        </w:trPr>
        <w:tc>
          <w:tcPr>
            <w:tcW w:w="0" w:type="auto"/>
            <w:vAlign w:val="center"/>
            <w:hideMark/>
          </w:tcPr>
          <w:p w14:paraId="3A59F26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Analista de cumplimiento</w:t>
            </w:r>
          </w:p>
        </w:tc>
        <w:tc>
          <w:tcPr>
            <w:tcW w:w="0" w:type="auto"/>
            <w:vAlign w:val="center"/>
            <w:hideMark/>
          </w:tcPr>
          <w:p w14:paraId="27B59B8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Riesgos, cumplimiento normativo y auditoría</w:t>
            </w:r>
          </w:p>
        </w:tc>
        <w:tc>
          <w:tcPr>
            <w:tcW w:w="0" w:type="auto"/>
            <w:vAlign w:val="center"/>
            <w:hideMark/>
          </w:tcPr>
          <w:p w14:paraId="7D1D88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trazas de operaciones y reportería regulatoria</w:t>
            </w:r>
          </w:p>
        </w:tc>
      </w:tr>
    </w:tbl>
    <w:p w14:paraId="731CE63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Observación sobre el personal interno.</w:t>
      </w:r>
      <w:r w:rsidRPr="000444D1">
        <w:rPr>
          <w:rFonts w:ascii="Times New Roman" w:eastAsia="Times New Roman" w:hAnsi="Times New Roman" w:cs="Times New Roman"/>
          <w:kern w:val="0"/>
          <w14:ligatures w14:val="none"/>
        </w:rPr>
        <w:t xml:space="preserve"> Es el actor que con más frecuencia se omite en este tipo de diseño. Su inclusión en el diagrama de contexto es lo que hace visible el problema que resuelve el ADR-004: existe un flujo de operaciones que nunca atraviesa la plataforma digital y que, sin embargo, debe ser observado por los sistemas de fraude, riesgos y por el modelo de lectura.</w:t>
      </w:r>
    </w:p>
    <w:p w14:paraId="36B8A72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6.3 Sistemas circundantes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1694"/>
        <w:gridCol w:w="5802"/>
      </w:tblGrid>
      <w:tr w:rsidR="000444D1" w:rsidRPr="000444D1" w14:paraId="65A6A1FC" w14:textId="77777777">
        <w:trPr>
          <w:tblHeader/>
          <w:tblCellSpacing w:w="15" w:type="dxa"/>
        </w:trPr>
        <w:tc>
          <w:tcPr>
            <w:tcW w:w="0" w:type="auto"/>
            <w:vAlign w:val="center"/>
            <w:hideMark/>
          </w:tcPr>
          <w:p w14:paraId="64F1F8B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Sistema</w:t>
            </w:r>
          </w:p>
        </w:tc>
        <w:tc>
          <w:tcPr>
            <w:tcW w:w="0" w:type="auto"/>
            <w:vAlign w:val="center"/>
            <w:hideMark/>
          </w:tcPr>
          <w:p w14:paraId="31DF1AA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Naturaleza</w:t>
            </w:r>
          </w:p>
        </w:tc>
        <w:tc>
          <w:tcPr>
            <w:tcW w:w="0" w:type="auto"/>
            <w:vAlign w:val="center"/>
            <w:hideMark/>
          </w:tcPr>
          <w:p w14:paraId="570E963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Relación con la plataforma</w:t>
            </w:r>
          </w:p>
        </w:tc>
      </w:tr>
      <w:tr w:rsidR="000444D1" w:rsidRPr="000444D1" w14:paraId="39AE12DB" w14:textId="77777777">
        <w:trPr>
          <w:tblCellSpacing w:w="15" w:type="dxa"/>
        </w:trPr>
        <w:tc>
          <w:tcPr>
            <w:tcW w:w="0" w:type="auto"/>
            <w:vAlign w:val="center"/>
            <w:hideMark/>
          </w:tcPr>
          <w:p w14:paraId="44A13C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bancario tradicional</w:t>
            </w:r>
          </w:p>
        </w:tc>
        <w:tc>
          <w:tcPr>
            <w:tcW w:w="0" w:type="auto"/>
            <w:vAlign w:val="center"/>
            <w:hideMark/>
          </w:tcPr>
          <w:p w14:paraId="788B9F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Interno — System of Record</w:t>
            </w:r>
          </w:p>
        </w:tc>
        <w:tc>
          <w:tcPr>
            <w:tcW w:w="0" w:type="auto"/>
            <w:vAlign w:val="center"/>
            <w:hideMark/>
          </w:tcPr>
          <w:p w14:paraId="1F707E6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Débito y crédito autoritativo sobre productos tradicionales; SoR de datos maestros de cliente. Acceso vía MQ y archivos batch; captura de cambios sobre réplica</w:t>
            </w:r>
          </w:p>
        </w:tc>
      </w:tr>
      <w:tr w:rsidR="000444D1" w:rsidRPr="000444D1" w14:paraId="36FAB34B" w14:textId="77777777">
        <w:trPr>
          <w:tblCellSpacing w:w="15" w:type="dxa"/>
        </w:trPr>
        <w:tc>
          <w:tcPr>
            <w:tcW w:w="0" w:type="auto"/>
            <w:vAlign w:val="center"/>
            <w:hideMark/>
          </w:tcPr>
          <w:p w14:paraId="661622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bancario digital</w:t>
            </w:r>
          </w:p>
        </w:tc>
        <w:tc>
          <w:tcPr>
            <w:tcW w:w="0" w:type="auto"/>
            <w:vAlign w:val="center"/>
            <w:hideMark/>
          </w:tcPr>
          <w:p w14:paraId="7A341C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Interno — System of Record</w:t>
            </w:r>
          </w:p>
        </w:tc>
        <w:tc>
          <w:tcPr>
            <w:tcW w:w="0" w:type="auto"/>
            <w:vAlign w:val="center"/>
            <w:hideMark/>
          </w:tcPr>
          <w:p w14:paraId="3C3421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Débito y crédito autoritativo sobre productos nativos digitales. Acceso vía API REST</w:t>
            </w:r>
          </w:p>
        </w:tc>
      </w:tr>
      <w:tr w:rsidR="000444D1" w:rsidRPr="000444D1" w14:paraId="6EBF233A" w14:textId="77777777">
        <w:trPr>
          <w:tblCellSpacing w:w="15" w:type="dxa"/>
        </w:trPr>
        <w:tc>
          <w:tcPr>
            <w:tcW w:w="0" w:type="auto"/>
            <w:vAlign w:val="center"/>
            <w:hideMark/>
          </w:tcPr>
          <w:p w14:paraId="4ABD18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Motor de prevención de fraudes</w:t>
            </w:r>
          </w:p>
        </w:tc>
        <w:tc>
          <w:tcPr>
            <w:tcW w:w="0" w:type="auto"/>
            <w:vAlign w:val="center"/>
            <w:hideMark/>
          </w:tcPr>
          <w:p w14:paraId="53662D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Interno — transversal</w:t>
            </w:r>
          </w:p>
        </w:tc>
        <w:tc>
          <w:tcPr>
            <w:tcW w:w="0" w:type="auto"/>
            <w:vAlign w:val="center"/>
            <w:hideMark/>
          </w:tcPr>
          <w:p w14:paraId="11DD38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en línea de operaciones, con presupuesto de 300 ms (ADR-005); recibe eventos de realimentación</w:t>
            </w:r>
          </w:p>
        </w:tc>
      </w:tr>
      <w:tr w:rsidR="000444D1" w:rsidRPr="000444D1" w14:paraId="01441FD4" w14:textId="77777777">
        <w:trPr>
          <w:tblCellSpacing w:w="15" w:type="dxa"/>
        </w:trPr>
        <w:tc>
          <w:tcPr>
            <w:tcW w:w="0" w:type="auto"/>
            <w:vAlign w:val="center"/>
            <w:hideMark/>
          </w:tcPr>
          <w:p w14:paraId="35B74E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Sistema de gestión de riesgos</w:t>
            </w:r>
          </w:p>
        </w:tc>
        <w:tc>
          <w:tcPr>
            <w:tcW w:w="0" w:type="auto"/>
            <w:vAlign w:val="center"/>
            <w:hideMark/>
          </w:tcPr>
          <w:p w14:paraId="5453E3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Interno — transversal</w:t>
            </w:r>
          </w:p>
        </w:tc>
        <w:tc>
          <w:tcPr>
            <w:tcW w:w="0" w:type="auto"/>
            <w:vAlign w:val="center"/>
            <w:hideMark/>
          </w:tcPr>
          <w:p w14:paraId="31400D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perfil y calificación de riesgo; se actualiza por eventos de actividad</w:t>
            </w:r>
          </w:p>
        </w:tc>
      </w:tr>
      <w:tr w:rsidR="000444D1" w:rsidRPr="000444D1" w14:paraId="3A013A8E" w14:textId="77777777">
        <w:trPr>
          <w:tblCellSpacing w:w="15" w:type="dxa"/>
        </w:trPr>
        <w:tc>
          <w:tcPr>
            <w:tcW w:w="0" w:type="auto"/>
            <w:vAlign w:val="center"/>
            <w:hideMark/>
          </w:tcPr>
          <w:p w14:paraId="2D85B9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Terceros Open Finance (TPP)</w:t>
            </w:r>
          </w:p>
        </w:tc>
        <w:tc>
          <w:tcPr>
            <w:tcW w:w="0" w:type="auto"/>
            <w:vAlign w:val="center"/>
            <w:hideMark/>
          </w:tcPr>
          <w:p w14:paraId="7E17C6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Externo</w:t>
            </w:r>
          </w:p>
        </w:tc>
        <w:tc>
          <w:tcPr>
            <w:tcW w:w="0" w:type="auto"/>
            <w:vAlign w:val="center"/>
            <w:hideMark/>
          </w:tcPr>
          <w:p w14:paraId="712F2D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Consumen APIs externas bajo consentimiento explícito, granular y revocable</w:t>
            </w:r>
          </w:p>
        </w:tc>
      </w:tr>
      <w:tr w:rsidR="000444D1" w:rsidRPr="000444D1" w14:paraId="0AAD004F" w14:textId="77777777">
        <w:trPr>
          <w:tblCellSpacing w:w="15" w:type="dxa"/>
        </w:trPr>
        <w:tc>
          <w:tcPr>
            <w:tcW w:w="0" w:type="auto"/>
            <w:vAlign w:val="center"/>
            <w:hideMark/>
          </w:tcPr>
          <w:p w14:paraId="5C303D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Redes de pago externas</w:t>
            </w:r>
          </w:p>
        </w:tc>
        <w:tc>
          <w:tcPr>
            <w:tcW w:w="0" w:type="auto"/>
            <w:vAlign w:val="center"/>
            <w:hideMark/>
          </w:tcPr>
          <w:p w14:paraId="41B89C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Externo</w:t>
            </w:r>
          </w:p>
        </w:tc>
        <w:tc>
          <w:tcPr>
            <w:tcW w:w="0" w:type="auto"/>
            <w:vAlign w:val="center"/>
            <w:hideMark/>
          </w:tcPr>
          <w:p w14:paraId="625FA7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Liquidación interbancaria y procesamiento de tarjetas</w:t>
            </w:r>
          </w:p>
        </w:tc>
      </w:tr>
    </w:tbl>
    <w:p w14:paraId="29F18FDF"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3A45793D">
          <v:rect id="Horizontal Line 499"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292831"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7. Vista C4 — Nivel 2: Contenedores</w:t>
      </w:r>
    </w:p>
    <w:p w14:paraId="4CF7B2E5" w14:textId="7ADD594B"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fldChar w:fldCharType="begin"/>
      </w:r>
      <w:r w:rsidRPr="000444D1">
        <w:rPr>
          <w:rFonts w:ascii="Times New Roman" w:eastAsia="Times New Roman" w:hAnsi="Times New Roman" w:cs="Times New Roman"/>
          <w:kern w:val="0"/>
          <w14:ligatures w14:val="none"/>
        </w:rPr>
        <w:instrText xml:space="preserve"> INCLUDEPICTURE "https://claude.ai/chat/diagramas/c4-nivel2-contenedores.png" \* MERGEFORMATINET </w:instrText>
      </w:r>
      <w:r w:rsidRPr="000444D1">
        <w:rPr>
          <w:rFonts w:ascii="Times New Roman" w:eastAsia="Times New Roman" w:hAnsi="Times New Roman" w:cs="Times New Roman"/>
          <w:kern w:val="0"/>
          <w14:ligatures w14:val="none"/>
        </w:rPr>
        <w:fldChar w:fldCharType="separate"/>
      </w:r>
      <w:r w:rsidRPr="000444D1">
        <w:rPr>
          <w:rFonts w:ascii="Times New Roman" w:eastAsia="Times New Roman" w:hAnsi="Times New Roman" w:cs="Times New Roman"/>
          <w:noProof/>
          <w:kern w:val="0"/>
          <w14:ligatures w14:val="none"/>
        </w:rPr>
        <mc:AlternateContent>
          <mc:Choice Requires="wps">
            <w:drawing>
              <wp:inline distT="0" distB="0" distL="0" distR="0" wp14:anchorId="4411257B" wp14:editId="361FBE89">
                <wp:extent cx="302260" cy="302260"/>
                <wp:effectExtent l="0" t="0" r="0" b="0"/>
                <wp:docPr id="1379592970" name="Rectangle 71" descr="Diagrama C4 nivel 2 — contenedo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D63DA4" id="Rectangle 71" o:spid="_x0000_s1026" alt="Diagrama C4 nivel 2 — contenedor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0444D1">
        <w:rPr>
          <w:rFonts w:ascii="Times New Roman" w:eastAsia="Times New Roman" w:hAnsi="Times New Roman" w:cs="Times New Roman"/>
          <w:kern w:val="0"/>
          <w14:ligatures w14:val="none"/>
        </w:rPr>
        <w:fldChar w:fldCharType="end"/>
      </w:r>
    </w:p>
    <w:p w14:paraId="5596E5E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Todo contenedor de este diagrama procede de la sección 5: los servicios de dominio corresponden uno a uno con la matriz 5.2, y los adaptadores con los elementos que 5.2 declara explícitamente como infraestructura y no como dominio. No se introduce aquí ningún componente que no haya sido justificado previamente.</w:t>
      </w:r>
    </w:p>
    <w:p w14:paraId="18FE287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7.1 Canales y consumidores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2679"/>
        <w:gridCol w:w="4787"/>
      </w:tblGrid>
      <w:tr w:rsidR="000444D1" w:rsidRPr="000444D1" w14:paraId="53C1DB5C" w14:textId="77777777">
        <w:trPr>
          <w:tblHeader/>
          <w:tblCellSpacing w:w="15" w:type="dxa"/>
        </w:trPr>
        <w:tc>
          <w:tcPr>
            <w:tcW w:w="0" w:type="auto"/>
            <w:vAlign w:val="center"/>
            <w:hideMark/>
          </w:tcPr>
          <w:p w14:paraId="6963C98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Contenedor</w:t>
            </w:r>
          </w:p>
        </w:tc>
        <w:tc>
          <w:tcPr>
            <w:tcW w:w="0" w:type="auto"/>
            <w:vAlign w:val="center"/>
            <w:hideMark/>
          </w:tcPr>
          <w:p w14:paraId="3438226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Tecnología</w:t>
            </w:r>
          </w:p>
        </w:tc>
        <w:tc>
          <w:tcPr>
            <w:tcW w:w="0" w:type="auto"/>
            <w:vAlign w:val="center"/>
            <w:hideMark/>
          </w:tcPr>
          <w:p w14:paraId="688BBC4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w:t>
            </w:r>
          </w:p>
        </w:tc>
      </w:tr>
      <w:tr w:rsidR="000444D1" w:rsidRPr="000444D1" w14:paraId="40C7D08D" w14:textId="77777777">
        <w:trPr>
          <w:tblCellSpacing w:w="15" w:type="dxa"/>
        </w:trPr>
        <w:tc>
          <w:tcPr>
            <w:tcW w:w="0" w:type="auto"/>
            <w:vAlign w:val="center"/>
            <w:hideMark/>
          </w:tcPr>
          <w:p w14:paraId="4F0938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App móvil</w:t>
            </w:r>
          </w:p>
        </w:tc>
        <w:tc>
          <w:tcPr>
            <w:tcW w:w="0" w:type="auto"/>
            <w:vAlign w:val="center"/>
            <w:hideMark/>
          </w:tcPr>
          <w:p w14:paraId="2FD41A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Nativa iOS / Android</w:t>
            </w:r>
          </w:p>
        </w:tc>
        <w:tc>
          <w:tcPr>
            <w:tcW w:w="0" w:type="auto"/>
            <w:vAlign w:val="center"/>
            <w:hideMark/>
          </w:tcPr>
          <w:p w14:paraId="771376F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Presentación e interacción. Sin lógica de negocio</w:t>
            </w:r>
          </w:p>
        </w:tc>
      </w:tr>
      <w:tr w:rsidR="000444D1" w:rsidRPr="000444D1" w14:paraId="0E540E6B" w14:textId="77777777">
        <w:trPr>
          <w:tblCellSpacing w:w="15" w:type="dxa"/>
        </w:trPr>
        <w:tc>
          <w:tcPr>
            <w:tcW w:w="0" w:type="auto"/>
            <w:vAlign w:val="center"/>
            <w:hideMark/>
          </w:tcPr>
          <w:p w14:paraId="4C987D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Banca web</w:t>
            </w:r>
          </w:p>
        </w:tc>
        <w:tc>
          <w:tcPr>
            <w:tcW w:w="0" w:type="auto"/>
            <w:vAlign w:val="center"/>
            <w:hideMark/>
          </w:tcPr>
          <w:p w14:paraId="11164D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Aplicación de página única</w:t>
            </w:r>
          </w:p>
        </w:tc>
        <w:tc>
          <w:tcPr>
            <w:tcW w:w="0" w:type="auto"/>
            <w:vAlign w:val="center"/>
            <w:hideMark/>
          </w:tcPr>
          <w:p w14:paraId="1FB218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Presentación e interacción. Sin lógica de negocio</w:t>
            </w:r>
          </w:p>
        </w:tc>
      </w:tr>
      <w:tr w:rsidR="000444D1" w:rsidRPr="000444D1" w14:paraId="0657EFA3" w14:textId="77777777">
        <w:trPr>
          <w:tblCellSpacing w:w="15" w:type="dxa"/>
        </w:trPr>
        <w:tc>
          <w:tcPr>
            <w:tcW w:w="0" w:type="auto"/>
            <w:vAlign w:val="center"/>
            <w:hideMark/>
          </w:tcPr>
          <w:p w14:paraId="49B9D8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Tercero (TPP)</w:t>
            </w:r>
          </w:p>
        </w:tc>
        <w:tc>
          <w:tcPr>
            <w:tcW w:w="0" w:type="auto"/>
            <w:vAlign w:val="center"/>
            <w:hideMark/>
          </w:tcPr>
          <w:p w14:paraId="79AD67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Externo</w:t>
            </w:r>
          </w:p>
        </w:tc>
        <w:tc>
          <w:tcPr>
            <w:tcW w:w="0" w:type="auto"/>
            <w:vAlign w:val="center"/>
            <w:hideMark/>
          </w:tcPr>
          <w:p w14:paraId="0C6E81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 de las APIs de Open Finance</w:t>
            </w:r>
          </w:p>
        </w:tc>
      </w:tr>
    </w:tbl>
    <w:p w14:paraId="769105BF"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7.2 Borde e identidad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434"/>
        <w:gridCol w:w="6184"/>
      </w:tblGrid>
      <w:tr w:rsidR="000444D1" w:rsidRPr="000444D1" w14:paraId="5108A305" w14:textId="77777777">
        <w:trPr>
          <w:tblHeader/>
          <w:tblCellSpacing w:w="15" w:type="dxa"/>
        </w:trPr>
        <w:tc>
          <w:tcPr>
            <w:tcW w:w="0" w:type="auto"/>
            <w:vAlign w:val="center"/>
            <w:hideMark/>
          </w:tcPr>
          <w:p w14:paraId="34965FC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Contenedor</w:t>
            </w:r>
          </w:p>
        </w:tc>
        <w:tc>
          <w:tcPr>
            <w:tcW w:w="0" w:type="auto"/>
            <w:vAlign w:val="center"/>
            <w:hideMark/>
          </w:tcPr>
          <w:p w14:paraId="07E63F9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Tecnología</w:t>
            </w:r>
          </w:p>
        </w:tc>
        <w:tc>
          <w:tcPr>
            <w:tcW w:w="0" w:type="auto"/>
            <w:vAlign w:val="center"/>
            <w:hideMark/>
          </w:tcPr>
          <w:p w14:paraId="2721A6C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w:t>
            </w:r>
          </w:p>
        </w:tc>
      </w:tr>
      <w:tr w:rsidR="000444D1" w:rsidRPr="000444D1" w14:paraId="5EE3742C" w14:textId="77777777">
        <w:trPr>
          <w:tblCellSpacing w:w="15" w:type="dxa"/>
        </w:trPr>
        <w:tc>
          <w:tcPr>
            <w:tcW w:w="0" w:type="auto"/>
            <w:vAlign w:val="center"/>
            <w:hideMark/>
          </w:tcPr>
          <w:p w14:paraId="5362D88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Gateway externo</w:t>
            </w:r>
          </w:p>
        </w:tc>
        <w:tc>
          <w:tcPr>
            <w:tcW w:w="0" w:type="auto"/>
            <w:vAlign w:val="center"/>
            <w:hideMark/>
          </w:tcPr>
          <w:p w14:paraId="121961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Manager</w:t>
            </w:r>
          </w:p>
        </w:tc>
        <w:tc>
          <w:tcPr>
            <w:tcW w:w="0" w:type="auto"/>
            <w:vAlign w:val="center"/>
            <w:hideMark/>
          </w:tcPr>
          <w:p w14:paraId="72AFD74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Exposición de APIs de Open Finance: mTLS, perfil de seguridad FAPI, validación de consentimiento vigente, cuotas y límites por tercero</w:t>
            </w:r>
          </w:p>
        </w:tc>
      </w:tr>
      <w:tr w:rsidR="000444D1" w:rsidRPr="000444D1" w14:paraId="38296051" w14:textId="77777777">
        <w:trPr>
          <w:tblCellSpacing w:w="15" w:type="dxa"/>
        </w:trPr>
        <w:tc>
          <w:tcPr>
            <w:tcW w:w="0" w:type="auto"/>
            <w:vAlign w:val="center"/>
            <w:hideMark/>
          </w:tcPr>
          <w:p w14:paraId="56EC95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Gateway interno</w:t>
            </w:r>
          </w:p>
        </w:tc>
        <w:tc>
          <w:tcPr>
            <w:tcW w:w="0" w:type="auto"/>
            <w:vAlign w:val="center"/>
            <w:hideMark/>
          </w:tcPr>
          <w:p w14:paraId="4D36D1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Gateway</w:t>
            </w:r>
          </w:p>
        </w:tc>
        <w:tc>
          <w:tcPr>
            <w:tcW w:w="0" w:type="auto"/>
            <w:vAlign w:val="center"/>
            <w:hideMark/>
          </w:tcPr>
          <w:p w14:paraId="4B1322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Enrutamiento, validación de token, límite de tasa y transformación de protocolo para los canales propios</w:t>
            </w:r>
          </w:p>
        </w:tc>
      </w:tr>
      <w:tr w:rsidR="000444D1" w:rsidRPr="000444D1" w14:paraId="1BF53AF2" w14:textId="77777777">
        <w:trPr>
          <w:tblCellSpacing w:w="15" w:type="dxa"/>
        </w:trPr>
        <w:tc>
          <w:tcPr>
            <w:tcW w:w="0" w:type="auto"/>
            <w:vAlign w:val="center"/>
            <w:hideMark/>
          </w:tcPr>
          <w:p w14:paraId="2660D6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Proveedor de identidad</w:t>
            </w:r>
          </w:p>
        </w:tc>
        <w:tc>
          <w:tcPr>
            <w:tcW w:w="0" w:type="auto"/>
            <w:vAlign w:val="center"/>
            <w:hideMark/>
          </w:tcPr>
          <w:p w14:paraId="6C0717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OAuth 2.0 / OIDC</w:t>
            </w:r>
          </w:p>
        </w:tc>
        <w:tc>
          <w:tcPr>
            <w:tcW w:w="0" w:type="auto"/>
            <w:vAlign w:val="center"/>
            <w:hideMark/>
          </w:tcPr>
          <w:p w14:paraId="671E99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Autenticación de clientes, de terceros y de cargas de trabajo; emisión de tokens</w:t>
            </w:r>
          </w:p>
        </w:tc>
      </w:tr>
    </w:tbl>
    <w:p w14:paraId="29E31A6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Aplicación del principio P5.</w:t>
      </w:r>
      <w:r w:rsidRPr="000444D1">
        <w:rPr>
          <w:rFonts w:ascii="Times New Roman" w:eastAsia="Times New Roman" w:hAnsi="Times New Roman" w:cs="Times New Roman"/>
          <w:kern w:val="0"/>
          <w14:ligatures w14:val="none"/>
        </w:rPr>
        <w:t xml:space="preserve"> Ambos gateways ejecutan exclusivamente responsabilidades transversales de borde. La validación de consentimiento que realiza el gateway externo es una </w:t>
      </w:r>
      <w:r w:rsidRPr="000444D1">
        <w:rPr>
          <w:rFonts w:ascii="Times New Roman" w:eastAsia="Times New Roman" w:hAnsi="Times New Roman" w:cs="Times New Roman"/>
          <w:b/>
          <w:bCs/>
          <w:kern w:val="0"/>
          <w14:ligatures w14:val="none"/>
        </w:rPr>
        <w:t>verificación delegada</w:t>
      </w:r>
      <w:r w:rsidRPr="000444D1">
        <w:rPr>
          <w:rFonts w:ascii="Times New Roman" w:eastAsia="Times New Roman" w:hAnsi="Times New Roman" w:cs="Times New Roman"/>
          <w:kern w:val="0"/>
          <w14:ligatures w14:val="none"/>
        </w:rPr>
        <w:t>: consulta al servicio de consentimientos (D7) y actúa según su respuesta, sin implementar la regla de negocio. La distinción es relevante — la lógica de consentimiento reside en D7, que es su propietario; el gateway únicamente la hace cumplir en el perímetro.</w:t>
      </w:r>
    </w:p>
    <w:p w14:paraId="087895A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separación en dos gateways responde a que sus perfiles de seguridad, ciclo de vida y audiencia son distintos: el externo está sujeto a normativa de banca abierta y a terceros no confiables; el interno atiende canales propios. Unificarlos obligaría a aplicar el perfil más estricto a todo el tráfico o a introducir excepciones dentro de un mismo componente.</w:t>
      </w:r>
    </w:p>
    <w:p w14:paraId="1511A59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7.3 Experiencia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6340"/>
      </w:tblGrid>
      <w:tr w:rsidR="000444D1" w:rsidRPr="000444D1" w14:paraId="58166A58" w14:textId="77777777">
        <w:trPr>
          <w:tblHeader/>
          <w:tblCellSpacing w:w="15" w:type="dxa"/>
        </w:trPr>
        <w:tc>
          <w:tcPr>
            <w:tcW w:w="0" w:type="auto"/>
            <w:vAlign w:val="center"/>
            <w:hideMark/>
          </w:tcPr>
          <w:p w14:paraId="6109A89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Contenedor</w:t>
            </w:r>
          </w:p>
        </w:tc>
        <w:tc>
          <w:tcPr>
            <w:tcW w:w="0" w:type="auto"/>
            <w:vAlign w:val="center"/>
            <w:hideMark/>
          </w:tcPr>
          <w:p w14:paraId="4A952E1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w:t>
            </w:r>
          </w:p>
        </w:tc>
      </w:tr>
      <w:tr w:rsidR="000444D1" w:rsidRPr="000444D1" w14:paraId="4FE3D07F" w14:textId="77777777">
        <w:trPr>
          <w:tblCellSpacing w:w="15" w:type="dxa"/>
        </w:trPr>
        <w:tc>
          <w:tcPr>
            <w:tcW w:w="0" w:type="auto"/>
            <w:vAlign w:val="center"/>
            <w:hideMark/>
          </w:tcPr>
          <w:p w14:paraId="6EFA96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BFF móvil</w:t>
            </w:r>
          </w:p>
        </w:tc>
        <w:tc>
          <w:tcPr>
            <w:tcW w:w="0" w:type="auto"/>
            <w:vAlign w:val="center"/>
            <w:hideMark/>
          </w:tcPr>
          <w:p w14:paraId="1E5C24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Composición y adaptación de respuestas para la aplicación móvil</w:t>
            </w:r>
          </w:p>
        </w:tc>
      </w:tr>
      <w:tr w:rsidR="000444D1" w:rsidRPr="000444D1" w14:paraId="71B38619" w14:textId="77777777">
        <w:trPr>
          <w:tblCellSpacing w:w="15" w:type="dxa"/>
        </w:trPr>
        <w:tc>
          <w:tcPr>
            <w:tcW w:w="0" w:type="auto"/>
            <w:vAlign w:val="center"/>
            <w:hideMark/>
          </w:tcPr>
          <w:p w14:paraId="71C27A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BFF web</w:t>
            </w:r>
          </w:p>
        </w:tc>
        <w:tc>
          <w:tcPr>
            <w:tcW w:w="0" w:type="auto"/>
            <w:vAlign w:val="center"/>
            <w:hideMark/>
          </w:tcPr>
          <w:p w14:paraId="4CDA672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Composición y adaptación de respuestas para banca web</w:t>
            </w:r>
          </w:p>
        </w:tc>
      </w:tr>
    </w:tbl>
    <w:p w14:paraId="0F2C6BD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Los BFF materializan el principio de </w:t>
      </w:r>
      <w:r w:rsidRPr="000444D1">
        <w:rPr>
          <w:rFonts w:ascii="Times New Roman" w:eastAsia="Times New Roman" w:hAnsi="Times New Roman" w:cs="Times New Roman"/>
          <w:b/>
          <w:bCs/>
          <w:kern w:val="0"/>
          <w14:ligatures w14:val="none"/>
        </w:rPr>
        <w:t>segregación de interfaces</w:t>
      </w:r>
      <w:r w:rsidRPr="000444D1">
        <w:rPr>
          <w:rFonts w:ascii="Times New Roman" w:eastAsia="Times New Roman" w:hAnsi="Times New Roman" w:cs="Times New Roman"/>
          <w:kern w:val="0"/>
          <w14:ligatures w14:val="none"/>
        </w:rPr>
        <w:t xml:space="preserve">: cada canal consume la interfaz que necesita, en lugar de una API universal que obligue a todos los consumidores a conocer el </w:t>
      </w:r>
      <w:r w:rsidRPr="000444D1">
        <w:rPr>
          <w:rFonts w:ascii="Times New Roman" w:eastAsia="Times New Roman" w:hAnsi="Times New Roman" w:cs="Times New Roman"/>
          <w:kern w:val="0"/>
          <w14:ligatures w14:val="none"/>
        </w:rPr>
        <w:lastRenderedPageBreak/>
        <w:t>modelo completo. Los BFF componen, no deciden: no contienen reglas de negocio ni acceden a almacenes de dominio.</w:t>
      </w:r>
    </w:p>
    <w:p w14:paraId="3632BDA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7.4 Servicios de dominio</w:t>
      </w:r>
    </w:p>
    <w:p w14:paraId="53A2644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Nueve contenedores, correspondientes a los dominios D1 a D9 de la sección 5.2. Cada uno con almacén privado; ninguno comparte base de datos con otro.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2864"/>
        <w:gridCol w:w="4251"/>
      </w:tblGrid>
      <w:tr w:rsidR="000444D1" w:rsidRPr="000444D1" w14:paraId="1057C171" w14:textId="77777777">
        <w:trPr>
          <w:tblHeader/>
          <w:tblCellSpacing w:w="15" w:type="dxa"/>
        </w:trPr>
        <w:tc>
          <w:tcPr>
            <w:tcW w:w="0" w:type="auto"/>
            <w:vAlign w:val="center"/>
            <w:hideMark/>
          </w:tcPr>
          <w:p w14:paraId="17ED722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Etiqueta en el diagrama</w:t>
            </w:r>
          </w:p>
        </w:tc>
        <w:tc>
          <w:tcPr>
            <w:tcW w:w="0" w:type="auto"/>
            <w:vAlign w:val="center"/>
            <w:hideMark/>
          </w:tcPr>
          <w:p w14:paraId="0B41EA4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Dominio</w:t>
            </w:r>
          </w:p>
        </w:tc>
        <w:tc>
          <w:tcPr>
            <w:tcW w:w="0" w:type="auto"/>
            <w:vAlign w:val="center"/>
            <w:hideMark/>
          </w:tcPr>
          <w:p w14:paraId="7AC5C65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Almacén propio</w:t>
            </w:r>
          </w:p>
        </w:tc>
      </w:tr>
      <w:tr w:rsidR="000444D1" w:rsidRPr="000444D1" w14:paraId="6B20CDBC" w14:textId="77777777">
        <w:trPr>
          <w:tblCellSpacing w:w="15" w:type="dxa"/>
        </w:trPr>
        <w:tc>
          <w:tcPr>
            <w:tcW w:w="0" w:type="auto"/>
            <w:vAlign w:val="center"/>
            <w:hideMark/>
          </w:tcPr>
          <w:p w14:paraId="11A4D5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Datos de cliente</w:t>
            </w:r>
          </w:p>
        </w:tc>
        <w:tc>
          <w:tcPr>
            <w:tcW w:w="0" w:type="auto"/>
            <w:vAlign w:val="center"/>
            <w:hideMark/>
          </w:tcPr>
          <w:p w14:paraId="7BAD09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 — Party Reference Data Directory</w:t>
            </w:r>
          </w:p>
        </w:tc>
        <w:tc>
          <w:tcPr>
            <w:tcW w:w="0" w:type="auto"/>
            <w:vAlign w:val="center"/>
            <w:hideMark/>
          </w:tcPr>
          <w:p w14:paraId="3845DC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(mediación)</w:t>
            </w:r>
          </w:p>
        </w:tc>
      </w:tr>
      <w:tr w:rsidR="000444D1" w:rsidRPr="000444D1" w14:paraId="6CEEAEEE" w14:textId="77777777">
        <w:trPr>
          <w:tblCellSpacing w:w="15" w:type="dxa"/>
        </w:trPr>
        <w:tc>
          <w:tcPr>
            <w:tcW w:w="0" w:type="auto"/>
            <w:vAlign w:val="center"/>
            <w:hideMark/>
          </w:tcPr>
          <w:p w14:paraId="648190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Catálogo productos</w:t>
            </w:r>
          </w:p>
        </w:tc>
        <w:tc>
          <w:tcPr>
            <w:tcW w:w="0" w:type="auto"/>
            <w:vAlign w:val="center"/>
            <w:hideMark/>
          </w:tcPr>
          <w:p w14:paraId="599AB4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D2 — Product Directory</w:t>
            </w:r>
          </w:p>
        </w:tc>
        <w:tc>
          <w:tcPr>
            <w:tcW w:w="0" w:type="auto"/>
            <w:vAlign w:val="center"/>
            <w:hideMark/>
          </w:tcPr>
          <w:p w14:paraId="1F1E6A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22AF2535" w14:textId="77777777">
        <w:trPr>
          <w:tblCellSpacing w:w="15" w:type="dxa"/>
        </w:trPr>
        <w:tc>
          <w:tcPr>
            <w:tcW w:w="0" w:type="auto"/>
            <w:vAlign w:val="center"/>
            <w:hideMark/>
          </w:tcPr>
          <w:p w14:paraId="1BB9E2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Posición cliente</w:t>
            </w:r>
          </w:p>
        </w:tc>
        <w:tc>
          <w:tcPr>
            <w:tcW w:w="0" w:type="auto"/>
            <w:vAlign w:val="center"/>
            <w:hideMark/>
          </w:tcPr>
          <w:p w14:paraId="4545C7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 Customer Position</w:t>
            </w:r>
          </w:p>
        </w:tc>
        <w:tc>
          <w:tcPr>
            <w:tcW w:w="0" w:type="auto"/>
            <w:vAlign w:val="center"/>
            <w:hideMark/>
          </w:tcPr>
          <w:p w14:paraId="210046F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 (</w:t>
            </w:r>
            <w:r w:rsidRPr="000444D1">
              <w:rPr>
                <w:rFonts w:ascii="Times New Roman" w:eastAsia="Times New Roman" w:hAnsi="Times New Roman" w:cs="Times New Roman"/>
                <w:b/>
                <w:bCs/>
                <w:kern w:val="0"/>
                <w14:ligatures w14:val="none"/>
              </w:rPr>
              <w:t>proyección</w:t>
            </w:r>
            <w:r w:rsidRPr="000444D1">
              <w:rPr>
                <w:rFonts w:ascii="Times New Roman" w:eastAsia="Times New Roman" w:hAnsi="Times New Roman" w:cs="Times New Roman"/>
                <w:kern w:val="0"/>
                <w14:ligatures w14:val="none"/>
              </w:rPr>
              <w:t>, reconstruible por reproducción de eventos)</w:t>
            </w:r>
          </w:p>
        </w:tc>
      </w:tr>
      <w:tr w:rsidR="000444D1" w:rsidRPr="000444D1" w14:paraId="226A01F8" w14:textId="77777777">
        <w:trPr>
          <w:tblCellSpacing w:w="15" w:type="dxa"/>
        </w:trPr>
        <w:tc>
          <w:tcPr>
            <w:tcW w:w="0" w:type="auto"/>
            <w:vAlign w:val="center"/>
            <w:hideMark/>
          </w:tcPr>
          <w:p w14:paraId="343333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Órdenes de pago</w:t>
            </w:r>
          </w:p>
        </w:tc>
        <w:tc>
          <w:tcPr>
            <w:tcW w:w="0" w:type="auto"/>
            <w:vAlign w:val="center"/>
            <w:hideMark/>
          </w:tcPr>
          <w:p w14:paraId="2B5BE4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 Payment Order</w:t>
            </w:r>
          </w:p>
        </w:tc>
        <w:tc>
          <w:tcPr>
            <w:tcW w:w="0" w:type="auto"/>
            <w:vAlign w:val="center"/>
            <w:hideMark/>
          </w:tcPr>
          <w:p w14:paraId="7F595D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634F3308" w14:textId="77777777">
        <w:trPr>
          <w:tblCellSpacing w:w="15" w:type="dxa"/>
        </w:trPr>
        <w:tc>
          <w:tcPr>
            <w:tcW w:w="0" w:type="auto"/>
            <w:vAlign w:val="center"/>
            <w:hideMark/>
          </w:tcPr>
          <w:p w14:paraId="57DA53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fraude</w:t>
            </w:r>
          </w:p>
        </w:tc>
        <w:tc>
          <w:tcPr>
            <w:tcW w:w="0" w:type="auto"/>
            <w:vAlign w:val="center"/>
            <w:hideMark/>
          </w:tcPr>
          <w:p w14:paraId="6DB49A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 — Fraud Evaluation</w:t>
            </w:r>
          </w:p>
        </w:tc>
        <w:tc>
          <w:tcPr>
            <w:tcW w:w="0" w:type="auto"/>
            <w:vAlign w:val="center"/>
            <w:hideMark/>
          </w:tcPr>
          <w:p w14:paraId="448FFF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(mediación)</w:t>
            </w:r>
          </w:p>
        </w:tc>
      </w:tr>
      <w:tr w:rsidR="000444D1" w:rsidRPr="000444D1" w14:paraId="44A34F66" w14:textId="77777777">
        <w:trPr>
          <w:tblCellSpacing w:w="15" w:type="dxa"/>
        </w:trPr>
        <w:tc>
          <w:tcPr>
            <w:tcW w:w="0" w:type="auto"/>
            <w:vAlign w:val="center"/>
            <w:hideMark/>
          </w:tcPr>
          <w:p w14:paraId="7065AEC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riesgo</w:t>
            </w:r>
          </w:p>
        </w:tc>
        <w:tc>
          <w:tcPr>
            <w:tcW w:w="0" w:type="auto"/>
            <w:vAlign w:val="center"/>
            <w:hideMark/>
          </w:tcPr>
          <w:p w14:paraId="07EF896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D6 — Customer Credit Rating</w:t>
            </w:r>
          </w:p>
        </w:tc>
        <w:tc>
          <w:tcPr>
            <w:tcW w:w="0" w:type="auto"/>
            <w:vAlign w:val="center"/>
            <w:hideMark/>
          </w:tcPr>
          <w:p w14:paraId="0B75E3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(mediación)</w:t>
            </w:r>
          </w:p>
        </w:tc>
      </w:tr>
      <w:tr w:rsidR="000444D1" w:rsidRPr="000444D1" w14:paraId="02DE5939" w14:textId="77777777">
        <w:trPr>
          <w:tblCellSpacing w:w="15" w:type="dxa"/>
        </w:trPr>
        <w:tc>
          <w:tcPr>
            <w:tcW w:w="0" w:type="auto"/>
            <w:vAlign w:val="center"/>
            <w:hideMark/>
          </w:tcPr>
          <w:p w14:paraId="4829E4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Consentimientos</w:t>
            </w:r>
          </w:p>
        </w:tc>
        <w:tc>
          <w:tcPr>
            <w:tcW w:w="0" w:type="auto"/>
            <w:vAlign w:val="center"/>
            <w:hideMark/>
          </w:tcPr>
          <w:p w14:paraId="0A38AA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 extensión al marco BIAN</w:t>
            </w:r>
          </w:p>
        </w:tc>
        <w:tc>
          <w:tcPr>
            <w:tcW w:w="0" w:type="auto"/>
            <w:vAlign w:val="center"/>
            <w:hideMark/>
          </w:tcPr>
          <w:p w14:paraId="3AE8750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5F729B43" w14:textId="77777777">
        <w:trPr>
          <w:tblCellSpacing w:w="15" w:type="dxa"/>
        </w:trPr>
        <w:tc>
          <w:tcPr>
            <w:tcW w:w="0" w:type="auto"/>
            <w:vAlign w:val="center"/>
            <w:hideMark/>
          </w:tcPr>
          <w:p w14:paraId="2711A4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Historial eventos</w:t>
            </w:r>
          </w:p>
        </w:tc>
        <w:tc>
          <w:tcPr>
            <w:tcW w:w="0" w:type="auto"/>
            <w:vAlign w:val="center"/>
            <w:hideMark/>
          </w:tcPr>
          <w:p w14:paraId="6AE8E5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 Customer Event History</w:t>
            </w:r>
          </w:p>
        </w:tc>
        <w:tc>
          <w:tcPr>
            <w:tcW w:w="0" w:type="auto"/>
            <w:vAlign w:val="center"/>
            <w:hideMark/>
          </w:tcPr>
          <w:p w14:paraId="03B8B1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 (</w:t>
            </w:r>
            <w:r w:rsidRPr="000444D1">
              <w:rPr>
                <w:rFonts w:ascii="Times New Roman" w:eastAsia="Times New Roman" w:hAnsi="Times New Roman" w:cs="Times New Roman"/>
                <w:b/>
                <w:bCs/>
                <w:kern w:val="0"/>
                <w14:ligatures w14:val="none"/>
              </w:rPr>
              <w:t>escritura única</w:t>
            </w:r>
            <w:r w:rsidRPr="000444D1">
              <w:rPr>
                <w:rFonts w:ascii="Times New Roman" w:eastAsia="Times New Roman" w:hAnsi="Times New Roman" w:cs="Times New Roman"/>
                <w:kern w:val="0"/>
                <w14:ligatures w14:val="none"/>
              </w:rPr>
              <w:t>)</w:t>
            </w:r>
          </w:p>
        </w:tc>
      </w:tr>
      <w:tr w:rsidR="000444D1" w:rsidRPr="000444D1" w14:paraId="08430D8C" w14:textId="77777777">
        <w:trPr>
          <w:tblCellSpacing w:w="15" w:type="dxa"/>
        </w:trPr>
        <w:tc>
          <w:tcPr>
            <w:tcW w:w="0" w:type="auto"/>
            <w:vAlign w:val="center"/>
            <w:hideMark/>
          </w:tcPr>
          <w:p w14:paraId="4ABB39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Entitlements</w:t>
            </w:r>
          </w:p>
        </w:tc>
        <w:tc>
          <w:tcPr>
            <w:tcW w:w="0" w:type="auto"/>
            <w:vAlign w:val="center"/>
            <w:hideMark/>
          </w:tcPr>
          <w:p w14:paraId="0BA711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D9 — Customer Access Entitlement</w:t>
            </w:r>
          </w:p>
        </w:tc>
        <w:tc>
          <w:tcPr>
            <w:tcW w:w="0" w:type="auto"/>
            <w:vAlign w:val="center"/>
            <w:hideMark/>
          </w:tcPr>
          <w:p w14:paraId="236582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bl>
    <w:p w14:paraId="0F6B7919"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7.5 Mediación e integración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7570"/>
      </w:tblGrid>
      <w:tr w:rsidR="000444D1" w:rsidRPr="000444D1" w14:paraId="4D89B056" w14:textId="77777777">
        <w:trPr>
          <w:tblHeader/>
          <w:tblCellSpacing w:w="15" w:type="dxa"/>
        </w:trPr>
        <w:tc>
          <w:tcPr>
            <w:tcW w:w="0" w:type="auto"/>
            <w:vAlign w:val="center"/>
            <w:hideMark/>
          </w:tcPr>
          <w:p w14:paraId="2911614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Contenedor</w:t>
            </w:r>
          </w:p>
        </w:tc>
        <w:tc>
          <w:tcPr>
            <w:tcW w:w="0" w:type="auto"/>
            <w:vAlign w:val="center"/>
            <w:hideMark/>
          </w:tcPr>
          <w:p w14:paraId="1ACD357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w:t>
            </w:r>
          </w:p>
        </w:tc>
      </w:tr>
      <w:tr w:rsidR="000444D1" w:rsidRPr="000444D1" w14:paraId="1B29E441" w14:textId="77777777">
        <w:trPr>
          <w:tblCellSpacing w:w="15" w:type="dxa"/>
        </w:trPr>
        <w:tc>
          <w:tcPr>
            <w:tcW w:w="0" w:type="auto"/>
            <w:vAlign w:val="center"/>
            <w:hideMark/>
          </w:tcPr>
          <w:p w14:paraId="363EA8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Bus de eventos</w:t>
            </w:r>
          </w:p>
        </w:tc>
        <w:tc>
          <w:tcPr>
            <w:tcW w:w="0" w:type="auto"/>
            <w:vAlign w:val="center"/>
            <w:hideMark/>
          </w:tcPr>
          <w:p w14:paraId="1CCDB8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Transporte asíncrono de eventos de dominio. Particionado por identificador de cliente para garantizar ordenamiento por cliente; reintentos con retroceso y cola de mensajes fallidos</w:t>
            </w:r>
          </w:p>
        </w:tc>
      </w:tr>
      <w:tr w:rsidR="000444D1" w:rsidRPr="000444D1" w14:paraId="44992657" w14:textId="77777777">
        <w:trPr>
          <w:tblCellSpacing w:w="15" w:type="dxa"/>
        </w:trPr>
        <w:tc>
          <w:tcPr>
            <w:tcW w:w="0" w:type="auto"/>
            <w:vAlign w:val="center"/>
            <w:hideMark/>
          </w:tcPr>
          <w:p w14:paraId="312648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ACL del core tradicional</w:t>
            </w:r>
          </w:p>
        </w:tc>
        <w:tc>
          <w:tcPr>
            <w:tcW w:w="0" w:type="auto"/>
            <w:vAlign w:val="center"/>
            <w:hideMark/>
          </w:tcPr>
          <w:p w14:paraId="24AE0F9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Capa anticorrupción. Traduce el modelo, los códigos y los formatos del core tradicional a los puertos canónicos; emite un evento de dominio tras cada operación que él mismo origina</w:t>
            </w:r>
          </w:p>
        </w:tc>
      </w:tr>
      <w:tr w:rsidR="000444D1" w:rsidRPr="000444D1" w14:paraId="25EFC95F" w14:textId="77777777">
        <w:trPr>
          <w:tblCellSpacing w:w="15" w:type="dxa"/>
        </w:trPr>
        <w:tc>
          <w:tcPr>
            <w:tcW w:w="0" w:type="auto"/>
            <w:vAlign w:val="center"/>
            <w:hideMark/>
          </w:tcPr>
          <w:p w14:paraId="4260B5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Adaptador core digital</w:t>
            </w:r>
          </w:p>
        </w:tc>
        <w:tc>
          <w:tcPr>
            <w:tcW w:w="0" w:type="auto"/>
            <w:vAlign w:val="center"/>
            <w:hideMark/>
          </w:tcPr>
          <w:p w14:paraId="13224C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Traduce la API REST del core digital a los mismos puertos canónicos</w:t>
            </w:r>
          </w:p>
        </w:tc>
      </w:tr>
      <w:tr w:rsidR="000444D1" w:rsidRPr="000444D1" w14:paraId="6EA45365" w14:textId="77777777">
        <w:trPr>
          <w:tblCellSpacing w:w="15" w:type="dxa"/>
        </w:trPr>
        <w:tc>
          <w:tcPr>
            <w:tcW w:w="0" w:type="auto"/>
            <w:vAlign w:val="center"/>
            <w:hideMark/>
          </w:tcPr>
          <w:p w14:paraId="7B0CFD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Adaptador redes de pago</w:t>
            </w:r>
          </w:p>
        </w:tc>
        <w:tc>
          <w:tcPr>
            <w:tcW w:w="0" w:type="auto"/>
            <w:vAlign w:val="center"/>
            <w:hideMark/>
          </w:tcPr>
          <w:p w14:paraId="3C7850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Traduce a ISO 20022 y a los protocolos de las redes externas</w:t>
            </w:r>
          </w:p>
        </w:tc>
      </w:tr>
      <w:tr w:rsidR="000444D1" w:rsidRPr="000444D1" w14:paraId="7D29EBFF" w14:textId="77777777">
        <w:trPr>
          <w:tblCellSpacing w:w="15" w:type="dxa"/>
        </w:trPr>
        <w:tc>
          <w:tcPr>
            <w:tcW w:w="0" w:type="auto"/>
            <w:vAlign w:val="center"/>
            <w:hideMark/>
          </w:tcPr>
          <w:p w14:paraId="312044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CDC del core tradicional</w:t>
            </w:r>
          </w:p>
        </w:tc>
        <w:tc>
          <w:tcPr>
            <w:tcW w:w="0" w:type="auto"/>
            <w:vAlign w:val="center"/>
            <w:hideMark/>
          </w:tcPr>
          <w:p w14:paraId="3DFF10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Captura de cambios sobre la réplica del core tradicional. Cubre las operaciones </w:t>
            </w:r>
            <w:r w:rsidRPr="000444D1">
              <w:rPr>
                <w:rFonts w:ascii="Times New Roman" w:eastAsia="Times New Roman" w:hAnsi="Times New Roman" w:cs="Times New Roman"/>
                <w:b/>
                <w:bCs/>
                <w:kern w:val="0"/>
                <w14:ligatures w14:val="none"/>
              </w:rPr>
              <w:t>no originadas en canales digitales</w:t>
            </w:r>
            <w:r w:rsidRPr="000444D1">
              <w:rPr>
                <w:rFonts w:ascii="Times New Roman" w:eastAsia="Times New Roman" w:hAnsi="Times New Roman" w:cs="Times New Roman"/>
                <w:kern w:val="0"/>
                <w14:ligatures w14:val="none"/>
              </w:rPr>
              <w:t xml:space="preserve"> (agencia, cajeros, procesos batch, back office)</w:t>
            </w:r>
          </w:p>
        </w:tc>
      </w:tr>
    </w:tbl>
    <w:p w14:paraId="4C4F977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Aplicación de LSP y DIP.</w:t>
      </w:r>
      <w:r w:rsidRPr="000444D1">
        <w:rPr>
          <w:rFonts w:ascii="Times New Roman" w:eastAsia="Times New Roman" w:hAnsi="Times New Roman" w:cs="Times New Roman"/>
          <w:kern w:val="0"/>
          <w14:ligatures w14:val="none"/>
        </w:rPr>
        <w:t xml:space="preserve"> El ACL del core tradicional y el adaptador del core digital implementan el mismo conjunto de puertos canónicos. El servicio de órdenes de pago (D4) depende del puerto, no de la implementación: orquesta la ejecución de un pago sin conocer cuál de los dos cores lo atiende. La resolución la aporta el catálogo de productos (D2) en tiempo de ejecución.</w:t>
      </w:r>
    </w:p>
    <w:p w14:paraId="24736802"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7.6 Relaciones entre contenedores</w:t>
      </w:r>
    </w:p>
    <w:p w14:paraId="7A69E72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inventario completo de relaciones. La columna </w:t>
      </w:r>
      <w:r w:rsidRPr="000444D1">
        <w:rPr>
          <w:rFonts w:ascii="Times New Roman" w:eastAsia="Times New Roman" w:hAnsi="Times New Roman" w:cs="Times New Roman"/>
          <w:i/>
          <w:iCs/>
          <w:kern w:val="0"/>
          <w14:ligatures w14:val="none"/>
        </w:rPr>
        <w:t>naturaleza</w:t>
      </w:r>
      <w:r w:rsidRPr="000444D1">
        <w:rPr>
          <w:rFonts w:ascii="Times New Roman" w:eastAsia="Times New Roman" w:hAnsi="Times New Roman" w:cs="Times New Roman"/>
          <w:kern w:val="0"/>
          <w14:ligatures w14:val="none"/>
        </w:rPr>
        <w:t xml:space="preserve"> distingue las cuatro únicas invocaciones síncronas admitidas por el ADR-003; el resto del sistema se comunica por eventos.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771"/>
        <w:gridCol w:w="2050"/>
        <w:gridCol w:w="2771"/>
      </w:tblGrid>
      <w:tr w:rsidR="000444D1" w:rsidRPr="000444D1" w14:paraId="77EEBDB4" w14:textId="77777777">
        <w:trPr>
          <w:tblHeader/>
          <w:tblCellSpacing w:w="15" w:type="dxa"/>
        </w:trPr>
        <w:tc>
          <w:tcPr>
            <w:tcW w:w="0" w:type="auto"/>
            <w:vAlign w:val="center"/>
            <w:hideMark/>
          </w:tcPr>
          <w:p w14:paraId="4BD56F2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Origen</w:t>
            </w:r>
          </w:p>
        </w:tc>
        <w:tc>
          <w:tcPr>
            <w:tcW w:w="0" w:type="auto"/>
            <w:vAlign w:val="center"/>
            <w:hideMark/>
          </w:tcPr>
          <w:p w14:paraId="5615F69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Destino</w:t>
            </w:r>
          </w:p>
        </w:tc>
        <w:tc>
          <w:tcPr>
            <w:tcW w:w="0" w:type="auto"/>
            <w:vAlign w:val="center"/>
            <w:hideMark/>
          </w:tcPr>
          <w:p w14:paraId="23A3083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Naturaleza</w:t>
            </w:r>
          </w:p>
        </w:tc>
        <w:tc>
          <w:tcPr>
            <w:tcW w:w="0" w:type="auto"/>
            <w:vAlign w:val="center"/>
            <w:hideMark/>
          </w:tcPr>
          <w:p w14:paraId="407F8A7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Propósito</w:t>
            </w:r>
          </w:p>
        </w:tc>
      </w:tr>
      <w:tr w:rsidR="000444D1" w:rsidRPr="000444D1" w14:paraId="5F6F91B3" w14:textId="77777777">
        <w:trPr>
          <w:tblCellSpacing w:w="15" w:type="dxa"/>
        </w:trPr>
        <w:tc>
          <w:tcPr>
            <w:tcW w:w="0" w:type="auto"/>
            <w:vAlign w:val="center"/>
            <w:hideMark/>
          </w:tcPr>
          <w:p w14:paraId="1CF0AC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App móvil / Banca web</w:t>
            </w:r>
          </w:p>
        </w:tc>
        <w:tc>
          <w:tcPr>
            <w:tcW w:w="0" w:type="auto"/>
            <w:vAlign w:val="center"/>
            <w:hideMark/>
          </w:tcPr>
          <w:p w14:paraId="5815E1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interno</w:t>
            </w:r>
          </w:p>
        </w:tc>
        <w:tc>
          <w:tcPr>
            <w:tcW w:w="0" w:type="auto"/>
            <w:vAlign w:val="center"/>
            <w:hideMark/>
          </w:tcPr>
          <w:p w14:paraId="5A87E7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2ACEED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de canal propio</w:t>
            </w:r>
          </w:p>
        </w:tc>
      </w:tr>
      <w:tr w:rsidR="000444D1" w:rsidRPr="000444D1" w14:paraId="0C624D73" w14:textId="77777777">
        <w:trPr>
          <w:tblCellSpacing w:w="15" w:type="dxa"/>
        </w:trPr>
        <w:tc>
          <w:tcPr>
            <w:tcW w:w="0" w:type="auto"/>
            <w:vAlign w:val="center"/>
            <w:hideMark/>
          </w:tcPr>
          <w:p w14:paraId="563572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Tercero (TPP)</w:t>
            </w:r>
          </w:p>
        </w:tc>
        <w:tc>
          <w:tcPr>
            <w:tcW w:w="0" w:type="auto"/>
            <w:vAlign w:val="center"/>
            <w:hideMark/>
          </w:tcPr>
          <w:p w14:paraId="5B7FC0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w:t>
            </w:r>
          </w:p>
        </w:tc>
        <w:tc>
          <w:tcPr>
            <w:tcW w:w="0" w:type="auto"/>
            <w:vAlign w:val="center"/>
            <w:hideMark/>
          </w:tcPr>
          <w:p w14:paraId="4F0455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745F70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Open Finance bajo consentimiento</w:t>
            </w:r>
          </w:p>
        </w:tc>
      </w:tr>
      <w:tr w:rsidR="000444D1" w:rsidRPr="000444D1" w14:paraId="2C3F0B48" w14:textId="77777777">
        <w:trPr>
          <w:tblCellSpacing w:w="15" w:type="dxa"/>
        </w:trPr>
        <w:tc>
          <w:tcPr>
            <w:tcW w:w="0" w:type="auto"/>
            <w:vAlign w:val="center"/>
            <w:hideMark/>
          </w:tcPr>
          <w:p w14:paraId="3241F4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interno / externo</w:t>
            </w:r>
          </w:p>
        </w:tc>
        <w:tc>
          <w:tcPr>
            <w:tcW w:w="0" w:type="auto"/>
            <w:vAlign w:val="center"/>
            <w:hideMark/>
          </w:tcPr>
          <w:p w14:paraId="274F42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Proveedor de identidad</w:t>
            </w:r>
          </w:p>
        </w:tc>
        <w:tc>
          <w:tcPr>
            <w:tcW w:w="0" w:type="auto"/>
            <w:vAlign w:val="center"/>
            <w:hideMark/>
          </w:tcPr>
          <w:p w14:paraId="26A6BA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655FEE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Validación de token</w:t>
            </w:r>
          </w:p>
        </w:tc>
      </w:tr>
      <w:tr w:rsidR="000444D1" w:rsidRPr="000444D1" w14:paraId="778D5274" w14:textId="77777777">
        <w:trPr>
          <w:tblCellSpacing w:w="15" w:type="dxa"/>
        </w:trPr>
        <w:tc>
          <w:tcPr>
            <w:tcW w:w="0" w:type="auto"/>
            <w:vAlign w:val="center"/>
            <w:hideMark/>
          </w:tcPr>
          <w:p w14:paraId="09A091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w:t>
            </w:r>
          </w:p>
        </w:tc>
        <w:tc>
          <w:tcPr>
            <w:tcW w:w="0" w:type="auto"/>
            <w:vAlign w:val="center"/>
            <w:hideMark/>
          </w:tcPr>
          <w:p w14:paraId="70079F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Consentimientos</w:t>
            </w:r>
          </w:p>
        </w:tc>
        <w:tc>
          <w:tcPr>
            <w:tcW w:w="0" w:type="auto"/>
            <w:vAlign w:val="center"/>
            <w:hideMark/>
          </w:tcPr>
          <w:p w14:paraId="6F8F11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5E90E4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Verificación de consentimiento vigente</w:t>
            </w:r>
          </w:p>
        </w:tc>
      </w:tr>
      <w:tr w:rsidR="000444D1" w:rsidRPr="000444D1" w14:paraId="7E52AD4C" w14:textId="77777777">
        <w:trPr>
          <w:tblCellSpacing w:w="15" w:type="dxa"/>
        </w:trPr>
        <w:tc>
          <w:tcPr>
            <w:tcW w:w="0" w:type="auto"/>
            <w:vAlign w:val="center"/>
            <w:hideMark/>
          </w:tcPr>
          <w:p w14:paraId="03A125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 / interno</w:t>
            </w:r>
          </w:p>
        </w:tc>
        <w:tc>
          <w:tcPr>
            <w:tcW w:w="0" w:type="auto"/>
            <w:vAlign w:val="center"/>
            <w:hideMark/>
          </w:tcPr>
          <w:p w14:paraId="5823A9A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D9 Entitlements</w:t>
            </w:r>
          </w:p>
        </w:tc>
        <w:tc>
          <w:tcPr>
            <w:tcW w:w="0" w:type="auto"/>
            <w:vAlign w:val="center"/>
            <w:hideMark/>
          </w:tcPr>
          <w:p w14:paraId="6B30DE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4CC6B6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Decisión de autorización sobre la cuenta</w:t>
            </w:r>
          </w:p>
        </w:tc>
      </w:tr>
      <w:tr w:rsidR="000444D1" w:rsidRPr="000444D1" w14:paraId="297A3657" w14:textId="77777777">
        <w:trPr>
          <w:tblCellSpacing w:w="15" w:type="dxa"/>
        </w:trPr>
        <w:tc>
          <w:tcPr>
            <w:tcW w:w="0" w:type="auto"/>
            <w:vAlign w:val="center"/>
            <w:hideMark/>
          </w:tcPr>
          <w:p w14:paraId="44CF340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interno</w:t>
            </w:r>
          </w:p>
        </w:tc>
        <w:tc>
          <w:tcPr>
            <w:tcW w:w="0" w:type="auto"/>
            <w:vAlign w:val="center"/>
            <w:hideMark/>
          </w:tcPr>
          <w:p w14:paraId="5C0C78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 móvil / BFF web</w:t>
            </w:r>
          </w:p>
        </w:tc>
        <w:tc>
          <w:tcPr>
            <w:tcW w:w="0" w:type="auto"/>
            <w:vAlign w:val="center"/>
            <w:hideMark/>
          </w:tcPr>
          <w:p w14:paraId="657276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734B43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Enrutamiento al canal correspondiente</w:t>
            </w:r>
          </w:p>
        </w:tc>
      </w:tr>
      <w:tr w:rsidR="000444D1" w:rsidRPr="000444D1" w14:paraId="78E6129D" w14:textId="77777777">
        <w:trPr>
          <w:tblCellSpacing w:w="15" w:type="dxa"/>
        </w:trPr>
        <w:tc>
          <w:tcPr>
            <w:tcW w:w="0" w:type="auto"/>
            <w:vAlign w:val="center"/>
            <w:hideMark/>
          </w:tcPr>
          <w:p w14:paraId="50836D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 móvil / web</w:t>
            </w:r>
          </w:p>
        </w:tc>
        <w:tc>
          <w:tcPr>
            <w:tcW w:w="0" w:type="auto"/>
            <w:vAlign w:val="center"/>
            <w:hideMark/>
          </w:tcPr>
          <w:p w14:paraId="5D0D26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Posición cliente</w:t>
            </w:r>
          </w:p>
        </w:tc>
        <w:tc>
          <w:tcPr>
            <w:tcW w:w="0" w:type="auto"/>
            <w:vAlign w:val="center"/>
            <w:hideMark/>
          </w:tcPr>
          <w:p w14:paraId="5C8A52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418A7C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posición (nunca autoriza operaciones)</w:t>
            </w:r>
          </w:p>
        </w:tc>
      </w:tr>
      <w:tr w:rsidR="000444D1" w:rsidRPr="000444D1" w14:paraId="5833C2E1" w14:textId="77777777">
        <w:trPr>
          <w:tblCellSpacing w:w="15" w:type="dxa"/>
        </w:trPr>
        <w:tc>
          <w:tcPr>
            <w:tcW w:w="0" w:type="auto"/>
            <w:vAlign w:val="center"/>
            <w:hideMark/>
          </w:tcPr>
          <w:p w14:paraId="2D64FE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 móvil / web</w:t>
            </w:r>
          </w:p>
        </w:tc>
        <w:tc>
          <w:tcPr>
            <w:tcW w:w="0" w:type="auto"/>
            <w:vAlign w:val="center"/>
            <w:hideMark/>
          </w:tcPr>
          <w:p w14:paraId="1681A34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06624C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041296E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Originación de pagos</w:t>
            </w:r>
          </w:p>
        </w:tc>
      </w:tr>
      <w:tr w:rsidR="000444D1" w:rsidRPr="000444D1" w14:paraId="72917C21" w14:textId="77777777">
        <w:trPr>
          <w:tblCellSpacing w:w="15" w:type="dxa"/>
        </w:trPr>
        <w:tc>
          <w:tcPr>
            <w:tcW w:w="0" w:type="auto"/>
            <w:vAlign w:val="center"/>
            <w:hideMark/>
          </w:tcPr>
          <w:p w14:paraId="54C81C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1C0BE0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 Evaluación fraude</w:t>
            </w:r>
          </w:p>
        </w:tc>
        <w:tc>
          <w:tcPr>
            <w:tcW w:w="0" w:type="auto"/>
            <w:vAlign w:val="center"/>
            <w:hideMark/>
          </w:tcPr>
          <w:p w14:paraId="0EADDE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 — camino crítico, 300 ms</w:t>
            </w:r>
          </w:p>
        </w:tc>
        <w:tc>
          <w:tcPr>
            <w:tcW w:w="0" w:type="auto"/>
            <w:vAlign w:val="center"/>
            <w:hideMark/>
          </w:tcPr>
          <w:p w14:paraId="3F45C4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Autorización previa a la ejecución</w:t>
            </w:r>
          </w:p>
        </w:tc>
      </w:tr>
      <w:tr w:rsidR="000444D1" w:rsidRPr="000444D1" w14:paraId="7C392A3C" w14:textId="77777777">
        <w:trPr>
          <w:tblCellSpacing w:w="15" w:type="dxa"/>
        </w:trPr>
        <w:tc>
          <w:tcPr>
            <w:tcW w:w="0" w:type="auto"/>
            <w:vAlign w:val="center"/>
            <w:hideMark/>
          </w:tcPr>
          <w:p w14:paraId="5253FF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7B768D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D2 Catálogo productos</w:t>
            </w:r>
          </w:p>
        </w:tc>
        <w:tc>
          <w:tcPr>
            <w:tcW w:w="0" w:type="auto"/>
            <w:vAlign w:val="center"/>
            <w:hideMark/>
          </w:tcPr>
          <w:p w14:paraId="0E2082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10432D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Resolución del core propietario</w:t>
            </w:r>
          </w:p>
        </w:tc>
      </w:tr>
      <w:tr w:rsidR="000444D1" w:rsidRPr="000444D1" w14:paraId="5716D5EF" w14:textId="77777777">
        <w:trPr>
          <w:tblCellSpacing w:w="15" w:type="dxa"/>
        </w:trPr>
        <w:tc>
          <w:tcPr>
            <w:tcW w:w="0" w:type="auto"/>
            <w:vAlign w:val="center"/>
            <w:hideMark/>
          </w:tcPr>
          <w:p w14:paraId="38162FF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463AED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 / Adaptador core digital</w:t>
            </w:r>
          </w:p>
        </w:tc>
        <w:tc>
          <w:tcPr>
            <w:tcW w:w="0" w:type="auto"/>
            <w:vAlign w:val="center"/>
            <w:hideMark/>
          </w:tcPr>
          <w:p w14:paraId="5DB328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3D17DA1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Débito autoritativo</w:t>
            </w:r>
          </w:p>
        </w:tc>
      </w:tr>
      <w:tr w:rsidR="000444D1" w:rsidRPr="000444D1" w14:paraId="259B8CBD" w14:textId="77777777">
        <w:trPr>
          <w:tblCellSpacing w:w="15" w:type="dxa"/>
        </w:trPr>
        <w:tc>
          <w:tcPr>
            <w:tcW w:w="0" w:type="auto"/>
            <w:vAlign w:val="center"/>
            <w:hideMark/>
          </w:tcPr>
          <w:p w14:paraId="221A1E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Adaptador core digital / ACL</w:t>
            </w:r>
          </w:p>
        </w:tc>
        <w:tc>
          <w:tcPr>
            <w:tcW w:w="0" w:type="auto"/>
            <w:vAlign w:val="center"/>
            <w:hideMark/>
          </w:tcPr>
          <w:p w14:paraId="5F0CEA1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correspondiente</w:t>
            </w:r>
          </w:p>
        </w:tc>
        <w:tc>
          <w:tcPr>
            <w:tcW w:w="0" w:type="auto"/>
            <w:vAlign w:val="center"/>
            <w:hideMark/>
          </w:tcPr>
          <w:p w14:paraId="0D7DA0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277098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Ejecución sobre el system of record</w:t>
            </w:r>
          </w:p>
        </w:tc>
      </w:tr>
      <w:tr w:rsidR="000444D1" w:rsidRPr="000444D1" w14:paraId="6A36A589" w14:textId="77777777">
        <w:trPr>
          <w:tblCellSpacing w:w="15" w:type="dxa"/>
        </w:trPr>
        <w:tc>
          <w:tcPr>
            <w:tcW w:w="0" w:type="auto"/>
            <w:vAlign w:val="center"/>
            <w:hideMark/>
          </w:tcPr>
          <w:p w14:paraId="5B72EF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 Evaluación fraude</w:t>
            </w:r>
          </w:p>
        </w:tc>
        <w:tc>
          <w:tcPr>
            <w:tcW w:w="0" w:type="auto"/>
            <w:vAlign w:val="center"/>
            <w:hideMark/>
          </w:tcPr>
          <w:p w14:paraId="636DF2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Motor de fraude</w:t>
            </w:r>
          </w:p>
        </w:tc>
        <w:tc>
          <w:tcPr>
            <w:tcW w:w="0" w:type="auto"/>
            <w:vAlign w:val="center"/>
            <w:hideMark/>
          </w:tcPr>
          <w:p w14:paraId="0BFB77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4915F3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en línea</w:t>
            </w:r>
          </w:p>
        </w:tc>
      </w:tr>
      <w:tr w:rsidR="000444D1" w:rsidRPr="000444D1" w14:paraId="12134BB8" w14:textId="77777777">
        <w:trPr>
          <w:tblCellSpacing w:w="15" w:type="dxa"/>
        </w:trPr>
        <w:tc>
          <w:tcPr>
            <w:tcW w:w="0" w:type="auto"/>
            <w:vAlign w:val="center"/>
            <w:hideMark/>
          </w:tcPr>
          <w:p w14:paraId="4D795D1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 Datos de cliente</w:t>
            </w:r>
          </w:p>
        </w:tc>
        <w:tc>
          <w:tcPr>
            <w:tcW w:w="0" w:type="auto"/>
            <w:vAlign w:val="center"/>
            <w:hideMark/>
          </w:tcPr>
          <w:p w14:paraId="43F56A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w:t>
            </w:r>
          </w:p>
        </w:tc>
        <w:tc>
          <w:tcPr>
            <w:tcW w:w="0" w:type="auto"/>
            <w:vAlign w:val="center"/>
            <w:hideMark/>
          </w:tcPr>
          <w:p w14:paraId="38F97E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w:t>
            </w:r>
          </w:p>
        </w:tc>
        <w:tc>
          <w:tcPr>
            <w:tcW w:w="0" w:type="auto"/>
            <w:vAlign w:val="center"/>
            <w:hideMark/>
          </w:tcPr>
          <w:p w14:paraId="566595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Lectura de datos maestros</w:t>
            </w:r>
          </w:p>
        </w:tc>
      </w:tr>
      <w:tr w:rsidR="000444D1" w:rsidRPr="000444D1" w14:paraId="65501D7A" w14:textId="77777777">
        <w:trPr>
          <w:tblCellSpacing w:w="15" w:type="dxa"/>
        </w:trPr>
        <w:tc>
          <w:tcPr>
            <w:tcW w:w="0" w:type="auto"/>
            <w:vAlign w:val="center"/>
            <w:hideMark/>
          </w:tcPr>
          <w:p w14:paraId="094C96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5A2FEF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7BF4A9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741504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Publicación del estado de la saga</w:t>
            </w:r>
          </w:p>
        </w:tc>
      </w:tr>
      <w:tr w:rsidR="000444D1" w:rsidRPr="000444D1" w14:paraId="3C9A67C8" w14:textId="77777777">
        <w:trPr>
          <w:tblCellSpacing w:w="15" w:type="dxa"/>
        </w:trPr>
        <w:tc>
          <w:tcPr>
            <w:tcW w:w="0" w:type="auto"/>
            <w:vAlign w:val="center"/>
            <w:hideMark/>
          </w:tcPr>
          <w:p w14:paraId="4D87CD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ACL del core tradicional</w:t>
            </w:r>
          </w:p>
        </w:tc>
        <w:tc>
          <w:tcPr>
            <w:tcW w:w="0" w:type="auto"/>
            <w:vAlign w:val="center"/>
            <w:hideMark/>
          </w:tcPr>
          <w:p w14:paraId="6DE85A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05D47A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4376B8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 por cada operación originada por el ACL</w:t>
            </w:r>
          </w:p>
        </w:tc>
      </w:tr>
      <w:tr w:rsidR="000444D1" w:rsidRPr="000444D1" w14:paraId="5B886A8A" w14:textId="77777777">
        <w:trPr>
          <w:tblCellSpacing w:w="15" w:type="dxa"/>
        </w:trPr>
        <w:tc>
          <w:tcPr>
            <w:tcW w:w="0" w:type="auto"/>
            <w:vAlign w:val="center"/>
            <w:hideMark/>
          </w:tcPr>
          <w:p w14:paraId="0A8C28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CDC del core tradicional</w:t>
            </w:r>
          </w:p>
        </w:tc>
        <w:tc>
          <w:tcPr>
            <w:tcW w:w="0" w:type="auto"/>
            <w:vAlign w:val="center"/>
            <w:hideMark/>
          </w:tcPr>
          <w:p w14:paraId="3E06A6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202E6E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305C2F1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Cambios no originados en canales digitales</w:t>
            </w:r>
          </w:p>
        </w:tc>
      </w:tr>
      <w:tr w:rsidR="000444D1" w:rsidRPr="000444D1" w14:paraId="7AD85079" w14:textId="77777777">
        <w:trPr>
          <w:tblCellSpacing w:w="15" w:type="dxa"/>
        </w:trPr>
        <w:tc>
          <w:tcPr>
            <w:tcW w:w="0" w:type="auto"/>
            <w:vAlign w:val="center"/>
            <w:hideMark/>
          </w:tcPr>
          <w:p w14:paraId="1B6C05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Adaptador redes de pago</w:t>
            </w:r>
          </w:p>
        </w:tc>
        <w:tc>
          <w:tcPr>
            <w:tcW w:w="0" w:type="auto"/>
            <w:vAlign w:val="center"/>
            <w:hideMark/>
          </w:tcPr>
          <w:p w14:paraId="1A180F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2804FB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621FD9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Confirmación de liquidación externa</w:t>
            </w:r>
          </w:p>
        </w:tc>
      </w:tr>
      <w:tr w:rsidR="000444D1" w:rsidRPr="000444D1" w14:paraId="092AA28A" w14:textId="77777777">
        <w:trPr>
          <w:tblCellSpacing w:w="15" w:type="dxa"/>
        </w:trPr>
        <w:tc>
          <w:tcPr>
            <w:tcW w:w="0" w:type="auto"/>
            <w:vAlign w:val="center"/>
            <w:hideMark/>
          </w:tcPr>
          <w:p w14:paraId="57941B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67E588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Posición cliente</w:t>
            </w:r>
          </w:p>
        </w:tc>
        <w:tc>
          <w:tcPr>
            <w:tcW w:w="0" w:type="auto"/>
            <w:vAlign w:val="center"/>
            <w:hideMark/>
          </w:tcPr>
          <w:p w14:paraId="6BA781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141BCA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Actualización de la proyección</w:t>
            </w:r>
          </w:p>
        </w:tc>
      </w:tr>
      <w:tr w:rsidR="000444D1" w:rsidRPr="000444D1" w14:paraId="5ACEE9EC" w14:textId="77777777">
        <w:trPr>
          <w:tblCellSpacing w:w="15" w:type="dxa"/>
        </w:trPr>
        <w:tc>
          <w:tcPr>
            <w:tcW w:w="0" w:type="auto"/>
            <w:vAlign w:val="center"/>
            <w:hideMark/>
          </w:tcPr>
          <w:p w14:paraId="43AA3ED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75393BC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Historial eventos</w:t>
            </w:r>
          </w:p>
        </w:tc>
        <w:tc>
          <w:tcPr>
            <w:tcW w:w="0" w:type="auto"/>
            <w:vAlign w:val="center"/>
            <w:hideMark/>
          </w:tcPr>
          <w:p w14:paraId="2FB74F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2677BE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inmutable para auditoría</w:t>
            </w:r>
          </w:p>
        </w:tc>
      </w:tr>
      <w:tr w:rsidR="000444D1" w:rsidRPr="000444D1" w14:paraId="5241684A" w14:textId="77777777">
        <w:trPr>
          <w:tblCellSpacing w:w="15" w:type="dxa"/>
        </w:trPr>
        <w:tc>
          <w:tcPr>
            <w:tcW w:w="0" w:type="auto"/>
            <w:vAlign w:val="center"/>
            <w:hideMark/>
          </w:tcPr>
          <w:p w14:paraId="4EF0F1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0C69E1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D6 Evaluación riesgo</w:t>
            </w:r>
          </w:p>
        </w:tc>
        <w:tc>
          <w:tcPr>
            <w:tcW w:w="0" w:type="auto"/>
            <w:vAlign w:val="center"/>
            <w:hideMark/>
          </w:tcPr>
          <w:p w14:paraId="54EE40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533C7A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Actualización de perfil</w:t>
            </w:r>
          </w:p>
        </w:tc>
      </w:tr>
      <w:tr w:rsidR="000444D1" w:rsidRPr="000444D1" w14:paraId="50F25CB1" w14:textId="77777777">
        <w:trPr>
          <w:tblCellSpacing w:w="15" w:type="dxa"/>
        </w:trPr>
        <w:tc>
          <w:tcPr>
            <w:tcW w:w="0" w:type="auto"/>
            <w:vAlign w:val="center"/>
            <w:hideMark/>
          </w:tcPr>
          <w:p w14:paraId="324AC5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7977AD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 Evaluación fraude</w:t>
            </w:r>
          </w:p>
        </w:tc>
        <w:tc>
          <w:tcPr>
            <w:tcW w:w="0" w:type="auto"/>
            <w:vAlign w:val="center"/>
            <w:hideMark/>
          </w:tcPr>
          <w:p w14:paraId="7F496B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3E9E10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Realimentación del modelo</w:t>
            </w:r>
          </w:p>
        </w:tc>
      </w:tr>
      <w:tr w:rsidR="000444D1" w:rsidRPr="000444D1" w14:paraId="1955B632" w14:textId="77777777">
        <w:trPr>
          <w:tblCellSpacing w:w="15" w:type="dxa"/>
        </w:trPr>
        <w:tc>
          <w:tcPr>
            <w:tcW w:w="0" w:type="auto"/>
            <w:vAlign w:val="center"/>
            <w:hideMark/>
          </w:tcPr>
          <w:p w14:paraId="7CDAD3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71F8A5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 Datos de cliente</w:t>
            </w:r>
          </w:p>
        </w:tc>
        <w:tc>
          <w:tcPr>
            <w:tcW w:w="0" w:type="auto"/>
            <w:vAlign w:val="center"/>
            <w:hideMark/>
          </w:tcPr>
          <w:p w14:paraId="6AF930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74B9DC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Propagación de cambios de datos maestros</w:t>
            </w:r>
          </w:p>
        </w:tc>
      </w:tr>
    </w:tbl>
    <w:p w14:paraId="083B61E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Lectura del inventario.</w:t>
      </w:r>
      <w:r w:rsidRPr="000444D1">
        <w:rPr>
          <w:rFonts w:ascii="Times New Roman" w:eastAsia="Times New Roman" w:hAnsi="Times New Roman" w:cs="Times New Roman"/>
          <w:kern w:val="0"/>
          <w14:ligatures w14:val="none"/>
        </w:rPr>
        <w:t xml:space="preserve"> Existen catorce relaciones síncronas y nueve asíncronas, pero las síncronas se concentran en dos tramos cortos —borde hacia experiencia, y ejecución de pago— sin encadenarse. La cadena síncrona más profunda del sistema tiene cuatro saltos: canal → gateway → BFF → D4, y desde D4 se abren dos invocaciones paralelas (fraude y core), no una cadena adicional. Ningún flujo de lectura atraviesa un sistema legado. Esta es la evidencia concreta frente al riesgo de cadenas síncronas excesivas.</w:t>
      </w:r>
    </w:p>
    <w:p w14:paraId="692878B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7.7 Convenciones de representación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6190"/>
      </w:tblGrid>
      <w:tr w:rsidR="000444D1" w:rsidRPr="000444D1" w14:paraId="2D9895A0" w14:textId="77777777">
        <w:trPr>
          <w:tblHeader/>
          <w:tblCellSpacing w:w="15" w:type="dxa"/>
        </w:trPr>
        <w:tc>
          <w:tcPr>
            <w:tcW w:w="0" w:type="auto"/>
            <w:vAlign w:val="center"/>
            <w:hideMark/>
          </w:tcPr>
          <w:p w14:paraId="50AB15F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Elemento</w:t>
            </w:r>
          </w:p>
        </w:tc>
        <w:tc>
          <w:tcPr>
            <w:tcW w:w="0" w:type="auto"/>
            <w:vAlign w:val="center"/>
            <w:hideMark/>
          </w:tcPr>
          <w:p w14:paraId="4E765B4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Convención</w:t>
            </w:r>
          </w:p>
        </w:tc>
      </w:tr>
      <w:tr w:rsidR="000444D1" w:rsidRPr="000444D1" w14:paraId="75522318" w14:textId="77777777">
        <w:trPr>
          <w:tblCellSpacing w:w="15" w:type="dxa"/>
        </w:trPr>
        <w:tc>
          <w:tcPr>
            <w:tcW w:w="0" w:type="auto"/>
            <w:vAlign w:val="center"/>
            <w:hideMark/>
          </w:tcPr>
          <w:p w14:paraId="51B0E50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Relación síncrona</w:t>
            </w:r>
          </w:p>
        </w:tc>
        <w:tc>
          <w:tcPr>
            <w:tcW w:w="0" w:type="auto"/>
            <w:vAlign w:val="center"/>
            <w:hideMark/>
          </w:tcPr>
          <w:p w14:paraId="0A4E34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Línea continua</w:t>
            </w:r>
          </w:p>
        </w:tc>
      </w:tr>
      <w:tr w:rsidR="000444D1" w:rsidRPr="000444D1" w14:paraId="6BE3568B" w14:textId="77777777">
        <w:trPr>
          <w:tblCellSpacing w:w="15" w:type="dxa"/>
        </w:trPr>
        <w:tc>
          <w:tcPr>
            <w:tcW w:w="0" w:type="auto"/>
            <w:vAlign w:val="center"/>
            <w:hideMark/>
          </w:tcPr>
          <w:p w14:paraId="6B1941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Relación asíncrona por evento</w:t>
            </w:r>
          </w:p>
        </w:tc>
        <w:tc>
          <w:tcPr>
            <w:tcW w:w="0" w:type="auto"/>
            <w:vAlign w:val="center"/>
            <w:hideMark/>
          </w:tcPr>
          <w:p w14:paraId="42E87BD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Línea discontinua</w:t>
            </w:r>
          </w:p>
        </w:tc>
      </w:tr>
      <w:tr w:rsidR="000444D1" w:rsidRPr="000444D1" w14:paraId="74863065" w14:textId="77777777">
        <w:trPr>
          <w:tblCellSpacing w:w="15" w:type="dxa"/>
        </w:trPr>
        <w:tc>
          <w:tcPr>
            <w:tcW w:w="0" w:type="auto"/>
            <w:vAlign w:val="center"/>
            <w:hideMark/>
          </w:tcPr>
          <w:p w14:paraId="0B7C0D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Almacén propio</w:t>
            </w:r>
          </w:p>
        </w:tc>
        <w:tc>
          <w:tcPr>
            <w:tcW w:w="0" w:type="auto"/>
            <w:vAlign w:val="center"/>
            <w:hideMark/>
          </w:tcPr>
          <w:p w14:paraId="311458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Cilindro adosado al servicio propietario</w:t>
            </w:r>
          </w:p>
        </w:tc>
      </w:tr>
      <w:tr w:rsidR="000444D1" w:rsidRPr="000444D1" w14:paraId="2078846C" w14:textId="77777777">
        <w:trPr>
          <w:tblCellSpacing w:w="15" w:type="dxa"/>
        </w:trPr>
        <w:tc>
          <w:tcPr>
            <w:tcW w:w="0" w:type="auto"/>
            <w:vAlign w:val="center"/>
            <w:hideMark/>
          </w:tcPr>
          <w:p w14:paraId="5AFB92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Proyección</w:t>
            </w:r>
          </w:p>
        </w:tc>
        <w:tc>
          <w:tcPr>
            <w:tcW w:w="0" w:type="auto"/>
            <w:vAlign w:val="center"/>
            <w:hideMark/>
          </w:tcPr>
          <w:p w14:paraId="00282D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Etiqueta explícita en D3, para impedir su lectura como system of record</w:t>
            </w:r>
          </w:p>
        </w:tc>
      </w:tr>
      <w:tr w:rsidR="000444D1" w:rsidRPr="000444D1" w14:paraId="1A5FC64C" w14:textId="77777777">
        <w:trPr>
          <w:tblCellSpacing w:w="15" w:type="dxa"/>
        </w:trPr>
        <w:tc>
          <w:tcPr>
            <w:tcW w:w="0" w:type="auto"/>
            <w:vAlign w:val="center"/>
            <w:hideMark/>
          </w:tcPr>
          <w:p w14:paraId="4A7CEA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Almacén de escritura única</w:t>
            </w:r>
          </w:p>
        </w:tc>
        <w:tc>
          <w:tcPr>
            <w:tcW w:w="0" w:type="auto"/>
            <w:vAlign w:val="center"/>
            <w:hideMark/>
          </w:tcPr>
          <w:p w14:paraId="353702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Etiqueta explícita en D8</w:t>
            </w:r>
          </w:p>
        </w:tc>
      </w:tr>
      <w:tr w:rsidR="000444D1" w:rsidRPr="000444D1" w14:paraId="379A63D5" w14:textId="77777777">
        <w:trPr>
          <w:tblCellSpacing w:w="15" w:type="dxa"/>
        </w:trPr>
        <w:tc>
          <w:tcPr>
            <w:tcW w:w="0" w:type="auto"/>
            <w:vAlign w:val="center"/>
            <w:hideMark/>
          </w:tcPr>
          <w:p w14:paraId="67471D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fuera del alcance de diseño</w:t>
            </w:r>
          </w:p>
        </w:tc>
        <w:tc>
          <w:tcPr>
            <w:tcW w:w="0" w:type="auto"/>
            <w:vAlign w:val="center"/>
            <w:hideMark/>
          </w:tcPr>
          <w:p w14:paraId="2E3B64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Trazo atenuado</w:t>
            </w:r>
          </w:p>
        </w:tc>
      </w:tr>
    </w:tbl>
    <w:p w14:paraId="38F4B686"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42AC9742">
          <v:rect id="Horizontal Line 557"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F0B0BD9"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8. Vista C4 — Nivel 3: Componentes</w:t>
      </w:r>
    </w:p>
    <w:p w14:paraId="05D23D2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detallan dos contenedores. El criterio de selección es la densidad de decisión: son los únicos dos donde el diseño interno resuelve un problema que no es evidente. El resto de los servicios de dominio siguen un patrón repetido —adaptador de entrada, caso de uso, agregado, repositorio, publicador de eventos— cuyo detalle no aportaría información nueva.</w:t>
      </w:r>
    </w:p>
    <w:p w14:paraId="6D80D948" w14:textId="77777777" w:rsidR="000444D1" w:rsidRPr="000444D1" w:rsidRDefault="000444D1" w:rsidP="00C6468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Órdenes de pago (D4)</w:t>
      </w:r>
      <w:r w:rsidRPr="000444D1">
        <w:rPr>
          <w:rFonts w:ascii="Times New Roman" w:eastAsia="Times New Roman" w:hAnsi="Times New Roman" w:cs="Times New Roman"/>
          <w:kern w:val="0"/>
          <w14:ligatures w14:val="none"/>
        </w:rPr>
        <w:t>: concentra la orquestación de la saga, la idempotencia y la aplicación de la política de fraude.</w:t>
      </w:r>
    </w:p>
    <w:p w14:paraId="031C9060" w14:textId="77777777" w:rsidR="000444D1" w:rsidRPr="000444D1" w:rsidRDefault="000444D1" w:rsidP="00C6468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ACL del core tradicional</w:t>
      </w:r>
      <w:r w:rsidRPr="000444D1">
        <w:rPr>
          <w:rFonts w:ascii="Times New Roman" w:eastAsia="Times New Roman" w:hAnsi="Times New Roman" w:cs="Times New Roman"/>
          <w:kern w:val="0"/>
          <w14:ligatures w14:val="none"/>
        </w:rPr>
        <w:t>: concentra los puertos canónicos, la traducción del modelo legado y la emisión de eventos.</w:t>
      </w:r>
    </w:p>
    <w:p w14:paraId="79DB780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8.1 Componentes de Órdenes de pago (D4)</w:t>
      </w:r>
    </w:p>
    <w:p w14:paraId="7398BDD9" w14:textId="24D21403"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fldChar w:fldCharType="begin"/>
      </w:r>
      <w:r w:rsidRPr="000444D1">
        <w:rPr>
          <w:rFonts w:ascii="Times New Roman" w:eastAsia="Times New Roman" w:hAnsi="Times New Roman" w:cs="Times New Roman"/>
          <w:kern w:val="0"/>
          <w14:ligatures w14:val="none"/>
        </w:rPr>
        <w:instrText xml:space="preserve"> INCLUDEPICTURE "https://claude.ai/chat/diagramas/c4-nivel3-ordenes-pago.png" \* MERGEFORMATINET </w:instrText>
      </w:r>
      <w:r w:rsidRPr="000444D1">
        <w:rPr>
          <w:rFonts w:ascii="Times New Roman" w:eastAsia="Times New Roman" w:hAnsi="Times New Roman" w:cs="Times New Roman"/>
          <w:kern w:val="0"/>
          <w14:ligatures w14:val="none"/>
        </w:rPr>
        <w:fldChar w:fldCharType="separate"/>
      </w:r>
      <w:r w:rsidRPr="000444D1">
        <w:rPr>
          <w:rFonts w:ascii="Times New Roman" w:eastAsia="Times New Roman" w:hAnsi="Times New Roman" w:cs="Times New Roman"/>
          <w:noProof/>
          <w:kern w:val="0"/>
          <w14:ligatures w14:val="none"/>
        </w:rPr>
        <mc:AlternateContent>
          <mc:Choice Requires="wps">
            <w:drawing>
              <wp:inline distT="0" distB="0" distL="0" distR="0" wp14:anchorId="4F625670" wp14:editId="1F79F5A9">
                <wp:extent cx="302260" cy="302260"/>
                <wp:effectExtent l="0" t="0" r="0" b="0"/>
                <wp:docPr id="38190041" name="Rectangle 70" descr="Componentes del servicio de órdenes de pa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BECED" id="Rectangle 70" o:spid="_x0000_s1026" alt="Componentes del servicio de órdenes de pag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0444D1">
        <w:rPr>
          <w:rFonts w:ascii="Times New Roman" w:eastAsia="Times New Roman" w:hAnsi="Times New Roman" w:cs="Times New Roman"/>
          <w:kern w:val="0"/>
          <w14:ligatures w14:val="none"/>
        </w:rPr>
        <w:fldChar w:fldCharType="end"/>
      </w:r>
    </w:p>
    <w:p w14:paraId="45B810A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organización interna sigue </w:t>
      </w:r>
      <w:r w:rsidRPr="000444D1">
        <w:rPr>
          <w:rFonts w:ascii="Times New Roman" w:eastAsia="Times New Roman" w:hAnsi="Times New Roman" w:cs="Times New Roman"/>
          <w:b/>
          <w:bCs/>
          <w:kern w:val="0"/>
          <w14:ligatures w14:val="none"/>
        </w:rPr>
        <w:t>Clean Architecture</w:t>
      </w:r>
      <w:r w:rsidRPr="000444D1">
        <w:rPr>
          <w:rFonts w:ascii="Times New Roman" w:eastAsia="Times New Roman" w:hAnsi="Times New Roman" w:cs="Times New Roman"/>
          <w:kern w:val="0"/>
          <w14:ligatures w14:val="none"/>
        </w:rPr>
        <w:t>: las dependencias apuntan siempre hacia el dominio, y la infraestructura depende de puertos definidos en la capa de aplicación, nunca al revés.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2142"/>
        <w:gridCol w:w="5424"/>
      </w:tblGrid>
      <w:tr w:rsidR="000444D1" w:rsidRPr="000444D1" w14:paraId="20DA0A9B" w14:textId="77777777">
        <w:trPr>
          <w:tblHeader/>
          <w:tblCellSpacing w:w="15" w:type="dxa"/>
        </w:trPr>
        <w:tc>
          <w:tcPr>
            <w:tcW w:w="0" w:type="auto"/>
            <w:vAlign w:val="center"/>
            <w:hideMark/>
          </w:tcPr>
          <w:p w14:paraId="416413B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w:t>
            </w:r>
          </w:p>
        </w:tc>
        <w:tc>
          <w:tcPr>
            <w:tcW w:w="0" w:type="auto"/>
            <w:vAlign w:val="center"/>
            <w:hideMark/>
          </w:tcPr>
          <w:p w14:paraId="375511A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c>
          <w:tcPr>
            <w:tcW w:w="0" w:type="auto"/>
            <w:vAlign w:val="center"/>
            <w:hideMark/>
          </w:tcPr>
          <w:p w14:paraId="5593C42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w:t>
            </w:r>
          </w:p>
        </w:tc>
      </w:tr>
      <w:tr w:rsidR="000444D1" w:rsidRPr="000444D1" w14:paraId="42A81C42" w14:textId="77777777">
        <w:trPr>
          <w:tblCellSpacing w:w="15" w:type="dxa"/>
        </w:trPr>
        <w:tc>
          <w:tcPr>
            <w:tcW w:w="0" w:type="auto"/>
            <w:vAlign w:val="center"/>
            <w:hideMark/>
          </w:tcPr>
          <w:p w14:paraId="67D593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Adaptadores de entrada</w:t>
            </w:r>
          </w:p>
        </w:tc>
        <w:tc>
          <w:tcPr>
            <w:tcW w:w="0" w:type="auto"/>
            <w:vAlign w:val="center"/>
            <w:hideMark/>
          </w:tcPr>
          <w:p w14:paraId="0783DD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Controlador REST de órdenes</w:t>
            </w:r>
          </w:p>
        </w:tc>
        <w:tc>
          <w:tcPr>
            <w:tcW w:w="0" w:type="auto"/>
            <w:vAlign w:val="center"/>
            <w:hideMark/>
          </w:tcPr>
          <w:p w14:paraId="68D4B1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Traduce la petición HTTP a comando de aplicación. Sin lógica de negocio</w:t>
            </w:r>
          </w:p>
        </w:tc>
      </w:tr>
      <w:tr w:rsidR="000444D1" w:rsidRPr="000444D1" w14:paraId="6E446C33" w14:textId="77777777">
        <w:trPr>
          <w:tblCellSpacing w:w="15" w:type="dxa"/>
        </w:trPr>
        <w:tc>
          <w:tcPr>
            <w:tcW w:w="0" w:type="auto"/>
            <w:vAlign w:val="center"/>
            <w:hideMark/>
          </w:tcPr>
          <w:p w14:paraId="4650F2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Adaptadores de entrada</w:t>
            </w:r>
          </w:p>
        </w:tc>
        <w:tc>
          <w:tcPr>
            <w:tcW w:w="0" w:type="auto"/>
            <w:vAlign w:val="center"/>
            <w:hideMark/>
          </w:tcPr>
          <w:p w14:paraId="2A74399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Middleware de idempotencia</w:t>
            </w:r>
          </w:p>
        </w:tc>
        <w:tc>
          <w:tcPr>
            <w:tcW w:w="0" w:type="auto"/>
            <w:vAlign w:val="center"/>
            <w:hideMark/>
          </w:tcPr>
          <w:p w14:paraId="47D26A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Resuelve la clave de idempotencia antes de invocar el caso de uso; devuelve la respuesta previa si la clave ya fue procesada</w:t>
            </w:r>
          </w:p>
        </w:tc>
      </w:tr>
      <w:tr w:rsidR="000444D1" w:rsidRPr="000444D1" w14:paraId="699B9F85" w14:textId="77777777">
        <w:trPr>
          <w:tblCellSpacing w:w="15" w:type="dxa"/>
        </w:trPr>
        <w:tc>
          <w:tcPr>
            <w:tcW w:w="0" w:type="auto"/>
            <w:vAlign w:val="center"/>
            <w:hideMark/>
          </w:tcPr>
          <w:p w14:paraId="51F7E0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Aplicación</w:t>
            </w:r>
          </w:p>
        </w:tc>
        <w:tc>
          <w:tcPr>
            <w:tcW w:w="0" w:type="auto"/>
            <w:vAlign w:val="center"/>
            <w:hideMark/>
          </w:tcPr>
          <w:p w14:paraId="2D5E38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Caso de uso: registrar orden</w:t>
            </w:r>
          </w:p>
        </w:tc>
        <w:tc>
          <w:tcPr>
            <w:tcW w:w="0" w:type="auto"/>
            <w:vAlign w:val="center"/>
            <w:hideMark/>
          </w:tcPr>
          <w:p w14:paraId="12B29F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Valida la solicitud, crea el agregado en estado inicial y arranca la saga</w:t>
            </w:r>
          </w:p>
        </w:tc>
      </w:tr>
      <w:tr w:rsidR="000444D1" w:rsidRPr="000444D1" w14:paraId="04B6AA85" w14:textId="77777777">
        <w:trPr>
          <w:tblCellSpacing w:w="15" w:type="dxa"/>
        </w:trPr>
        <w:tc>
          <w:tcPr>
            <w:tcW w:w="0" w:type="auto"/>
            <w:vAlign w:val="center"/>
            <w:hideMark/>
          </w:tcPr>
          <w:p w14:paraId="124399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Aplicación</w:t>
            </w:r>
          </w:p>
        </w:tc>
        <w:tc>
          <w:tcPr>
            <w:tcW w:w="0" w:type="auto"/>
            <w:vAlign w:val="center"/>
            <w:hideMark/>
          </w:tcPr>
          <w:p w14:paraId="466916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Caso de uso: confirmar pago</w:t>
            </w:r>
          </w:p>
        </w:tc>
        <w:tc>
          <w:tcPr>
            <w:tcW w:w="0" w:type="auto"/>
            <w:vAlign w:val="center"/>
            <w:hideMark/>
          </w:tcPr>
          <w:p w14:paraId="48872C2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Procesa la confirmación de ejecución y cierra la saga</w:t>
            </w:r>
          </w:p>
        </w:tc>
      </w:tr>
      <w:tr w:rsidR="000444D1" w:rsidRPr="000444D1" w14:paraId="44402DB7" w14:textId="77777777">
        <w:trPr>
          <w:tblCellSpacing w:w="15" w:type="dxa"/>
        </w:trPr>
        <w:tc>
          <w:tcPr>
            <w:tcW w:w="0" w:type="auto"/>
            <w:vAlign w:val="center"/>
            <w:hideMark/>
          </w:tcPr>
          <w:p w14:paraId="6EB860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Aplicación</w:t>
            </w:r>
          </w:p>
        </w:tc>
        <w:tc>
          <w:tcPr>
            <w:tcW w:w="0" w:type="auto"/>
            <w:vAlign w:val="center"/>
            <w:hideMark/>
          </w:tcPr>
          <w:p w14:paraId="325D99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Orquestador de saga de pago</w:t>
            </w:r>
          </w:p>
        </w:tc>
        <w:tc>
          <w:tcPr>
            <w:tcW w:w="0" w:type="auto"/>
            <w:vAlign w:val="center"/>
            <w:hideMark/>
          </w:tcPr>
          <w:p w14:paraId="4BE8FD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Coordina la secuencia evaluación → débito → publicación, y dispara la compensación ante fallo</w:t>
            </w:r>
          </w:p>
        </w:tc>
      </w:tr>
      <w:tr w:rsidR="000444D1" w:rsidRPr="000444D1" w14:paraId="6B203945" w14:textId="77777777">
        <w:trPr>
          <w:tblCellSpacing w:w="15" w:type="dxa"/>
        </w:trPr>
        <w:tc>
          <w:tcPr>
            <w:tcW w:w="0" w:type="auto"/>
            <w:vAlign w:val="center"/>
            <w:hideMark/>
          </w:tcPr>
          <w:p w14:paraId="6D26B1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Aplicación</w:t>
            </w:r>
          </w:p>
        </w:tc>
        <w:tc>
          <w:tcPr>
            <w:tcW w:w="0" w:type="auto"/>
            <w:vAlign w:val="center"/>
            <w:hideMark/>
          </w:tcPr>
          <w:p w14:paraId="00727F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Puertos de salida</w:t>
            </w:r>
          </w:p>
        </w:tc>
        <w:tc>
          <w:tcPr>
            <w:tcW w:w="0" w:type="auto"/>
            <w:vAlign w:val="center"/>
            <w:hideMark/>
          </w:tcPr>
          <w:p w14:paraId="438547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Contratos abstractos: evaluación de fraude, ejecución de pago, catálogo de productos, publicación de eventos</w:t>
            </w:r>
          </w:p>
        </w:tc>
      </w:tr>
      <w:tr w:rsidR="000444D1" w:rsidRPr="000444D1" w14:paraId="71B2F38B" w14:textId="77777777">
        <w:trPr>
          <w:tblCellSpacing w:w="15" w:type="dxa"/>
        </w:trPr>
        <w:tc>
          <w:tcPr>
            <w:tcW w:w="0" w:type="auto"/>
            <w:vAlign w:val="center"/>
            <w:hideMark/>
          </w:tcPr>
          <w:p w14:paraId="4E4201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Dominio</w:t>
            </w:r>
          </w:p>
        </w:tc>
        <w:tc>
          <w:tcPr>
            <w:tcW w:w="0" w:type="auto"/>
            <w:vAlign w:val="center"/>
            <w:hideMark/>
          </w:tcPr>
          <w:p w14:paraId="553CB7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Agregado Orden de pago</w:t>
            </w:r>
          </w:p>
        </w:tc>
        <w:tc>
          <w:tcPr>
            <w:tcW w:w="0" w:type="auto"/>
            <w:vAlign w:val="center"/>
            <w:hideMark/>
          </w:tcPr>
          <w:p w14:paraId="155825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Estados y transiciones válidas de la orden. Concentra la invariante de negocio</w:t>
            </w:r>
          </w:p>
        </w:tc>
      </w:tr>
      <w:tr w:rsidR="000444D1" w:rsidRPr="000444D1" w14:paraId="52C66816" w14:textId="77777777">
        <w:trPr>
          <w:tblCellSpacing w:w="15" w:type="dxa"/>
        </w:trPr>
        <w:tc>
          <w:tcPr>
            <w:tcW w:w="0" w:type="auto"/>
            <w:vAlign w:val="center"/>
            <w:hideMark/>
          </w:tcPr>
          <w:p w14:paraId="7936198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Dominio</w:t>
            </w:r>
          </w:p>
        </w:tc>
        <w:tc>
          <w:tcPr>
            <w:tcW w:w="0" w:type="auto"/>
            <w:vAlign w:val="center"/>
            <w:hideMark/>
          </w:tcPr>
          <w:p w14:paraId="2B7E17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Política de compensación</w:t>
            </w:r>
          </w:p>
        </w:tc>
        <w:tc>
          <w:tcPr>
            <w:tcW w:w="0" w:type="auto"/>
            <w:vAlign w:val="center"/>
            <w:hideMark/>
          </w:tcPr>
          <w:p w14:paraId="1F5674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 qué acción compensatoria corresponde a cada punto de fallo de la saga</w:t>
            </w:r>
          </w:p>
        </w:tc>
      </w:tr>
      <w:tr w:rsidR="000444D1" w:rsidRPr="000444D1" w14:paraId="4A0C5C3A" w14:textId="77777777">
        <w:trPr>
          <w:tblCellSpacing w:w="15" w:type="dxa"/>
        </w:trPr>
        <w:tc>
          <w:tcPr>
            <w:tcW w:w="0" w:type="auto"/>
            <w:vAlign w:val="center"/>
            <w:hideMark/>
          </w:tcPr>
          <w:p w14:paraId="2093F50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Infraestructura</w:t>
            </w:r>
          </w:p>
        </w:tc>
        <w:tc>
          <w:tcPr>
            <w:tcW w:w="0" w:type="auto"/>
            <w:vAlign w:val="center"/>
            <w:hideMark/>
          </w:tcPr>
          <w:p w14:paraId="672BC9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Cliente de evaluación de fraude</w:t>
            </w:r>
          </w:p>
        </w:tc>
        <w:tc>
          <w:tcPr>
            <w:tcW w:w="0" w:type="auto"/>
            <w:vAlign w:val="center"/>
            <w:hideMark/>
          </w:tcPr>
          <w:p w14:paraId="15E33F9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Implementa el puerto de fraude: invocación con timeout de 300 ms y aplicación de la degradación por umbral (ADR-005)</w:t>
            </w:r>
          </w:p>
        </w:tc>
      </w:tr>
      <w:tr w:rsidR="000444D1" w:rsidRPr="000444D1" w14:paraId="59D8437F" w14:textId="77777777">
        <w:trPr>
          <w:tblCellSpacing w:w="15" w:type="dxa"/>
        </w:trPr>
        <w:tc>
          <w:tcPr>
            <w:tcW w:w="0" w:type="auto"/>
            <w:vAlign w:val="center"/>
            <w:hideMark/>
          </w:tcPr>
          <w:p w14:paraId="573AF0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Infraestructura</w:t>
            </w:r>
          </w:p>
        </w:tc>
        <w:tc>
          <w:tcPr>
            <w:tcW w:w="0" w:type="auto"/>
            <w:vAlign w:val="center"/>
            <w:hideMark/>
          </w:tcPr>
          <w:p w14:paraId="0B16A6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Enrutador de core</w:t>
            </w:r>
          </w:p>
        </w:tc>
        <w:tc>
          <w:tcPr>
            <w:tcW w:w="0" w:type="auto"/>
            <w:vAlign w:val="center"/>
            <w:hideMark/>
          </w:tcPr>
          <w:p w14:paraId="7EF360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Implementa el puerto de ejecución: consulta el catálogo de productos y delega en el adaptador del core propietario</w:t>
            </w:r>
          </w:p>
        </w:tc>
      </w:tr>
      <w:tr w:rsidR="000444D1" w:rsidRPr="000444D1" w14:paraId="7FD63097" w14:textId="77777777">
        <w:trPr>
          <w:tblCellSpacing w:w="15" w:type="dxa"/>
        </w:trPr>
        <w:tc>
          <w:tcPr>
            <w:tcW w:w="0" w:type="auto"/>
            <w:vAlign w:val="center"/>
            <w:hideMark/>
          </w:tcPr>
          <w:p w14:paraId="58A23BF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Infraestructura</w:t>
            </w:r>
          </w:p>
        </w:tc>
        <w:tc>
          <w:tcPr>
            <w:tcW w:w="0" w:type="auto"/>
            <w:vAlign w:val="center"/>
            <w:hideMark/>
          </w:tcPr>
          <w:p w14:paraId="62E39B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Repositorio de órdenes</w:t>
            </w:r>
          </w:p>
        </w:tc>
        <w:tc>
          <w:tcPr>
            <w:tcW w:w="0" w:type="auto"/>
            <w:vAlign w:val="center"/>
            <w:hideMark/>
          </w:tcPr>
          <w:p w14:paraId="50CA66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Persistencia del agregado en almacén privado</w:t>
            </w:r>
          </w:p>
        </w:tc>
      </w:tr>
      <w:tr w:rsidR="000444D1" w:rsidRPr="000444D1" w14:paraId="5E8D6EBA" w14:textId="77777777">
        <w:trPr>
          <w:tblCellSpacing w:w="15" w:type="dxa"/>
        </w:trPr>
        <w:tc>
          <w:tcPr>
            <w:tcW w:w="0" w:type="auto"/>
            <w:vAlign w:val="center"/>
            <w:hideMark/>
          </w:tcPr>
          <w:p w14:paraId="57130F8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Infraestructura</w:t>
            </w:r>
          </w:p>
        </w:tc>
        <w:tc>
          <w:tcPr>
            <w:tcW w:w="0" w:type="auto"/>
            <w:vAlign w:val="center"/>
            <w:hideMark/>
          </w:tcPr>
          <w:p w14:paraId="1148C0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Publicador outbox</w:t>
            </w:r>
          </w:p>
        </w:tc>
        <w:tc>
          <w:tcPr>
            <w:tcW w:w="0" w:type="auto"/>
            <w:vAlign w:val="center"/>
            <w:hideMark/>
          </w:tcPr>
          <w:p w14:paraId="2F189E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Escribe el evento en la misma transacción que el cambio de estado del agregado</w:t>
            </w:r>
          </w:p>
        </w:tc>
      </w:tr>
      <w:tr w:rsidR="000444D1" w:rsidRPr="000444D1" w14:paraId="6D225232" w14:textId="77777777">
        <w:trPr>
          <w:tblCellSpacing w:w="15" w:type="dxa"/>
        </w:trPr>
        <w:tc>
          <w:tcPr>
            <w:tcW w:w="0" w:type="auto"/>
            <w:vAlign w:val="center"/>
            <w:hideMark/>
          </w:tcPr>
          <w:p w14:paraId="72DDC1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Infraestructura</w:t>
            </w:r>
          </w:p>
        </w:tc>
        <w:tc>
          <w:tcPr>
            <w:tcW w:w="0" w:type="auto"/>
            <w:vAlign w:val="center"/>
            <w:hideMark/>
          </w:tcPr>
          <w:p w14:paraId="405F61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Despachador outbox</w:t>
            </w:r>
          </w:p>
        </w:tc>
        <w:tc>
          <w:tcPr>
            <w:tcW w:w="0" w:type="auto"/>
            <w:vAlign w:val="center"/>
            <w:hideMark/>
          </w:tcPr>
          <w:p w14:paraId="261E229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Proceso en segundo plano que publica al bus lo pendiente en la tabla outbox y marca su envío</w:t>
            </w:r>
          </w:p>
        </w:tc>
      </w:tr>
    </w:tbl>
    <w:p w14:paraId="58B849B7"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Evidencia de los principios de diseño</w:t>
      </w:r>
    </w:p>
    <w:p w14:paraId="30F0CD9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Inversión de dependencias.</w:t>
      </w:r>
      <w:r w:rsidRPr="000444D1">
        <w:rPr>
          <w:rFonts w:ascii="Times New Roman" w:eastAsia="Times New Roman" w:hAnsi="Times New Roman" w:cs="Times New Roman"/>
          <w:kern w:val="0"/>
          <w14:ligatures w14:val="none"/>
        </w:rPr>
        <w:t xml:space="preserve"> El orquestador de saga depende de </w:t>
      </w:r>
      <w:r w:rsidRPr="000444D1">
        <w:rPr>
          <w:rFonts w:ascii="Courier New" w:eastAsia="Times New Roman" w:hAnsi="Courier New" w:cs="Courier New"/>
          <w:kern w:val="0"/>
          <w:sz w:val="20"/>
          <w:szCs w:val="20"/>
          <w14:ligatures w14:val="none"/>
        </w:rPr>
        <w:t>IPaymentExecutionPort</w:t>
      </w:r>
      <w:r w:rsidRPr="000444D1">
        <w:rPr>
          <w:rFonts w:ascii="Times New Roman" w:eastAsia="Times New Roman" w:hAnsi="Times New Roman" w:cs="Times New Roman"/>
          <w:kern w:val="0"/>
          <w14:ligatures w14:val="none"/>
        </w:rPr>
        <w:t xml:space="preserve">, no del enrutador de core; y de </w:t>
      </w:r>
      <w:r w:rsidRPr="000444D1">
        <w:rPr>
          <w:rFonts w:ascii="Courier New" w:eastAsia="Times New Roman" w:hAnsi="Courier New" w:cs="Courier New"/>
          <w:kern w:val="0"/>
          <w:sz w:val="20"/>
          <w:szCs w:val="20"/>
          <w14:ligatures w14:val="none"/>
        </w:rPr>
        <w:t>IFraudEvaluationPort</w:t>
      </w:r>
      <w:r w:rsidRPr="000444D1">
        <w:rPr>
          <w:rFonts w:ascii="Times New Roman" w:eastAsia="Times New Roman" w:hAnsi="Times New Roman" w:cs="Times New Roman"/>
          <w:kern w:val="0"/>
          <w14:ligatures w14:val="none"/>
        </w:rPr>
        <w:t>, no del cliente HTTP del motor de fraude. Las implementaciones se inyectan. La consecuencia práctica es que la lógica de saga es verificable sin levantar ninguno de los dos cores ni el motor de fraude.</w:t>
      </w:r>
    </w:p>
    <w:p w14:paraId="210B169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Sustitución de Liskov.</w:t>
      </w:r>
      <w:r w:rsidRPr="000444D1">
        <w:rPr>
          <w:rFonts w:ascii="Times New Roman" w:eastAsia="Times New Roman" w:hAnsi="Times New Roman" w:cs="Times New Roman"/>
          <w:kern w:val="0"/>
          <w14:ligatures w14:val="none"/>
        </w:rPr>
        <w:t xml:space="preserve"> El enrutador de core selecciona en tiempo de ejecución entre el ACL del core tradicional y el adaptador del core digital. Ambos satisfacen el mismo puerto, de modo que el orquestador no distingue cuál está operando. Es el punto exacto donde la estrategia multicore del ADR-001 se materializa en código.</w:t>
      </w:r>
    </w:p>
    <w:p w14:paraId="416E22F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Responsabilidad única.</w:t>
      </w:r>
      <w:r w:rsidRPr="000444D1">
        <w:rPr>
          <w:rFonts w:ascii="Times New Roman" w:eastAsia="Times New Roman" w:hAnsi="Times New Roman" w:cs="Times New Roman"/>
          <w:kern w:val="0"/>
          <w14:ligatures w14:val="none"/>
        </w:rPr>
        <w:t xml:space="preserve"> La idempotencia vive en un middleware, no dispersa en cada caso de uso. La política de degradación ante fallo de fraude vive en el cliente de fraude, no en el orquestador. El orquestador solo conoce la secuencia y sus compensaciones.</w:t>
      </w:r>
    </w:p>
    <w:p w14:paraId="3940AA4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Separación de responsabilidades.</w:t>
      </w:r>
      <w:r w:rsidRPr="000444D1">
        <w:rPr>
          <w:rFonts w:ascii="Times New Roman" w:eastAsia="Times New Roman" w:hAnsi="Times New Roman" w:cs="Times New Roman"/>
          <w:kern w:val="0"/>
          <w14:ligatures w14:val="none"/>
        </w:rPr>
        <w:t xml:space="preserve"> El patrón outbox aparece dividido en dos componentes con razones de cambio distintas: el </w:t>
      </w:r>
      <w:r w:rsidRPr="000444D1">
        <w:rPr>
          <w:rFonts w:ascii="Times New Roman" w:eastAsia="Times New Roman" w:hAnsi="Times New Roman" w:cs="Times New Roman"/>
          <w:b/>
          <w:bCs/>
          <w:kern w:val="0"/>
          <w14:ligatures w14:val="none"/>
        </w:rPr>
        <w:t>publicador</w:t>
      </w:r>
      <w:r w:rsidRPr="000444D1">
        <w:rPr>
          <w:rFonts w:ascii="Times New Roman" w:eastAsia="Times New Roman" w:hAnsi="Times New Roman" w:cs="Times New Roman"/>
          <w:kern w:val="0"/>
          <w14:ligatures w14:val="none"/>
        </w:rPr>
        <w:t xml:space="preserve"> participa de la transacción de negocio; el </w:t>
      </w:r>
      <w:r w:rsidRPr="000444D1">
        <w:rPr>
          <w:rFonts w:ascii="Times New Roman" w:eastAsia="Times New Roman" w:hAnsi="Times New Roman" w:cs="Times New Roman"/>
          <w:b/>
          <w:bCs/>
          <w:kern w:val="0"/>
          <w14:ligatures w14:val="none"/>
        </w:rPr>
        <w:t>despachador</w:t>
      </w:r>
      <w:r w:rsidRPr="000444D1">
        <w:rPr>
          <w:rFonts w:ascii="Times New Roman" w:eastAsia="Times New Roman" w:hAnsi="Times New Roman" w:cs="Times New Roman"/>
          <w:kern w:val="0"/>
          <w14:ligatures w14:val="none"/>
        </w:rPr>
        <w:t xml:space="preserve"> es un proceso de fondo con su propia política de reintento y su propia cadencia. Unificarlos acoplaría la latencia de publicación a la transacción del usuario.</w:t>
      </w:r>
    </w:p>
    <w:p w14:paraId="00D187B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8.2 Componentes del ACL del core tradicional</w:t>
      </w:r>
    </w:p>
    <w:p w14:paraId="01503F1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Este contenedor es el que concentra el aislamiento del sistema legado (principio P2). Su diseño interno es lo que permite que los supuestos de la sección 2.1 sean intercambiables.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972"/>
        <w:gridCol w:w="6179"/>
      </w:tblGrid>
      <w:tr w:rsidR="000444D1" w:rsidRPr="000444D1" w14:paraId="57F6D7F6" w14:textId="77777777">
        <w:trPr>
          <w:tblHeader/>
          <w:tblCellSpacing w:w="15" w:type="dxa"/>
        </w:trPr>
        <w:tc>
          <w:tcPr>
            <w:tcW w:w="0" w:type="auto"/>
            <w:vAlign w:val="center"/>
            <w:hideMark/>
          </w:tcPr>
          <w:p w14:paraId="7E9207E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w:t>
            </w:r>
          </w:p>
        </w:tc>
        <w:tc>
          <w:tcPr>
            <w:tcW w:w="0" w:type="auto"/>
            <w:vAlign w:val="center"/>
            <w:hideMark/>
          </w:tcPr>
          <w:p w14:paraId="4345785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c>
          <w:tcPr>
            <w:tcW w:w="0" w:type="auto"/>
            <w:vAlign w:val="center"/>
            <w:hideMark/>
          </w:tcPr>
          <w:p w14:paraId="5B25E60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Responsabilidad</w:t>
            </w:r>
          </w:p>
        </w:tc>
      </w:tr>
      <w:tr w:rsidR="000444D1" w:rsidRPr="000444D1" w14:paraId="6F9AD219" w14:textId="77777777">
        <w:trPr>
          <w:tblCellSpacing w:w="15" w:type="dxa"/>
        </w:trPr>
        <w:tc>
          <w:tcPr>
            <w:tcW w:w="0" w:type="auto"/>
            <w:vAlign w:val="center"/>
            <w:hideMark/>
          </w:tcPr>
          <w:p w14:paraId="33C7D9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Puertos</w:t>
            </w:r>
          </w:p>
        </w:tc>
        <w:tc>
          <w:tcPr>
            <w:tcW w:w="0" w:type="auto"/>
            <w:vAlign w:val="center"/>
            <w:hideMark/>
          </w:tcPr>
          <w:p w14:paraId="14EC00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Contratos canónicos</w:t>
            </w:r>
          </w:p>
        </w:tc>
        <w:tc>
          <w:tcPr>
            <w:tcW w:w="0" w:type="auto"/>
            <w:vAlign w:val="center"/>
            <w:hideMark/>
          </w:tcPr>
          <w:p w14:paraId="3CDC6E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IPaymentExecutionPort</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ICustomerPositionPort</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IPartyReferenceDataPort</w:t>
            </w:r>
            <w:r w:rsidRPr="000444D1">
              <w:rPr>
                <w:rFonts w:ascii="Times New Roman" w:eastAsia="Times New Roman" w:hAnsi="Times New Roman" w:cs="Times New Roman"/>
                <w:kern w:val="0"/>
                <w14:ligatures w14:val="none"/>
              </w:rPr>
              <w:t>. Definidos en términos del modelo canónico, sin rastro del modelo legado</w:t>
            </w:r>
          </w:p>
        </w:tc>
      </w:tr>
      <w:tr w:rsidR="000444D1" w:rsidRPr="000444D1" w14:paraId="6EDA0942" w14:textId="77777777">
        <w:trPr>
          <w:tblCellSpacing w:w="15" w:type="dxa"/>
        </w:trPr>
        <w:tc>
          <w:tcPr>
            <w:tcW w:w="0" w:type="auto"/>
            <w:vAlign w:val="center"/>
            <w:hideMark/>
          </w:tcPr>
          <w:p w14:paraId="217B02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Traducción</w:t>
            </w:r>
          </w:p>
        </w:tc>
        <w:tc>
          <w:tcPr>
            <w:tcW w:w="0" w:type="auto"/>
            <w:vAlign w:val="center"/>
            <w:hideMark/>
          </w:tcPr>
          <w:p w14:paraId="071793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Mapeador de modelo canónico</w:t>
            </w:r>
          </w:p>
        </w:tc>
        <w:tc>
          <w:tcPr>
            <w:tcW w:w="0" w:type="auto"/>
            <w:vAlign w:val="center"/>
            <w:hideMark/>
          </w:tcPr>
          <w:p w14:paraId="2E758E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Traduce entre el modelo canónico y las estructuras del core: campos de longitud fija, fechas en formato propietario, códigos de producto internos</w:t>
            </w:r>
          </w:p>
        </w:tc>
      </w:tr>
      <w:tr w:rsidR="000444D1" w:rsidRPr="000444D1" w14:paraId="67D8129F" w14:textId="77777777">
        <w:trPr>
          <w:tblCellSpacing w:w="15" w:type="dxa"/>
        </w:trPr>
        <w:tc>
          <w:tcPr>
            <w:tcW w:w="0" w:type="auto"/>
            <w:vAlign w:val="center"/>
            <w:hideMark/>
          </w:tcPr>
          <w:p w14:paraId="3DA22C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Traducción</w:t>
            </w:r>
          </w:p>
        </w:tc>
        <w:tc>
          <w:tcPr>
            <w:tcW w:w="0" w:type="auto"/>
            <w:vAlign w:val="center"/>
            <w:hideMark/>
          </w:tcPr>
          <w:p w14:paraId="1193F5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Traductor de códigos de error</w:t>
            </w:r>
          </w:p>
        </w:tc>
        <w:tc>
          <w:tcPr>
            <w:tcW w:w="0" w:type="auto"/>
            <w:vAlign w:val="center"/>
            <w:hideMark/>
          </w:tcPr>
          <w:p w14:paraId="744075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Convierte los códigos de retorno del core en errores de dominio con semántica explícita (fondos insuficientes, cuenta bloqueada, producto inexistente)</w:t>
            </w:r>
          </w:p>
        </w:tc>
      </w:tr>
      <w:tr w:rsidR="000444D1" w:rsidRPr="000444D1" w14:paraId="1D0075ED" w14:textId="77777777">
        <w:trPr>
          <w:tblCellSpacing w:w="15" w:type="dxa"/>
        </w:trPr>
        <w:tc>
          <w:tcPr>
            <w:tcW w:w="0" w:type="auto"/>
            <w:vAlign w:val="center"/>
            <w:hideMark/>
          </w:tcPr>
          <w:p w14:paraId="674F4A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Transporte</w:t>
            </w:r>
          </w:p>
        </w:tc>
        <w:tc>
          <w:tcPr>
            <w:tcW w:w="0" w:type="auto"/>
            <w:vAlign w:val="center"/>
            <w:hideMark/>
          </w:tcPr>
          <w:p w14:paraId="67FA7F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Cliente de mensajería (MQ)</w:t>
            </w:r>
          </w:p>
        </w:tc>
        <w:tc>
          <w:tcPr>
            <w:tcW w:w="0" w:type="auto"/>
            <w:vAlign w:val="center"/>
            <w:hideMark/>
          </w:tcPr>
          <w:p w14:paraId="0FF09E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Envío y correlación de mensajes transaccionales con el core</w:t>
            </w:r>
          </w:p>
        </w:tc>
      </w:tr>
      <w:tr w:rsidR="000444D1" w:rsidRPr="000444D1" w14:paraId="62648933" w14:textId="77777777">
        <w:trPr>
          <w:tblCellSpacing w:w="15" w:type="dxa"/>
        </w:trPr>
        <w:tc>
          <w:tcPr>
            <w:tcW w:w="0" w:type="auto"/>
            <w:vAlign w:val="center"/>
            <w:hideMark/>
          </w:tcPr>
          <w:p w14:paraId="35B8B6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Transporte</w:t>
            </w:r>
          </w:p>
        </w:tc>
        <w:tc>
          <w:tcPr>
            <w:tcW w:w="0" w:type="auto"/>
            <w:vAlign w:val="center"/>
            <w:hideMark/>
          </w:tcPr>
          <w:p w14:paraId="0A42F4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Procesador de archivos batch</w:t>
            </w:r>
          </w:p>
        </w:tc>
        <w:tc>
          <w:tcPr>
            <w:tcW w:w="0" w:type="auto"/>
            <w:vAlign w:val="center"/>
            <w:hideMark/>
          </w:tcPr>
          <w:p w14:paraId="45A83E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Ingesta y generación de archivos para operaciones masivas</w:t>
            </w:r>
          </w:p>
        </w:tc>
      </w:tr>
      <w:tr w:rsidR="000444D1" w:rsidRPr="000444D1" w14:paraId="77F51E76" w14:textId="77777777">
        <w:trPr>
          <w:tblCellSpacing w:w="15" w:type="dxa"/>
        </w:trPr>
        <w:tc>
          <w:tcPr>
            <w:tcW w:w="0" w:type="auto"/>
            <w:vAlign w:val="center"/>
            <w:hideMark/>
          </w:tcPr>
          <w:p w14:paraId="45F0441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Resiliencia</w:t>
            </w:r>
          </w:p>
        </w:tc>
        <w:tc>
          <w:tcPr>
            <w:tcW w:w="0" w:type="auto"/>
            <w:vAlign w:val="center"/>
            <w:hideMark/>
          </w:tcPr>
          <w:p w14:paraId="2D71FD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Controlador de disponibilidad</w:t>
            </w:r>
          </w:p>
        </w:tc>
        <w:tc>
          <w:tcPr>
            <w:tcW w:w="0" w:type="auto"/>
            <w:vAlign w:val="center"/>
            <w:hideMark/>
          </w:tcPr>
          <w:p w14:paraId="0917FA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Cortocircuito, reintentos con retroceso y detección de la ventana de cierre; expone el estado degradado al resto del sistema</w:t>
            </w:r>
          </w:p>
        </w:tc>
      </w:tr>
      <w:tr w:rsidR="000444D1" w:rsidRPr="000444D1" w14:paraId="5552E13D" w14:textId="77777777">
        <w:trPr>
          <w:tblCellSpacing w:w="15" w:type="dxa"/>
        </w:trPr>
        <w:tc>
          <w:tcPr>
            <w:tcW w:w="0" w:type="auto"/>
            <w:vAlign w:val="center"/>
            <w:hideMark/>
          </w:tcPr>
          <w:p w14:paraId="119E8A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Publicación</w:t>
            </w:r>
          </w:p>
        </w:tc>
        <w:tc>
          <w:tcPr>
            <w:tcW w:w="0" w:type="auto"/>
            <w:vAlign w:val="center"/>
            <w:hideMark/>
          </w:tcPr>
          <w:p w14:paraId="0A25F8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Emisor de eventos de dominio</w:t>
            </w:r>
          </w:p>
        </w:tc>
        <w:tc>
          <w:tcPr>
            <w:tcW w:w="0" w:type="auto"/>
            <w:vAlign w:val="center"/>
            <w:hideMark/>
          </w:tcPr>
          <w:p w14:paraId="6DAE5D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Publica un evento por cada operación confirmada que el propio ACL originó (ADR-004, mecanismo 1)</w:t>
            </w:r>
          </w:p>
        </w:tc>
      </w:tr>
    </w:tbl>
    <w:p w14:paraId="6797BCCC"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Por qué el ACL es un contenedor y no un servicio de dominio</w:t>
      </w:r>
    </w:p>
    <w:p w14:paraId="4332BD9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posee ninguna entidad de la que sea system of record, y toda su lógica es de traducción. Elevarlo a servicio de dominio produciría un componente sin responsabilidad de negocio. Su lugar correcto es el de adaptador de infraestructura compartido, y así aparece en la sección 5.2.</w:t>
      </w:r>
    </w:p>
    <w:p w14:paraId="0C9F4D41"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 componente que sustituye a los supuestos</w:t>
      </w:r>
    </w:p>
    <w:p w14:paraId="5663677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w:t>
      </w:r>
      <w:r w:rsidRPr="000444D1">
        <w:rPr>
          <w:rFonts w:ascii="Times New Roman" w:eastAsia="Times New Roman" w:hAnsi="Times New Roman" w:cs="Times New Roman"/>
          <w:b/>
          <w:bCs/>
          <w:kern w:val="0"/>
          <w14:ligatures w14:val="none"/>
        </w:rPr>
        <w:t>mapeador de modelo canónico</w:t>
      </w:r>
      <w:r w:rsidRPr="000444D1">
        <w:rPr>
          <w:rFonts w:ascii="Times New Roman" w:eastAsia="Times New Roman" w:hAnsi="Times New Roman" w:cs="Times New Roman"/>
          <w:kern w:val="0"/>
          <w14:ligatures w14:val="none"/>
        </w:rPr>
        <w:t xml:space="preserve"> y el </w:t>
      </w:r>
      <w:r w:rsidRPr="000444D1">
        <w:rPr>
          <w:rFonts w:ascii="Times New Roman" w:eastAsia="Times New Roman" w:hAnsi="Times New Roman" w:cs="Times New Roman"/>
          <w:b/>
          <w:bCs/>
          <w:kern w:val="0"/>
          <w14:ligatures w14:val="none"/>
        </w:rPr>
        <w:t>cliente de mensajería</w:t>
      </w:r>
      <w:r w:rsidRPr="000444D1">
        <w:rPr>
          <w:rFonts w:ascii="Times New Roman" w:eastAsia="Times New Roman" w:hAnsi="Times New Roman" w:cs="Times New Roman"/>
          <w:kern w:val="0"/>
          <w14:ligatures w14:val="none"/>
        </w:rPr>
        <w:t xml:space="preserve"> son los dos únicos componentes del sistema completo que conocen el modelo y el protocolo del core tradicional. Si los supuestos de la sección 2.1 resultan falsos —el core expone servicios SOAP en lugar de MQ, o el modelo de datos difiere de lo previsto—, el cambio se localiza en estos dos componentes. Ningún otro elemento de los diagramas 6, 7 y 8 se ve afectado. Esta es la razón concreta por la que la ausencia de información sobre el sistema legado no bloquea el diseño.</w:t>
      </w:r>
    </w:p>
    <w:p w14:paraId="3E852A8E"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33864BDA">
          <v:rect id="Horizontal Line 503"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BE59C3"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9. Flujos end-to-end</w:t>
      </w:r>
    </w:p>
    <w:p w14:paraId="42864EF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9.1 Transferencia con evaluación de fraude en línea</w:t>
      </w:r>
    </w:p>
    <w:p w14:paraId="358FBA90" w14:textId="3C17396C"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fldChar w:fldCharType="begin"/>
      </w:r>
      <w:r w:rsidRPr="000444D1">
        <w:rPr>
          <w:rFonts w:ascii="Times New Roman" w:eastAsia="Times New Roman" w:hAnsi="Times New Roman" w:cs="Times New Roman"/>
          <w:kern w:val="0"/>
          <w14:ligatures w14:val="none"/>
        </w:rPr>
        <w:instrText xml:space="preserve"> INCLUDEPICTURE "https://claude.ai/chat/diagramas/secuencia-transferencia.png" \* MERGEFORMATINET </w:instrText>
      </w:r>
      <w:r w:rsidRPr="000444D1">
        <w:rPr>
          <w:rFonts w:ascii="Times New Roman" w:eastAsia="Times New Roman" w:hAnsi="Times New Roman" w:cs="Times New Roman"/>
          <w:kern w:val="0"/>
          <w14:ligatures w14:val="none"/>
        </w:rPr>
        <w:fldChar w:fldCharType="separate"/>
      </w:r>
      <w:r w:rsidRPr="000444D1">
        <w:rPr>
          <w:rFonts w:ascii="Times New Roman" w:eastAsia="Times New Roman" w:hAnsi="Times New Roman" w:cs="Times New Roman"/>
          <w:noProof/>
          <w:kern w:val="0"/>
          <w14:ligatures w14:val="none"/>
        </w:rPr>
        <mc:AlternateContent>
          <mc:Choice Requires="wps">
            <w:drawing>
              <wp:inline distT="0" distB="0" distL="0" distR="0" wp14:anchorId="721A72EB" wp14:editId="6CFCDF81">
                <wp:extent cx="302260" cy="302260"/>
                <wp:effectExtent l="0" t="0" r="0" b="0"/>
                <wp:docPr id="350603551" name="Rectangle 69" descr="Secuencia de transferencia con evaluación de frau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73F38" id="Rectangle 69" o:spid="_x0000_s1026" alt="Secuencia de transferencia con evaluación de fraud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0444D1">
        <w:rPr>
          <w:rFonts w:ascii="Times New Roman" w:eastAsia="Times New Roman" w:hAnsi="Times New Roman" w:cs="Times New Roman"/>
          <w:kern w:val="0"/>
          <w14:ligatures w14:val="none"/>
        </w:rPr>
        <w:fldChar w:fldCharType="end"/>
      </w:r>
    </w:p>
    <w:p w14:paraId="65F4EA9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Camino normal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275"/>
        <w:gridCol w:w="1662"/>
        <w:gridCol w:w="3108"/>
      </w:tblGrid>
      <w:tr w:rsidR="000444D1" w:rsidRPr="000444D1" w14:paraId="2A06E1F3" w14:textId="77777777">
        <w:trPr>
          <w:tblHeader/>
          <w:tblCellSpacing w:w="15" w:type="dxa"/>
        </w:trPr>
        <w:tc>
          <w:tcPr>
            <w:tcW w:w="0" w:type="auto"/>
            <w:vAlign w:val="center"/>
            <w:hideMark/>
          </w:tcPr>
          <w:p w14:paraId="7FD7CF1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153055F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Paso</w:t>
            </w:r>
          </w:p>
        </w:tc>
        <w:tc>
          <w:tcPr>
            <w:tcW w:w="0" w:type="auto"/>
            <w:vAlign w:val="center"/>
            <w:hideMark/>
          </w:tcPr>
          <w:p w14:paraId="7A5F7A0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Naturaleza</w:t>
            </w:r>
          </w:p>
        </w:tc>
        <w:tc>
          <w:tcPr>
            <w:tcW w:w="0" w:type="auto"/>
            <w:vAlign w:val="center"/>
            <w:hideMark/>
          </w:tcPr>
          <w:p w14:paraId="3BD9B52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Nota</w:t>
            </w:r>
          </w:p>
        </w:tc>
      </w:tr>
      <w:tr w:rsidR="000444D1" w:rsidRPr="000444D1" w14:paraId="66B8EB0F" w14:textId="77777777">
        <w:trPr>
          <w:tblCellSpacing w:w="15" w:type="dxa"/>
        </w:trPr>
        <w:tc>
          <w:tcPr>
            <w:tcW w:w="0" w:type="auto"/>
            <w:vAlign w:val="center"/>
            <w:hideMark/>
          </w:tcPr>
          <w:p w14:paraId="6516DF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w:t>
            </w:r>
          </w:p>
        </w:tc>
        <w:tc>
          <w:tcPr>
            <w:tcW w:w="0" w:type="auto"/>
            <w:vAlign w:val="center"/>
            <w:hideMark/>
          </w:tcPr>
          <w:p w14:paraId="399387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canal envía la solicitud de pago al BFF, que la reenvía a D4 con la clave de idempotencia generada por el canal</w:t>
            </w:r>
          </w:p>
        </w:tc>
        <w:tc>
          <w:tcPr>
            <w:tcW w:w="0" w:type="auto"/>
            <w:vAlign w:val="center"/>
            <w:hideMark/>
          </w:tcPr>
          <w:p w14:paraId="6BB382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c>
          <w:tcPr>
            <w:tcW w:w="0" w:type="auto"/>
            <w:vAlign w:val="center"/>
            <w:hideMark/>
          </w:tcPr>
          <w:p w14:paraId="609246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clave la genera el cliente, no el servidor: permite reintento seguro desde el canal</w:t>
            </w:r>
          </w:p>
        </w:tc>
      </w:tr>
      <w:tr w:rsidR="000444D1" w:rsidRPr="000444D1" w14:paraId="372183AD" w14:textId="77777777">
        <w:trPr>
          <w:tblCellSpacing w:w="15" w:type="dxa"/>
        </w:trPr>
        <w:tc>
          <w:tcPr>
            <w:tcW w:w="0" w:type="auto"/>
            <w:vAlign w:val="center"/>
            <w:hideMark/>
          </w:tcPr>
          <w:p w14:paraId="5F1E98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w:t>
            </w:r>
          </w:p>
        </w:tc>
        <w:tc>
          <w:tcPr>
            <w:tcW w:w="0" w:type="auto"/>
            <w:vAlign w:val="center"/>
            <w:hideMark/>
          </w:tcPr>
          <w:p w14:paraId="33C4E9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middleware de idempotencia comprueba si la clave ya fue procesada</w:t>
            </w:r>
          </w:p>
        </w:tc>
        <w:tc>
          <w:tcPr>
            <w:tcW w:w="0" w:type="auto"/>
            <w:vAlign w:val="center"/>
            <w:hideMark/>
          </w:tcPr>
          <w:p w14:paraId="243840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Local</w:t>
            </w:r>
          </w:p>
        </w:tc>
        <w:tc>
          <w:tcPr>
            <w:tcW w:w="0" w:type="auto"/>
            <w:vAlign w:val="center"/>
            <w:hideMark/>
          </w:tcPr>
          <w:p w14:paraId="1D072B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lo fue, devuelve la respuesta original sin reejecutar</w:t>
            </w:r>
          </w:p>
        </w:tc>
      </w:tr>
      <w:tr w:rsidR="000444D1" w:rsidRPr="000444D1" w14:paraId="63B9EFAD" w14:textId="77777777">
        <w:trPr>
          <w:tblCellSpacing w:w="15" w:type="dxa"/>
        </w:trPr>
        <w:tc>
          <w:tcPr>
            <w:tcW w:w="0" w:type="auto"/>
            <w:vAlign w:val="center"/>
            <w:hideMark/>
          </w:tcPr>
          <w:p w14:paraId="1BC542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c>
          <w:tcPr>
            <w:tcW w:w="0" w:type="auto"/>
            <w:vAlign w:val="center"/>
            <w:hideMark/>
          </w:tcPr>
          <w:p w14:paraId="799769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Se crea el agregado Orden de pago en estado </w:t>
            </w:r>
            <w:r w:rsidRPr="000444D1">
              <w:rPr>
                <w:rFonts w:ascii="Courier New" w:eastAsia="Times New Roman" w:hAnsi="Courier New" w:cs="Courier New"/>
                <w:kern w:val="0"/>
                <w:sz w:val="20"/>
                <w:szCs w:val="20"/>
                <w14:ligatures w14:val="none"/>
              </w:rPr>
              <w:t>registrada</w:t>
            </w:r>
            <w:r w:rsidRPr="000444D1">
              <w:rPr>
                <w:rFonts w:ascii="Times New Roman" w:eastAsia="Times New Roman" w:hAnsi="Times New Roman" w:cs="Times New Roman"/>
                <w:kern w:val="0"/>
                <w14:ligatures w14:val="none"/>
              </w:rPr>
              <w:t xml:space="preserve"> y se persiste</w:t>
            </w:r>
          </w:p>
        </w:tc>
        <w:tc>
          <w:tcPr>
            <w:tcW w:w="0" w:type="auto"/>
            <w:vAlign w:val="center"/>
            <w:hideMark/>
          </w:tcPr>
          <w:p w14:paraId="40B44F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Local</w:t>
            </w:r>
          </w:p>
        </w:tc>
        <w:tc>
          <w:tcPr>
            <w:tcW w:w="0" w:type="auto"/>
            <w:vAlign w:val="center"/>
            <w:hideMark/>
          </w:tcPr>
          <w:p w14:paraId="606026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orden existe antes de cualquier llamada externa: si el proceso cae, hay rastro</w:t>
            </w:r>
          </w:p>
        </w:tc>
      </w:tr>
      <w:tr w:rsidR="000444D1" w:rsidRPr="000444D1" w14:paraId="2DF32FAC" w14:textId="77777777">
        <w:trPr>
          <w:tblCellSpacing w:w="15" w:type="dxa"/>
        </w:trPr>
        <w:tc>
          <w:tcPr>
            <w:tcW w:w="0" w:type="auto"/>
            <w:vAlign w:val="center"/>
            <w:hideMark/>
          </w:tcPr>
          <w:p w14:paraId="6F2CBE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4</w:t>
            </w:r>
          </w:p>
        </w:tc>
        <w:tc>
          <w:tcPr>
            <w:tcW w:w="0" w:type="auto"/>
            <w:vAlign w:val="center"/>
            <w:hideMark/>
          </w:tcPr>
          <w:p w14:paraId="229CC6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consulta el catálogo de productos (D2) para resolver el core propietario de la cuenta origen</w:t>
            </w:r>
          </w:p>
        </w:tc>
        <w:tc>
          <w:tcPr>
            <w:tcW w:w="0" w:type="auto"/>
            <w:vAlign w:val="center"/>
            <w:hideMark/>
          </w:tcPr>
          <w:p w14:paraId="73807E0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c>
          <w:tcPr>
            <w:tcW w:w="0" w:type="auto"/>
            <w:vAlign w:val="center"/>
            <w:hideMark/>
          </w:tcPr>
          <w:p w14:paraId="237080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Materializa el ADR-001</w:t>
            </w:r>
          </w:p>
        </w:tc>
      </w:tr>
      <w:tr w:rsidR="000444D1" w:rsidRPr="000444D1" w14:paraId="32DA7278" w14:textId="77777777">
        <w:trPr>
          <w:tblCellSpacing w:w="15" w:type="dxa"/>
        </w:trPr>
        <w:tc>
          <w:tcPr>
            <w:tcW w:w="0" w:type="auto"/>
            <w:vAlign w:val="center"/>
            <w:hideMark/>
          </w:tcPr>
          <w:p w14:paraId="657898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w:t>
            </w:r>
          </w:p>
        </w:tc>
        <w:tc>
          <w:tcPr>
            <w:tcW w:w="0" w:type="auto"/>
            <w:vAlign w:val="center"/>
            <w:hideMark/>
          </w:tcPr>
          <w:p w14:paraId="5E87D6B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invoca la evaluación de fraude con timeout de 300 ms</w:t>
            </w:r>
          </w:p>
        </w:tc>
        <w:tc>
          <w:tcPr>
            <w:tcW w:w="0" w:type="auto"/>
            <w:vAlign w:val="center"/>
            <w:hideMark/>
          </w:tcPr>
          <w:p w14:paraId="1C45C8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Síncrona, camino crítico</w:t>
            </w:r>
          </w:p>
        </w:tc>
        <w:tc>
          <w:tcPr>
            <w:tcW w:w="0" w:type="auto"/>
            <w:vAlign w:val="center"/>
            <w:hideMark/>
          </w:tcPr>
          <w:p w14:paraId="3C375C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Ante ausencia de respuesta se aplica la degradación por umbral (ADR-005)</w:t>
            </w:r>
          </w:p>
        </w:tc>
      </w:tr>
      <w:tr w:rsidR="000444D1" w:rsidRPr="000444D1" w14:paraId="5A436BA5" w14:textId="77777777">
        <w:trPr>
          <w:tblCellSpacing w:w="15" w:type="dxa"/>
        </w:trPr>
        <w:tc>
          <w:tcPr>
            <w:tcW w:w="0" w:type="auto"/>
            <w:vAlign w:val="center"/>
            <w:hideMark/>
          </w:tcPr>
          <w:p w14:paraId="016625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w:t>
            </w:r>
          </w:p>
        </w:tc>
        <w:tc>
          <w:tcPr>
            <w:tcW w:w="0" w:type="auto"/>
            <w:vAlign w:val="center"/>
            <w:hideMark/>
          </w:tcPr>
          <w:p w14:paraId="46A884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solicita el débito al core propietario a través del puerto de ejecución</w:t>
            </w:r>
          </w:p>
        </w:tc>
        <w:tc>
          <w:tcPr>
            <w:tcW w:w="0" w:type="auto"/>
            <w:vAlign w:val="center"/>
            <w:hideMark/>
          </w:tcPr>
          <w:p w14:paraId="49F0B4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c>
          <w:tcPr>
            <w:tcW w:w="0" w:type="auto"/>
            <w:vAlign w:val="center"/>
            <w:hideMark/>
          </w:tcPr>
          <w:p w14:paraId="3249F4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valida fondos y decide; el modelo de lectura no interviene (ADR-002)</w:t>
            </w:r>
          </w:p>
        </w:tc>
      </w:tr>
      <w:tr w:rsidR="000444D1" w:rsidRPr="000444D1" w14:paraId="57E7E629" w14:textId="77777777">
        <w:trPr>
          <w:tblCellSpacing w:w="15" w:type="dxa"/>
        </w:trPr>
        <w:tc>
          <w:tcPr>
            <w:tcW w:w="0" w:type="auto"/>
            <w:vAlign w:val="center"/>
            <w:hideMark/>
          </w:tcPr>
          <w:p w14:paraId="67857CF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w:t>
            </w:r>
          </w:p>
        </w:tc>
        <w:tc>
          <w:tcPr>
            <w:tcW w:w="0" w:type="auto"/>
            <w:vAlign w:val="center"/>
            <w:hideMark/>
          </w:tcPr>
          <w:p w14:paraId="071822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agregado pasa a </w:t>
            </w:r>
            <w:r w:rsidRPr="000444D1">
              <w:rPr>
                <w:rFonts w:ascii="Courier New" w:eastAsia="Times New Roman" w:hAnsi="Courier New" w:cs="Courier New"/>
                <w:kern w:val="0"/>
                <w:sz w:val="20"/>
                <w:szCs w:val="20"/>
                <w14:ligatures w14:val="none"/>
              </w:rPr>
              <w:t>ejecutada</w:t>
            </w:r>
            <w:r w:rsidRPr="000444D1">
              <w:rPr>
                <w:rFonts w:ascii="Times New Roman" w:eastAsia="Times New Roman" w:hAnsi="Times New Roman" w:cs="Times New Roman"/>
                <w:kern w:val="0"/>
                <w14:ligatures w14:val="none"/>
              </w:rPr>
              <w:t>; el publicador outbox escribe el evento en la misma transacción</w:t>
            </w:r>
          </w:p>
        </w:tc>
        <w:tc>
          <w:tcPr>
            <w:tcW w:w="0" w:type="auto"/>
            <w:vAlign w:val="center"/>
            <w:hideMark/>
          </w:tcPr>
          <w:p w14:paraId="43F995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Local, transaccional</w:t>
            </w:r>
          </w:p>
        </w:tc>
        <w:tc>
          <w:tcPr>
            <w:tcW w:w="0" w:type="auto"/>
            <w:vAlign w:val="center"/>
            <w:hideMark/>
          </w:tcPr>
          <w:p w14:paraId="58D755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Garantiza que no exista cambio de estado sin evento asociado</w:t>
            </w:r>
          </w:p>
        </w:tc>
      </w:tr>
      <w:tr w:rsidR="000444D1" w:rsidRPr="000444D1" w14:paraId="7E112AE0" w14:textId="77777777">
        <w:trPr>
          <w:tblCellSpacing w:w="15" w:type="dxa"/>
        </w:trPr>
        <w:tc>
          <w:tcPr>
            <w:tcW w:w="0" w:type="auto"/>
            <w:vAlign w:val="center"/>
            <w:hideMark/>
          </w:tcPr>
          <w:p w14:paraId="7675A3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8</w:t>
            </w:r>
          </w:p>
        </w:tc>
        <w:tc>
          <w:tcPr>
            <w:tcW w:w="0" w:type="auto"/>
            <w:vAlign w:val="center"/>
            <w:hideMark/>
          </w:tcPr>
          <w:p w14:paraId="1A0BD2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despachador outbox publica </w:t>
            </w:r>
            <w:r w:rsidRPr="000444D1">
              <w:rPr>
                <w:rFonts w:ascii="Courier New" w:eastAsia="Times New Roman" w:hAnsi="Courier New" w:cs="Courier New"/>
                <w:kern w:val="0"/>
                <w:sz w:val="20"/>
                <w:szCs w:val="20"/>
                <w14:ligatures w14:val="none"/>
              </w:rPr>
              <w:t>PagoEjecutado</w:t>
            </w:r>
            <w:r w:rsidRPr="000444D1">
              <w:rPr>
                <w:rFonts w:ascii="Times New Roman" w:eastAsia="Times New Roman" w:hAnsi="Times New Roman" w:cs="Times New Roman"/>
                <w:kern w:val="0"/>
                <w14:ligatures w14:val="none"/>
              </w:rPr>
              <w:t xml:space="preserve"> en el bus</w:t>
            </w:r>
          </w:p>
        </w:tc>
        <w:tc>
          <w:tcPr>
            <w:tcW w:w="0" w:type="auto"/>
            <w:vAlign w:val="center"/>
            <w:hideMark/>
          </w:tcPr>
          <w:p w14:paraId="52A22D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32B5A8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 reintento y cola de mensajes fallidos</w:t>
            </w:r>
          </w:p>
        </w:tc>
      </w:tr>
      <w:tr w:rsidR="000444D1" w:rsidRPr="000444D1" w14:paraId="70A4C755" w14:textId="77777777">
        <w:trPr>
          <w:tblCellSpacing w:w="15" w:type="dxa"/>
        </w:trPr>
        <w:tc>
          <w:tcPr>
            <w:tcW w:w="0" w:type="auto"/>
            <w:vAlign w:val="center"/>
            <w:hideMark/>
          </w:tcPr>
          <w:p w14:paraId="73A6CFE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w:t>
            </w:r>
          </w:p>
        </w:tc>
        <w:tc>
          <w:tcPr>
            <w:tcW w:w="0" w:type="auto"/>
            <w:vAlign w:val="center"/>
            <w:hideMark/>
          </w:tcPr>
          <w:p w14:paraId="6182CC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D8, D6 y D5 consumen el evento y actualizan proyección, auditoría, perfil de riesgo y realimentación del modelo</w:t>
            </w:r>
          </w:p>
        </w:tc>
        <w:tc>
          <w:tcPr>
            <w:tcW w:w="0" w:type="auto"/>
            <w:vAlign w:val="center"/>
            <w:hideMark/>
          </w:tcPr>
          <w:p w14:paraId="71F6AB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c>
          <w:tcPr>
            <w:tcW w:w="0" w:type="auto"/>
            <w:vAlign w:val="center"/>
            <w:hideMark/>
          </w:tcPr>
          <w:p w14:paraId="1F1E83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Ninguno bloquea la respuesta al cliente</w:t>
            </w:r>
          </w:p>
        </w:tc>
      </w:tr>
      <w:tr w:rsidR="000444D1" w:rsidRPr="000444D1" w14:paraId="4AD37776" w14:textId="77777777">
        <w:trPr>
          <w:tblCellSpacing w:w="15" w:type="dxa"/>
        </w:trPr>
        <w:tc>
          <w:tcPr>
            <w:tcW w:w="0" w:type="auto"/>
            <w:vAlign w:val="center"/>
            <w:hideMark/>
          </w:tcPr>
          <w:p w14:paraId="7C8006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10</w:t>
            </w:r>
          </w:p>
        </w:tc>
        <w:tc>
          <w:tcPr>
            <w:tcW w:w="0" w:type="auto"/>
            <w:vAlign w:val="center"/>
            <w:hideMark/>
          </w:tcPr>
          <w:p w14:paraId="569201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responde al canal</w:t>
            </w:r>
          </w:p>
        </w:tc>
        <w:tc>
          <w:tcPr>
            <w:tcW w:w="0" w:type="auto"/>
            <w:vAlign w:val="center"/>
            <w:hideMark/>
          </w:tcPr>
          <w:p w14:paraId="3A505E4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c>
          <w:tcPr>
            <w:tcW w:w="0" w:type="auto"/>
            <w:vAlign w:val="center"/>
            <w:hideMark/>
          </w:tcPr>
          <w:p w14:paraId="383E58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respuesta no espera al paso 9</w:t>
            </w:r>
          </w:p>
        </w:tc>
      </w:tr>
    </w:tbl>
    <w:p w14:paraId="2D9ABB3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Puntos de fallo y compensación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2571"/>
        <w:gridCol w:w="5225"/>
      </w:tblGrid>
      <w:tr w:rsidR="000444D1" w:rsidRPr="000444D1" w14:paraId="7C8CD7C4" w14:textId="77777777">
        <w:trPr>
          <w:tblHeader/>
          <w:tblCellSpacing w:w="15" w:type="dxa"/>
        </w:trPr>
        <w:tc>
          <w:tcPr>
            <w:tcW w:w="0" w:type="auto"/>
            <w:vAlign w:val="center"/>
            <w:hideMark/>
          </w:tcPr>
          <w:p w14:paraId="240DF70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Fallo en</w:t>
            </w:r>
          </w:p>
        </w:tc>
        <w:tc>
          <w:tcPr>
            <w:tcW w:w="0" w:type="auto"/>
            <w:vAlign w:val="center"/>
            <w:hideMark/>
          </w:tcPr>
          <w:p w14:paraId="46CB195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Estado del agregado</w:t>
            </w:r>
          </w:p>
        </w:tc>
        <w:tc>
          <w:tcPr>
            <w:tcW w:w="0" w:type="auto"/>
            <w:vAlign w:val="center"/>
            <w:hideMark/>
          </w:tcPr>
          <w:p w14:paraId="78980F3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Acción</w:t>
            </w:r>
          </w:p>
        </w:tc>
      </w:tr>
      <w:tr w:rsidR="000444D1" w:rsidRPr="000444D1" w14:paraId="53B28BFE" w14:textId="77777777">
        <w:trPr>
          <w:tblCellSpacing w:w="15" w:type="dxa"/>
        </w:trPr>
        <w:tc>
          <w:tcPr>
            <w:tcW w:w="0" w:type="auto"/>
            <w:vAlign w:val="center"/>
            <w:hideMark/>
          </w:tcPr>
          <w:p w14:paraId="423E87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Paso 5 — fraude rechaza</w:t>
            </w:r>
          </w:p>
        </w:tc>
        <w:tc>
          <w:tcPr>
            <w:tcW w:w="0" w:type="auto"/>
            <w:vAlign w:val="center"/>
            <w:hideMark/>
          </w:tcPr>
          <w:p w14:paraId="73D363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rechazada_por_fraude</w:t>
            </w:r>
          </w:p>
        </w:tc>
        <w:tc>
          <w:tcPr>
            <w:tcW w:w="0" w:type="auto"/>
            <w:vAlign w:val="center"/>
            <w:hideMark/>
          </w:tcPr>
          <w:p w14:paraId="0F9EA1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compensación: no hubo movimiento de fondos. Se publica el evento y se notifica al cliente</w:t>
            </w:r>
          </w:p>
        </w:tc>
      </w:tr>
      <w:tr w:rsidR="000444D1" w:rsidRPr="000444D1" w14:paraId="4053E505" w14:textId="77777777">
        <w:trPr>
          <w:tblCellSpacing w:w="15" w:type="dxa"/>
        </w:trPr>
        <w:tc>
          <w:tcPr>
            <w:tcW w:w="0" w:type="auto"/>
            <w:vAlign w:val="center"/>
            <w:hideMark/>
          </w:tcPr>
          <w:p w14:paraId="03B16A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Paso 5 — fraude no responde</w:t>
            </w:r>
          </w:p>
        </w:tc>
        <w:tc>
          <w:tcPr>
            <w:tcW w:w="0" w:type="auto"/>
            <w:vAlign w:val="center"/>
            <w:hideMark/>
          </w:tcPr>
          <w:p w14:paraId="4850EC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registrada</w:t>
            </w:r>
          </w:p>
        </w:tc>
        <w:tc>
          <w:tcPr>
            <w:tcW w:w="0" w:type="auto"/>
            <w:vAlign w:val="center"/>
            <w:hideMark/>
          </w:tcPr>
          <w:p w14:paraId="639759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aplica la política del ADR-005 según el umbral de monto; la decisión y su motivo quedan en la traza</w:t>
            </w:r>
          </w:p>
        </w:tc>
      </w:tr>
      <w:tr w:rsidR="000444D1" w:rsidRPr="000444D1" w14:paraId="2C9A7532" w14:textId="77777777">
        <w:trPr>
          <w:tblCellSpacing w:w="15" w:type="dxa"/>
        </w:trPr>
        <w:tc>
          <w:tcPr>
            <w:tcW w:w="0" w:type="auto"/>
            <w:vAlign w:val="center"/>
            <w:hideMark/>
          </w:tcPr>
          <w:p w14:paraId="6D85C6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Paso 6 — el core rechaza el débito</w:t>
            </w:r>
          </w:p>
        </w:tc>
        <w:tc>
          <w:tcPr>
            <w:tcW w:w="0" w:type="auto"/>
            <w:vAlign w:val="center"/>
            <w:hideMark/>
          </w:tcPr>
          <w:p w14:paraId="401888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rechazada</w:t>
            </w:r>
          </w:p>
        </w:tc>
        <w:tc>
          <w:tcPr>
            <w:tcW w:w="0" w:type="auto"/>
            <w:vAlign w:val="center"/>
            <w:hideMark/>
          </w:tcPr>
          <w:p w14:paraId="08291F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compensación: el core es transaccional y no ejecutó nada</w:t>
            </w:r>
          </w:p>
        </w:tc>
      </w:tr>
      <w:tr w:rsidR="000444D1" w:rsidRPr="000444D1" w14:paraId="6D5C6779" w14:textId="77777777">
        <w:trPr>
          <w:tblCellSpacing w:w="15" w:type="dxa"/>
        </w:trPr>
        <w:tc>
          <w:tcPr>
            <w:tcW w:w="0" w:type="auto"/>
            <w:vAlign w:val="center"/>
            <w:hideMark/>
          </w:tcPr>
          <w:p w14:paraId="3C8ECF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Paso 6 — el core no responde</w:t>
            </w:r>
          </w:p>
        </w:tc>
        <w:tc>
          <w:tcPr>
            <w:tcW w:w="0" w:type="auto"/>
            <w:vAlign w:val="center"/>
            <w:hideMark/>
          </w:tcPr>
          <w:p w14:paraId="4DC35D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en_verificacion</w:t>
            </w:r>
          </w:p>
        </w:tc>
        <w:tc>
          <w:tcPr>
            <w:tcW w:w="0" w:type="auto"/>
            <w:vAlign w:val="center"/>
            <w:hideMark/>
          </w:tcPr>
          <w:p w14:paraId="5AD661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Este es el caso crítico.</w:t>
            </w:r>
            <w:r w:rsidRPr="000444D1">
              <w:rPr>
                <w:rFonts w:ascii="Times New Roman" w:eastAsia="Times New Roman" w:hAnsi="Times New Roman" w:cs="Times New Roman"/>
                <w:kern w:val="0"/>
                <w14:ligatures w14:val="none"/>
              </w:rPr>
              <w:t xml:space="preserve"> No se puede asumir ni éxito ni fallo. La orden queda en verificación y un proceso de reconciliación la resuelve contra el core; nunca se reintenta a ciegas</w:t>
            </w:r>
          </w:p>
        </w:tc>
      </w:tr>
      <w:tr w:rsidR="000444D1" w:rsidRPr="000444D1" w14:paraId="22CDF0EB" w14:textId="77777777">
        <w:trPr>
          <w:tblCellSpacing w:w="15" w:type="dxa"/>
        </w:trPr>
        <w:tc>
          <w:tcPr>
            <w:tcW w:w="0" w:type="auto"/>
            <w:vAlign w:val="center"/>
            <w:hideMark/>
          </w:tcPr>
          <w:p w14:paraId="0CFA8D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Paso 7 — fallo tras el débito</w:t>
            </w:r>
          </w:p>
        </w:tc>
        <w:tc>
          <w:tcPr>
            <w:tcW w:w="0" w:type="auto"/>
            <w:vAlign w:val="center"/>
            <w:hideMark/>
          </w:tcPr>
          <w:p w14:paraId="031D2E9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ejecutada</w:t>
            </w:r>
            <w:r w:rsidRPr="000444D1">
              <w:rPr>
                <w:rFonts w:ascii="Times New Roman" w:eastAsia="Times New Roman" w:hAnsi="Times New Roman" w:cs="Times New Roman"/>
                <w:kern w:val="0"/>
                <w14:ligatures w14:val="none"/>
              </w:rPr>
              <w:t xml:space="preserve"> no persistido</w:t>
            </w:r>
          </w:p>
        </w:tc>
        <w:tc>
          <w:tcPr>
            <w:tcW w:w="0" w:type="auto"/>
            <w:vAlign w:val="center"/>
            <w:hideMark/>
          </w:tcPr>
          <w:p w14:paraId="1191D6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transacción local revierte; la reconciliación detecta el débito huérfano en el core y emite la compensación</w:t>
            </w:r>
          </w:p>
        </w:tc>
      </w:tr>
      <w:tr w:rsidR="000444D1" w:rsidRPr="000444D1" w14:paraId="29A3BE8F" w14:textId="77777777">
        <w:trPr>
          <w:tblCellSpacing w:w="15" w:type="dxa"/>
        </w:trPr>
        <w:tc>
          <w:tcPr>
            <w:tcW w:w="0" w:type="auto"/>
            <w:vAlign w:val="center"/>
            <w:hideMark/>
          </w:tcPr>
          <w:p w14:paraId="51A02E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Paso 8 — el bus no acepta el evento</w:t>
            </w:r>
          </w:p>
        </w:tc>
        <w:tc>
          <w:tcPr>
            <w:tcW w:w="0" w:type="auto"/>
            <w:vAlign w:val="center"/>
            <w:hideMark/>
          </w:tcPr>
          <w:p w14:paraId="091E26E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ejecutada</w:t>
            </w:r>
            <w:r w:rsidRPr="000444D1">
              <w:rPr>
                <w:rFonts w:ascii="Times New Roman" w:eastAsia="Times New Roman" w:hAnsi="Times New Roman" w:cs="Times New Roman"/>
                <w:kern w:val="0"/>
                <w14:ligatures w14:val="none"/>
              </w:rPr>
              <w:t>, outbox pendiente</w:t>
            </w:r>
          </w:p>
        </w:tc>
        <w:tc>
          <w:tcPr>
            <w:tcW w:w="0" w:type="auto"/>
            <w:vAlign w:val="center"/>
            <w:hideMark/>
          </w:tcPr>
          <w:p w14:paraId="64C661D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despachador reintenta; el evento no se pierde porque está persistido. Los consumidores lo reciben con retraso, no con pérdida</w:t>
            </w:r>
          </w:p>
        </w:tc>
      </w:tr>
    </w:tbl>
    <w:p w14:paraId="09D244C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La celda que importa es el paso 6 sin respuesta.</w:t>
      </w:r>
      <w:r w:rsidRPr="000444D1">
        <w:rPr>
          <w:rFonts w:ascii="Times New Roman" w:eastAsia="Times New Roman" w:hAnsi="Times New Roman" w:cs="Times New Roman"/>
          <w:kern w:val="0"/>
          <w14:ligatures w14:val="none"/>
        </w:rPr>
        <w:t xml:space="preserve"> Un timeout contra un sistema transaccional no es un fallo: es un estado desconocido. Reintentar sin verificar produce doble débito, y compensar sin verificar produce un abono indebido. El estado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y la reconciliación explícita son la única respuesta correcta, y su existencia es la diferencia entre una saga dibujada y una saga diseñada.</w:t>
      </w:r>
    </w:p>
    <w:p w14:paraId="62A61F92"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9.2 Consulta de posición con cuentas en ambos 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7277"/>
        <w:gridCol w:w="1515"/>
      </w:tblGrid>
      <w:tr w:rsidR="000444D1" w:rsidRPr="000444D1" w14:paraId="1F8AF43E" w14:textId="77777777">
        <w:trPr>
          <w:tblHeader/>
          <w:tblCellSpacing w:w="15" w:type="dxa"/>
        </w:trPr>
        <w:tc>
          <w:tcPr>
            <w:tcW w:w="0" w:type="auto"/>
            <w:vAlign w:val="center"/>
            <w:hideMark/>
          </w:tcPr>
          <w:p w14:paraId="1A161F9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5DC6F83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Paso</w:t>
            </w:r>
          </w:p>
        </w:tc>
        <w:tc>
          <w:tcPr>
            <w:tcW w:w="0" w:type="auto"/>
            <w:vAlign w:val="center"/>
            <w:hideMark/>
          </w:tcPr>
          <w:p w14:paraId="352D225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Naturaleza</w:t>
            </w:r>
          </w:p>
        </w:tc>
      </w:tr>
      <w:tr w:rsidR="000444D1" w:rsidRPr="000444D1" w14:paraId="32246743" w14:textId="77777777">
        <w:trPr>
          <w:tblCellSpacing w:w="15" w:type="dxa"/>
        </w:trPr>
        <w:tc>
          <w:tcPr>
            <w:tcW w:w="0" w:type="auto"/>
            <w:vAlign w:val="center"/>
            <w:hideMark/>
          </w:tcPr>
          <w:p w14:paraId="30C8AE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w:t>
            </w:r>
          </w:p>
        </w:tc>
        <w:tc>
          <w:tcPr>
            <w:tcW w:w="0" w:type="auto"/>
            <w:vAlign w:val="center"/>
            <w:hideMark/>
          </w:tcPr>
          <w:p w14:paraId="1DD8D6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canal solicita la posición consolidada al BFF</w:t>
            </w:r>
          </w:p>
        </w:tc>
        <w:tc>
          <w:tcPr>
            <w:tcW w:w="0" w:type="auto"/>
            <w:vAlign w:val="center"/>
            <w:hideMark/>
          </w:tcPr>
          <w:p w14:paraId="229E68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r>
      <w:tr w:rsidR="000444D1" w:rsidRPr="000444D1" w14:paraId="708D98B7" w14:textId="77777777">
        <w:trPr>
          <w:tblCellSpacing w:w="15" w:type="dxa"/>
        </w:trPr>
        <w:tc>
          <w:tcPr>
            <w:tcW w:w="0" w:type="auto"/>
            <w:vAlign w:val="center"/>
            <w:hideMark/>
          </w:tcPr>
          <w:p w14:paraId="399A37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w:t>
            </w:r>
          </w:p>
        </w:tc>
        <w:tc>
          <w:tcPr>
            <w:tcW w:w="0" w:type="auto"/>
            <w:vAlign w:val="center"/>
            <w:hideMark/>
          </w:tcPr>
          <w:p w14:paraId="6C6151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BFF consulta D3, que resuelve localmente desde su proyección</w:t>
            </w:r>
          </w:p>
        </w:tc>
        <w:tc>
          <w:tcPr>
            <w:tcW w:w="0" w:type="auto"/>
            <w:vAlign w:val="center"/>
            <w:hideMark/>
          </w:tcPr>
          <w:p w14:paraId="6C7F73E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 local</w:t>
            </w:r>
          </w:p>
        </w:tc>
      </w:tr>
      <w:tr w:rsidR="000444D1" w:rsidRPr="000444D1" w14:paraId="3A40207C" w14:textId="77777777">
        <w:trPr>
          <w:tblCellSpacing w:w="15" w:type="dxa"/>
        </w:trPr>
        <w:tc>
          <w:tcPr>
            <w:tcW w:w="0" w:type="auto"/>
            <w:vAlign w:val="center"/>
            <w:hideMark/>
          </w:tcPr>
          <w:p w14:paraId="032888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c>
          <w:tcPr>
            <w:tcW w:w="0" w:type="auto"/>
            <w:vAlign w:val="center"/>
            <w:hideMark/>
          </w:tcPr>
          <w:p w14:paraId="45154F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respuesta incluye la marca de tiempo de última actualización por cuenta</w:t>
            </w:r>
          </w:p>
        </w:tc>
        <w:tc>
          <w:tcPr>
            <w:tcW w:w="0" w:type="auto"/>
            <w:vAlign w:val="center"/>
            <w:hideMark/>
          </w:tcPr>
          <w:p w14:paraId="5D950D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r>
    </w:tbl>
    <w:p w14:paraId="492AFDC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Ningún core participa. Es la razón por la que este flujo cumple p95 &lt; 500 ms y sigue operando durante la ventana de cierre del core tradicional. La proyección se alimenta de los dos mecanismos del ADR-004, de modo que refleja tanto la actividad digital como la presencial.</w:t>
      </w:r>
    </w:p>
    <w:p w14:paraId="115789A0"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9.3 Acceso de un tercero Open Finance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7603"/>
        <w:gridCol w:w="1562"/>
      </w:tblGrid>
      <w:tr w:rsidR="000444D1" w:rsidRPr="000444D1" w14:paraId="7F5DDA7C" w14:textId="77777777">
        <w:trPr>
          <w:tblHeader/>
          <w:tblCellSpacing w:w="15" w:type="dxa"/>
        </w:trPr>
        <w:tc>
          <w:tcPr>
            <w:tcW w:w="0" w:type="auto"/>
            <w:vAlign w:val="center"/>
            <w:hideMark/>
          </w:tcPr>
          <w:p w14:paraId="6647850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60C76FC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Paso</w:t>
            </w:r>
          </w:p>
        </w:tc>
        <w:tc>
          <w:tcPr>
            <w:tcW w:w="0" w:type="auto"/>
            <w:vAlign w:val="center"/>
            <w:hideMark/>
          </w:tcPr>
          <w:p w14:paraId="5E18FAE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Naturaleza</w:t>
            </w:r>
          </w:p>
        </w:tc>
      </w:tr>
      <w:tr w:rsidR="000444D1" w:rsidRPr="000444D1" w14:paraId="5080AF03" w14:textId="77777777">
        <w:trPr>
          <w:tblCellSpacing w:w="15" w:type="dxa"/>
        </w:trPr>
        <w:tc>
          <w:tcPr>
            <w:tcW w:w="0" w:type="auto"/>
            <w:vAlign w:val="center"/>
            <w:hideMark/>
          </w:tcPr>
          <w:p w14:paraId="4E93C9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w:t>
            </w:r>
          </w:p>
        </w:tc>
        <w:tc>
          <w:tcPr>
            <w:tcW w:w="0" w:type="auto"/>
            <w:vAlign w:val="center"/>
            <w:hideMark/>
          </w:tcPr>
          <w:p w14:paraId="169A70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TPP presenta certificado de cliente y token de acceso al gateway externo</w:t>
            </w:r>
          </w:p>
        </w:tc>
        <w:tc>
          <w:tcPr>
            <w:tcW w:w="0" w:type="auto"/>
            <w:vAlign w:val="center"/>
            <w:hideMark/>
          </w:tcPr>
          <w:p w14:paraId="3DDFDF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 mTLS</w:t>
            </w:r>
          </w:p>
        </w:tc>
      </w:tr>
      <w:tr w:rsidR="000444D1" w:rsidRPr="000444D1" w14:paraId="613B75AE" w14:textId="77777777">
        <w:trPr>
          <w:tblCellSpacing w:w="15" w:type="dxa"/>
        </w:trPr>
        <w:tc>
          <w:tcPr>
            <w:tcW w:w="0" w:type="auto"/>
            <w:vAlign w:val="center"/>
            <w:hideMark/>
          </w:tcPr>
          <w:p w14:paraId="73C6E9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w:t>
            </w:r>
          </w:p>
        </w:tc>
        <w:tc>
          <w:tcPr>
            <w:tcW w:w="0" w:type="auto"/>
            <w:vAlign w:val="center"/>
            <w:hideMark/>
          </w:tcPr>
          <w:p w14:paraId="31020E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gateway valida el token contra el IdP</w:t>
            </w:r>
          </w:p>
        </w:tc>
        <w:tc>
          <w:tcPr>
            <w:tcW w:w="0" w:type="auto"/>
            <w:vAlign w:val="center"/>
            <w:hideMark/>
          </w:tcPr>
          <w:p w14:paraId="36E744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r>
      <w:tr w:rsidR="000444D1" w:rsidRPr="000444D1" w14:paraId="7EC6BDC2" w14:textId="77777777">
        <w:trPr>
          <w:tblCellSpacing w:w="15" w:type="dxa"/>
        </w:trPr>
        <w:tc>
          <w:tcPr>
            <w:tcW w:w="0" w:type="auto"/>
            <w:vAlign w:val="center"/>
            <w:hideMark/>
          </w:tcPr>
          <w:p w14:paraId="411E81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c>
          <w:tcPr>
            <w:tcW w:w="0" w:type="auto"/>
            <w:vAlign w:val="center"/>
            <w:hideMark/>
          </w:tcPr>
          <w:p w14:paraId="4A5099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gateway consulta a D7 la vigencia y el alcance del consentimiento</w:t>
            </w:r>
          </w:p>
        </w:tc>
        <w:tc>
          <w:tcPr>
            <w:tcW w:w="0" w:type="auto"/>
            <w:vAlign w:val="center"/>
            <w:hideMark/>
          </w:tcPr>
          <w:p w14:paraId="111572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r>
      <w:tr w:rsidR="000444D1" w:rsidRPr="000444D1" w14:paraId="2ED88DAE" w14:textId="77777777">
        <w:trPr>
          <w:tblCellSpacing w:w="15" w:type="dxa"/>
        </w:trPr>
        <w:tc>
          <w:tcPr>
            <w:tcW w:w="0" w:type="auto"/>
            <w:vAlign w:val="center"/>
            <w:hideMark/>
          </w:tcPr>
          <w:p w14:paraId="296AC0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w:t>
            </w:r>
          </w:p>
        </w:tc>
        <w:tc>
          <w:tcPr>
            <w:tcW w:w="0" w:type="auto"/>
            <w:vAlign w:val="center"/>
            <w:hideMark/>
          </w:tcPr>
          <w:p w14:paraId="7F724B2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gateway consulta a D9 los entitlements sobre la cuenta solicitada</w:t>
            </w:r>
          </w:p>
        </w:tc>
        <w:tc>
          <w:tcPr>
            <w:tcW w:w="0" w:type="auto"/>
            <w:vAlign w:val="center"/>
            <w:hideMark/>
          </w:tcPr>
          <w:p w14:paraId="5EBA5E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r>
      <w:tr w:rsidR="000444D1" w:rsidRPr="000444D1" w14:paraId="4FDAF39B" w14:textId="77777777">
        <w:trPr>
          <w:tblCellSpacing w:w="15" w:type="dxa"/>
        </w:trPr>
        <w:tc>
          <w:tcPr>
            <w:tcW w:w="0" w:type="auto"/>
            <w:vAlign w:val="center"/>
            <w:hideMark/>
          </w:tcPr>
          <w:p w14:paraId="44C00F0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w:t>
            </w:r>
          </w:p>
        </w:tc>
        <w:tc>
          <w:tcPr>
            <w:tcW w:w="0" w:type="auto"/>
            <w:vAlign w:val="center"/>
            <w:hideMark/>
          </w:tcPr>
          <w:p w14:paraId="170E1A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 ambas validaciones favorables, se enruta la consulta a D3</w:t>
            </w:r>
          </w:p>
        </w:tc>
        <w:tc>
          <w:tcPr>
            <w:tcW w:w="0" w:type="auto"/>
            <w:vAlign w:val="center"/>
            <w:hideMark/>
          </w:tcPr>
          <w:p w14:paraId="130C09A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Síncrona</w:t>
            </w:r>
          </w:p>
        </w:tc>
      </w:tr>
      <w:tr w:rsidR="000444D1" w:rsidRPr="000444D1" w14:paraId="6124F014" w14:textId="77777777">
        <w:trPr>
          <w:tblCellSpacing w:w="15" w:type="dxa"/>
        </w:trPr>
        <w:tc>
          <w:tcPr>
            <w:tcW w:w="0" w:type="auto"/>
            <w:vAlign w:val="center"/>
            <w:hideMark/>
          </w:tcPr>
          <w:p w14:paraId="1DC0540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w:t>
            </w:r>
          </w:p>
        </w:tc>
        <w:tc>
          <w:tcPr>
            <w:tcW w:w="0" w:type="auto"/>
            <w:vAlign w:val="center"/>
            <w:hideMark/>
          </w:tcPr>
          <w:p w14:paraId="76647E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acceso se registra en D8 vía evento, con identificación del TPP y del consentimiento aplicado</w:t>
            </w:r>
          </w:p>
        </w:tc>
        <w:tc>
          <w:tcPr>
            <w:tcW w:w="0" w:type="auto"/>
            <w:vAlign w:val="center"/>
            <w:hideMark/>
          </w:tcPr>
          <w:p w14:paraId="085FE0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Asíncrona</w:t>
            </w:r>
          </w:p>
        </w:tc>
      </w:tr>
    </w:tbl>
    <w:p w14:paraId="611B16A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paso 6 no es opcional: la trazabilidad de qué tercero accedió a qué dato bajo qué consentimiento es un requisito de la LOPDP y de la normativa de banca abierta, y es exigible ante el titular que ejerza su derecho de acceso.</w:t>
      </w:r>
    </w:p>
    <w:p w14:paraId="67416B12"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9.4 Operación durante la ventana de cierre del core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4044"/>
        <w:gridCol w:w="2393"/>
      </w:tblGrid>
      <w:tr w:rsidR="000444D1" w:rsidRPr="000444D1" w14:paraId="59BA8511" w14:textId="77777777">
        <w:trPr>
          <w:tblHeader/>
          <w:tblCellSpacing w:w="15" w:type="dxa"/>
        </w:trPr>
        <w:tc>
          <w:tcPr>
            <w:tcW w:w="0" w:type="auto"/>
            <w:vAlign w:val="center"/>
            <w:hideMark/>
          </w:tcPr>
          <w:p w14:paraId="53B5804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Capacidad</w:t>
            </w:r>
          </w:p>
        </w:tc>
        <w:tc>
          <w:tcPr>
            <w:tcW w:w="0" w:type="auto"/>
            <w:vAlign w:val="center"/>
            <w:hideMark/>
          </w:tcPr>
          <w:p w14:paraId="750735D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Estado durante el cierre</w:t>
            </w:r>
          </w:p>
        </w:tc>
        <w:tc>
          <w:tcPr>
            <w:tcW w:w="0" w:type="auto"/>
            <w:vAlign w:val="center"/>
            <w:hideMark/>
          </w:tcPr>
          <w:p w14:paraId="30A8E08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Fundamento</w:t>
            </w:r>
          </w:p>
        </w:tc>
      </w:tr>
      <w:tr w:rsidR="000444D1" w:rsidRPr="000444D1" w14:paraId="3B8A60E9" w14:textId="77777777">
        <w:trPr>
          <w:tblCellSpacing w:w="15" w:type="dxa"/>
        </w:trPr>
        <w:tc>
          <w:tcPr>
            <w:tcW w:w="0" w:type="auto"/>
            <w:vAlign w:val="center"/>
            <w:hideMark/>
          </w:tcPr>
          <w:p w14:paraId="638FB7D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posición</w:t>
            </w:r>
          </w:p>
        </w:tc>
        <w:tc>
          <w:tcPr>
            <w:tcW w:w="0" w:type="auto"/>
            <w:vAlign w:val="center"/>
            <w:hideMark/>
          </w:tcPr>
          <w:p w14:paraId="1B8C84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Disponible</w:t>
            </w:r>
          </w:p>
        </w:tc>
        <w:tc>
          <w:tcPr>
            <w:tcW w:w="0" w:type="auto"/>
            <w:vAlign w:val="center"/>
            <w:hideMark/>
          </w:tcPr>
          <w:p w14:paraId="78CBBF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no depende del core (ADR-002)</w:t>
            </w:r>
          </w:p>
        </w:tc>
      </w:tr>
      <w:tr w:rsidR="000444D1" w:rsidRPr="000444D1" w14:paraId="412D2B17" w14:textId="77777777">
        <w:trPr>
          <w:tblCellSpacing w:w="15" w:type="dxa"/>
        </w:trPr>
        <w:tc>
          <w:tcPr>
            <w:tcW w:w="0" w:type="auto"/>
            <w:vAlign w:val="center"/>
            <w:hideMark/>
          </w:tcPr>
          <w:p w14:paraId="46B4961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Pagos entre cuentas del core digital</w:t>
            </w:r>
          </w:p>
        </w:tc>
        <w:tc>
          <w:tcPr>
            <w:tcW w:w="0" w:type="auto"/>
            <w:vAlign w:val="center"/>
            <w:hideMark/>
          </w:tcPr>
          <w:p w14:paraId="18EF13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Disponible</w:t>
            </w:r>
          </w:p>
        </w:tc>
        <w:tc>
          <w:tcPr>
            <w:tcW w:w="0" w:type="auto"/>
            <w:vAlign w:val="center"/>
            <w:hideMark/>
          </w:tcPr>
          <w:p w14:paraId="26CDD3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digital opera 24/7</w:t>
            </w:r>
          </w:p>
        </w:tc>
      </w:tr>
      <w:tr w:rsidR="000444D1" w:rsidRPr="000444D1" w14:paraId="33C23E6B" w14:textId="77777777">
        <w:trPr>
          <w:tblCellSpacing w:w="15" w:type="dxa"/>
        </w:trPr>
        <w:tc>
          <w:tcPr>
            <w:tcW w:w="0" w:type="auto"/>
            <w:vAlign w:val="center"/>
            <w:hideMark/>
          </w:tcPr>
          <w:p w14:paraId="7CDAF5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Pagos con origen en cuenta del core tradicional</w:t>
            </w:r>
          </w:p>
        </w:tc>
        <w:tc>
          <w:tcPr>
            <w:tcW w:w="0" w:type="auto"/>
            <w:vAlign w:val="center"/>
            <w:hideMark/>
          </w:tcPr>
          <w:p w14:paraId="76F91D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 disponible</w:t>
            </w:r>
            <w:r w:rsidRPr="000444D1">
              <w:rPr>
                <w:rFonts w:ascii="Times New Roman" w:eastAsia="Times New Roman" w:hAnsi="Times New Roman" w:cs="Times New Roman"/>
                <w:kern w:val="0"/>
                <w14:ligatures w14:val="none"/>
              </w:rPr>
              <w:t>, con mensaje explícito y hora estimada de restablecimiento</w:t>
            </w:r>
          </w:p>
        </w:tc>
        <w:tc>
          <w:tcPr>
            <w:tcW w:w="0" w:type="auto"/>
            <w:vAlign w:val="center"/>
            <w:hideMark/>
          </w:tcPr>
          <w:p w14:paraId="4DF7BA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débito autoritativo requiere al core</w:t>
            </w:r>
          </w:p>
        </w:tc>
      </w:tr>
      <w:tr w:rsidR="000444D1" w:rsidRPr="000444D1" w14:paraId="7C2FE7B9" w14:textId="77777777">
        <w:trPr>
          <w:tblCellSpacing w:w="15" w:type="dxa"/>
        </w:trPr>
        <w:tc>
          <w:tcPr>
            <w:tcW w:w="0" w:type="auto"/>
            <w:vAlign w:val="center"/>
            <w:hideMark/>
          </w:tcPr>
          <w:p w14:paraId="3DE15D1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Consultas de terceros Open Finance</w:t>
            </w:r>
          </w:p>
        </w:tc>
        <w:tc>
          <w:tcPr>
            <w:tcW w:w="0" w:type="auto"/>
            <w:vAlign w:val="center"/>
            <w:hideMark/>
          </w:tcPr>
          <w:p w14:paraId="09BD53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Disponible</w:t>
            </w:r>
          </w:p>
        </w:tc>
        <w:tc>
          <w:tcPr>
            <w:tcW w:w="0" w:type="auto"/>
            <w:vAlign w:val="center"/>
            <w:hideMark/>
          </w:tcPr>
          <w:p w14:paraId="3F4604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sirven desde D3</w:t>
            </w:r>
          </w:p>
        </w:tc>
      </w:tr>
      <w:tr w:rsidR="000444D1" w:rsidRPr="000444D1" w14:paraId="0B403B42" w14:textId="77777777">
        <w:trPr>
          <w:tblCellSpacing w:w="15" w:type="dxa"/>
        </w:trPr>
        <w:tc>
          <w:tcPr>
            <w:tcW w:w="0" w:type="auto"/>
            <w:vAlign w:val="center"/>
            <w:hideMark/>
          </w:tcPr>
          <w:p w14:paraId="54D99F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consentimientos</w:t>
            </w:r>
          </w:p>
        </w:tc>
        <w:tc>
          <w:tcPr>
            <w:tcW w:w="0" w:type="auto"/>
            <w:vAlign w:val="center"/>
            <w:hideMark/>
          </w:tcPr>
          <w:p w14:paraId="3BB90B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Disponible</w:t>
            </w:r>
          </w:p>
        </w:tc>
        <w:tc>
          <w:tcPr>
            <w:tcW w:w="0" w:type="auto"/>
            <w:vAlign w:val="center"/>
            <w:hideMark/>
          </w:tcPr>
          <w:p w14:paraId="44E7CA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es independiente</w:t>
            </w:r>
          </w:p>
        </w:tc>
      </w:tr>
    </w:tbl>
    <w:p w14:paraId="3A2E0C3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controlador de disponibilidad del ACL detecta la ventana y expone el estado degradado, de modo que la restricción se comunica al cliente antes de aceptar la operación, en lugar de fallar después de haberla aceptado. Esta tabla es la aplicación concreta del principio P7 y la base de la estrategia de la sección 15.</w:t>
      </w:r>
    </w:p>
    <w:p w14:paraId="1397B7DB"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63D7CD58">
          <v:rect id="Horizontal Line 556"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E751B89"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10. Patrones de integración y tecnologías</w:t>
      </w:r>
    </w:p>
    <w:p w14:paraId="2DAE1B7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10.1 Criterio de selección</w:t>
      </w:r>
    </w:p>
    <w:p w14:paraId="0B6106D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patrón se incorpora al diseño únicamente si resuelve un problema identificado en las secciones anteriores. La tabla 10.2 se lee, por tanto, de derecha a izquierda: primero el problema, después el patrón. Los patrones que no responden a un problema declarado no aparecen, y los que se consideraron y descartaron figuran en 10.3 con su motivo.</w:t>
      </w:r>
    </w:p>
    <w:p w14:paraId="244F3E3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10.2 Patrones aplicados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941"/>
        <w:gridCol w:w="2517"/>
        <w:gridCol w:w="2400"/>
      </w:tblGrid>
      <w:tr w:rsidR="000444D1" w:rsidRPr="000444D1" w14:paraId="74F5D1F6" w14:textId="77777777">
        <w:trPr>
          <w:tblHeader/>
          <w:tblCellSpacing w:w="15" w:type="dxa"/>
        </w:trPr>
        <w:tc>
          <w:tcPr>
            <w:tcW w:w="0" w:type="auto"/>
            <w:vAlign w:val="center"/>
            <w:hideMark/>
          </w:tcPr>
          <w:p w14:paraId="0F11B57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Patrón</w:t>
            </w:r>
          </w:p>
        </w:tc>
        <w:tc>
          <w:tcPr>
            <w:tcW w:w="0" w:type="auto"/>
            <w:vAlign w:val="center"/>
            <w:hideMark/>
          </w:tcPr>
          <w:p w14:paraId="356B840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Dónde reside</w:t>
            </w:r>
          </w:p>
        </w:tc>
        <w:tc>
          <w:tcPr>
            <w:tcW w:w="0" w:type="auto"/>
            <w:vAlign w:val="center"/>
            <w:hideMark/>
          </w:tcPr>
          <w:p w14:paraId="78B3D1C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Problema que resuelve</w:t>
            </w:r>
          </w:p>
        </w:tc>
        <w:tc>
          <w:tcPr>
            <w:tcW w:w="0" w:type="auto"/>
            <w:vAlign w:val="center"/>
            <w:hideMark/>
          </w:tcPr>
          <w:p w14:paraId="2584DBE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Alternativa descartada</w:t>
            </w:r>
          </w:p>
        </w:tc>
      </w:tr>
      <w:tr w:rsidR="000444D1" w:rsidRPr="000444D1" w14:paraId="6A5A78DF" w14:textId="77777777">
        <w:trPr>
          <w:tblCellSpacing w:w="15" w:type="dxa"/>
        </w:trPr>
        <w:tc>
          <w:tcPr>
            <w:tcW w:w="0" w:type="auto"/>
            <w:vAlign w:val="center"/>
            <w:hideMark/>
          </w:tcPr>
          <w:p w14:paraId="1584B3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Capa anticorrupción</w:t>
            </w:r>
          </w:p>
        </w:tc>
        <w:tc>
          <w:tcPr>
            <w:tcW w:w="0" w:type="auto"/>
            <w:vAlign w:val="center"/>
            <w:hideMark/>
          </w:tcPr>
          <w:p w14:paraId="1EE3DCA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 (8.2)</w:t>
            </w:r>
          </w:p>
        </w:tc>
        <w:tc>
          <w:tcPr>
            <w:tcW w:w="0" w:type="auto"/>
            <w:vAlign w:val="center"/>
            <w:hideMark/>
          </w:tcPr>
          <w:p w14:paraId="269593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modelo, los códigos y los formatos del sistema legado contaminarían todo el diseño</w:t>
            </w:r>
          </w:p>
        </w:tc>
        <w:tc>
          <w:tcPr>
            <w:tcW w:w="0" w:type="auto"/>
            <w:vAlign w:val="center"/>
            <w:hideMark/>
          </w:tcPr>
          <w:p w14:paraId="534071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Exponer el modelo del core directamente a los servicios de dominio</w:t>
            </w:r>
          </w:p>
        </w:tc>
      </w:tr>
      <w:tr w:rsidR="000444D1" w:rsidRPr="000444D1" w14:paraId="63B41F10" w14:textId="77777777">
        <w:trPr>
          <w:tblCellSpacing w:w="15" w:type="dxa"/>
        </w:trPr>
        <w:tc>
          <w:tcPr>
            <w:tcW w:w="0" w:type="auto"/>
            <w:vAlign w:val="center"/>
            <w:hideMark/>
          </w:tcPr>
          <w:p w14:paraId="2BDBF4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Puertos y adaptadores</w:t>
            </w:r>
          </w:p>
        </w:tc>
        <w:tc>
          <w:tcPr>
            <w:tcW w:w="0" w:type="auto"/>
            <w:vAlign w:val="center"/>
            <w:hideMark/>
          </w:tcPr>
          <w:p w14:paraId="302F80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Interior de D4 (8.1) y de todos los servicios de dominio</w:t>
            </w:r>
          </w:p>
        </w:tc>
        <w:tc>
          <w:tcPr>
            <w:tcW w:w="0" w:type="auto"/>
            <w:vAlign w:val="center"/>
            <w:hideMark/>
          </w:tcPr>
          <w:p w14:paraId="296C20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Acoplar la lógica de negocio al protocolo de cada sistema externo impediría probarla y sustituirlos</w:t>
            </w:r>
          </w:p>
        </w:tc>
        <w:tc>
          <w:tcPr>
            <w:tcW w:w="0" w:type="auto"/>
            <w:vAlign w:val="center"/>
            <w:hideMark/>
          </w:tcPr>
          <w:p w14:paraId="3419FA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Clientes concretos inyectados directamente en los casos de uso</w:t>
            </w:r>
          </w:p>
        </w:tc>
      </w:tr>
      <w:tr w:rsidR="000444D1" w:rsidRPr="000444D1" w14:paraId="3AA23680" w14:textId="77777777">
        <w:trPr>
          <w:tblCellSpacing w:w="15" w:type="dxa"/>
        </w:trPr>
        <w:tc>
          <w:tcPr>
            <w:tcW w:w="0" w:type="auto"/>
            <w:vAlign w:val="center"/>
            <w:hideMark/>
          </w:tcPr>
          <w:p w14:paraId="101887D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Modelo canónico</w:t>
            </w:r>
          </w:p>
        </w:tc>
        <w:tc>
          <w:tcPr>
            <w:tcW w:w="0" w:type="auto"/>
            <w:vAlign w:val="center"/>
            <w:hideMark/>
          </w:tcPr>
          <w:p w14:paraId="181F69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Puertos de 12.5 y mapeador del ACL</w:t>
            </w:r>
          </w:p>
        </w:tc>
        <w:tc>
          <w:tcPr>
            <w:tcW w:w="0" w:type="auto"/>
            <w:vAlign w:val="center"/>
            <w:hideMark/>
          </w:tcPr>
          <w:p w14:paraId="081BF7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 dos cores y varias redes externas, N formatos producirían N×N traducciones</w:t>
            </w:r>
          </w:p>
        </w:tc>
        <w:tc>
          <w:tcPr>
            <w:tcW w:w="0" w:type="auto"/>
            <w:vAlign w:val="center"/>
            <w:hideMark/>
          </w:tcPr>
          <w:p w14:paraId="33F0DE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Traducción directa entre cada par de sistemas</w:t>
            </w:r>
          </w:p>
        </w:tc>
      </w:tr>
      <w:tr w:rsidR="000444D1" w:rsidRPr="000444D1" w14:paraId="0B546507" w14:textId="77777777">
        <w:trPr>
          <w:tblCellSpacing w:w="15" w:type="dxa"/>
        </w:trPr>
        <w:tc>
          <w:tcPr>
            <w:tcW w:w="0" w:type="auto"/>
            <w:vAlign w:val="center"/>
            <w:hideMark/>
          </w:tcPr>
          <w:p w14:paraId="7C1196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Enrutamiento por contenido</w:t>
            </w:r>
          </w:p>
        </w:tc>
        <w:tc>
          <w:tcPr>
            <w:tcW w:w="0" w:type="auto"/>
            <w:vAlign w:val="center"/>
            <w:hideMark/>
          </w:tcPr>
          <w:p w14:paraId="49BA45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Enrutador de core dentro de D4</w:t>
            </w:r>
          </w:p>
        </w:tc>
        <w:tc>
          <w:tcPr>
            <w:tcW w:w="0" w:type="auto"/>
            <w:vAlign w:val="center"/>
            <w:hideMark/>
          </w:tcPr>
          <w:p w14:paraId="09FE09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Determinar cuál de los dos cores atiende cada operación</w:t>
            </w:r>
          </w:p>
        </w:tc>
        <w:tc>
          <w:tcPr>
            <w:tcW w:w="0" w:type="auto"/>
            <w:vAlign w:val="center"/>
            <w:hideMark/>
          </w:tcPr>
          <w:p w14:paraId="71CAC7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Condicionales dispersos en cada servicio que necesite decidirlo</w:t>
            </w:r>
          </w:p>
        </w:tc>
      </w:tr>
      <w:tr w:rsidR="000444D1" w:rsidRPr="000444D1" w14:paraId="48A985D6" w14:textId="77777777">
        <w:trPr>
          <w:tblCellSpacing w:w="15" w:type="dxa"/>
        </w:trPr>
        <w:tc>
          <w:tcPr>
            <w:tcW w:w="0" w:type="auto"/>
            <w:vAlign w:val="center"/>
            <w:hideMark/>
          </w:tcPr>
          <w:p w14:paraId="3FB463D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Publicación y suscripción</w:t>
            </w:r>
          </w:p>
        </w:tc>
        <w:tc>
          <w:tcPr>
            <w:tcW w:w="0" w:type="auto"/>
            <w:vAlign w:val="center"/>
            <w:hideMark/>
          </w:tcPr>
          <w:p w14:paraId="0666B5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2D442E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Cinco consumidores necesitan conocer los mismos hechos sin acoplarse al productor</w:t>
            </w:r>
          </w:p>
        </w:tc>
        <w:tc>
          <w:tcPr>
            <w:tcW w:w="0" w:type="auto"/>
            <w:vAlign w:val="center"/>
            <w:hideMark/>
          </w:tcPr>
          <w:p w14:paraId="2BA735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Invocación directa del productor a cada consumidor</w:t>
            </w:r>
          </w:p>
        </w:tc>
      </w:tr>
      <w:tr w:rsidR="000444D1" w:rsidRPr="000444D1" w14:paraId="012EE886" w14:textId="77777777">
        <w:trPr>
          <w:tblCellSpacing w:w="15" w:type="dxa"/>
        </w:trPr>
        <w:tc>
          <w:tcPr>
            <w:tcW w:w="0" w:type="auto"/>
            <w:vAlign w:val="center"/>
            <w:hideMark/>
          </w:tcPr>
          <w:p w14:paraId="2A8043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Buzón transaccional (outbox)</w:t>
            </w:r>
          </w:p>
        </w:tc>
        <w:tc>
          <w:tcPr>
            <w:tcW w:w="0" w:type="auto"/>
            <w:vAlign w:val="center"/>
            <w:hideMark/>
          </w:tcPr>
          <w:p w14:paraId="159B06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Publicador y despachador en cada productor (8.1)</w:t>
            </w:r>
          </w:p>
        </w:tc>
        <w:tc>
          <w:tcPr>
            <w:tcW w:w="0" w:type="auto"/>
            <w:vAlign w:val="center"/>
            <w:hideMark/>
          </w:tcPr>
          <w:p w14:paraId="77571B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cambio de estado sin su evento asociado, o un evento sin su cambio de estado</w:t>
            </w:r>
          </w:p>
        </w:tc>
        <w:tc>
          <w:tcPr>
            <w:tcW w:w="0" w:type="auto"/>
            <w:vAlign w:val="center"/>
            <w:hideMark/>
          </w:tcPr>
          <w:p w14:paraId="63C114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Publicar al bus dentro de la transacción de negocio, acoplando su latencia y su disponibilidad</w:t>
            </w:r>
          </w:p>
        </w:tc>
      </w:tr>
      <w:tr w:rsidR="000444D1" w:rsidRPr="000444D1" w14:paraId="2A0C4AD7" w14:textId="77777777">
        <w:trPr>
          <w:tblCellSpacing w:w="15" w:type="dxa"/>
        </w:trPr>
        <w:tc>
          <w:tcPr>
            <w:tcW w:w="0" w:type="auto"/>
            <w:vAlign w:val="center"/>
            <w:hideMark/>
          </w:tcPr>
          <w:p w14:paraId="7F9B13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Saga con orquestación</w:t>
            </w:r>
          </w:p>
        </w:tc>
        <w:tc>
          <w:tcPr>
            <w:tcW w:w="0" w:type="auto"/>
            <w:vAlign w:val="center"/>
            <w:hideMark/>
          </w:tcPr>
          <w:p w14:paraId="7B4EBA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Orquestador de D4 (8.1, 9.1)</w:t>
            </w:r>
          </w:p>
        </w:tc>
        <w:tc>
          <w:tcPr>
            <w:tcW w:w="0" w:type="auto"/>
            <w:vAlign w:val="center"/>
            <w:hideMark/>
          </w:tcPr>
          <w:p w14:paraId="1647409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transferencia toca varios sistemas sin transacción distribuida posible</w:t>
            </w:r>
          </w:p>
        </w:tc>
        <w:tc>
          <w:tcPr>
            <w:tcW w:w="0" w:type="auto"/>
            <w:vAlign w:val="center"/>
            <w:hideMark/>
          </w:tcPr>
          <w:p w14:paraId="468652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Coreografía, que dispersaría el estado de la saga y dificultaría la trazabilidad regulatoria</w:t>
            </w:r>
          </w:p>
        </w:tc>
      </w:tr>
      <w:tr w:rsidR="000444D1" w:rsidRPr="000444D1" w14:paraId="32F57BD0" w14:textId="77777777">
        <w:trPr>
          <w:tblCellSpacing w:w="15" w:type="dxa"/>
        </w:trPr>
        <w:tc>
          <w:tcPr>
            <w:tcW w:w="0" w:type="auto"/>
            <w:vAlign w:val="center"/>
            <w:hideMark/>
          </w:tcPr>
          <w:p w14:paraId="349FEB8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Receptor idempotente</w:t>
            </w:r>
          </w:p>
        </w:tc>
        <w:tc>
          <w:tcPr>
            <w:tcW w:w="0" w:type="auto"/>
            <w:vAlign w:val="center"/>
            <w:hideMark/>
          </w:tcPr>
          <w:p w14:paraId="761C6B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Todos los consumidores de eventos; middleware de D4</w:t>
            </w:r>
          </w:p>
        </w:tc>
        <w:tc>
          <w:tcPr>
            <w:tcW w:w="0" w:type="auto"/>
            <w:vAlign w:val="center"/>
            <w:hideMark/>
          </w:tcPr>
          <w:p w14:paraId="3B446C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Entrega al menos una vez y doble reporte del mismo hecho (ADR-004)</w:t>
            </w:r>
          </w:p>
        </w:tc>
        <w:tc>
          <w:tcPr>
            <w:tcW w:w="0" w:type="auto"/>
            <w:vAlign w:val="center"/>
            <w:hideMark/>
          </w:tcPr>
          <w:p w14:paraId="4AF4F8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Confiar en entrega exactamente una vez, inviable de extremo a extremo</w:t>
            </w:r>
          </w:p>
        </w:tc>
      </w:tr>
      <w:tr w:rsidR="000444D1" w:rsidRPr="000444D1" w14:paraId="76E16CBF" w14:textId="77777777">
        <w:trPr>
          <w:tblCellSpacing w:w="15" w:type="dxa"/>
        </w:trPr>
        <w:tc>
          <w:tcPr>
            <w:tcW w:w="0" w:type="auto"/>
            <w:vAlign w:val="center"/>
            <w:hideMark/>
          </w:tcPr>
          <w:p w14:paraId="0E9BA8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Modelo de lectura separado</w:t>
            </w:r>
          </w:p>
        </w:tc>
        <w:tc>
          <w:tcPr>
            <w:tcW w:w="0" w:type="auto"/>
            <w:vAlign w:val="center"/>
            <w:hideMark/>
          </w:tcPr>
          <w:p w14:paraId="0498B9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Posición consolidada</w:t>
            </w:r>
          </w:p>
        </w:tc>
        <w:tc>
          <w:tcPr>
            <w:tcW w:w="0" w:type="auto"/>
            <w:vAlign w:val="center"/>
            <w:hideMark/>
          </w:tcPr>
          <w:p w14:paraId="721C0E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y disponibilidad incompatibles entre canales digitales y core tradicional</w:t>
            </w:r>
          </w:p>
        </w:tc>
        <w:tc>
          <w:tcPr>
            <w:tcW w:w="0" w:type="auto"/>
            <w:vAlign w:val="center"/>
            <w:hideMark/>
          </w:tcPr>
          <w:p w14:paraId="395B19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directa al core en cada lectura</w:t>
            </w:r>
          </w:p>
        </w:tc>
      </w:tr>
      <w:tr w:rsidR="000444D1" w:rsidRPr="000444D1" w14:paraId="568FC6E7" w14:textId="77777777">
        <w:trPr>
          <w:tblCellSpacing w:w="15" w:type="dxa"/>
        </w:trPr>
        <w:tc>
          <w:tcPr>
            <w:tcW w:w="0" w:type="auto"/>
            <w:vAlign w:val="center"/>
            <w:hideMark/>
          </w:tcPr>
          <w:p w14:paraId="4115CB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Captura de cambios (CDC)</w:t>
            </w:r>
          </w:p>
        </w:tc>
        <w:tc>
          <w:tcPr>
            <w:tcW w:w="0" w:type="auto"/>
            <w:vAlign w:val="center"/>
            <w:hideMark/>
          </w:tcPr>
          <w:p w14:paraId="7C263D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CDC del core tradicional</w:t>
            </w:r>
          </w:p>
        </w:tc>
        <w:tc>
          <w:tcPr>
            <w:tcW w:w="0" w:type="auto"/>
            <w:vAlign w:val="center"/>
            <w:hideMark/>
          </w:tcPr>
          <w:p w14:paraId="6215AF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operaciones presenciales y batch serían invisibles al resto del sistema</w:t>
            </w:r>
          </w:p>
        </w:tc>
        <w:tc>
          <w:tcPr>
            <w:tcW w:w="0" w:type="auto"/>
            <w:vAlign w:val="center"/>
            <w:hideMark/>
          </w:tcPr>
          <w:p w14:paraId="74ED81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Sondeo periódico; modificar el core para publicar eventos</w:t>
            </w:r>
          </w:p>
        </w:tc>
      </w:tr>
      <w:tr w:rsidR="000444D1" w:rsidRPr="000444D1" w14:paraId="4A98E23E" w14:textId="77777777">
        <w:trPr>
          <w:tblCellSpacing w:w="15" w:type="dxa"/>
        </w:trPr>
        <w:tc>
          <w:tcPr>
            <w:tcW w:w="0" w:type="auto"/>
            <w:vAlign w:val="center"/>
            <w:hideMark/>
          </w:tcPr>
          <w:p w14:paraId="64CE6D1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Canal de mensajes fallidos</w:t>
            </w:r>
          </w:p>
        </w:tc>
        <w:tc>
          <w:tcPr>
            <w:tcW w:w="0" w:type="auto"/>
            <w:vAlign w:val="center"/>
            <w:hideMark/>
          </w:tcPr>
          <w:p w14:paraId="5E3C48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DLQ por consumidor y tipo (12.8)</w:t>
            </w:r>
          </w:p>
        </w:tc>
        <w:tc>
          <w:tcPr>
            <w:tcW w:w="0" w:type="auto"/>
            <w:vAlign w:val="center"/>
            <w:hideMark/>
          </w:tcPr>
          <w:p w14:paraId="49B535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mensaje defectuoso detendría el procesamiento de su partición</w:t>
            </w:r>
          </w:p>
        </w:tc>
        <w:tc>
          <w:tcPr>
            <w:tcW w:w="0" w:type="auto"/>
            <w:vAlign w:val="center"/>
            <w:hideMark/>
          </w:tcPr>
          <w:p w14:paraId="47D17C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Reintento indefinido, o descarte silencioso</w:t>
            </w:r>
          </w:p>
        </w:tc>
      </w:tr>
      <w:tr w:rsidR="000444D1" w:rsidRPr="000444D1" w14:paraId="104B7B12" w14:textId="77777777">
        <w:trPr>
          <w:tblCellSpacing w:w="15" w:type="dxa"/>
        </w:trPr>
        <w:tc>
          <w:tcPr>
            <w:tcW w:w="0" w:type="auto"/>
            <w:vAlign w:val="center"/>
            <w:hideMark/>
          </w:tcPr>
          <w:p w14:paraId="662C3E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Consumidores en competencia</w:t>
            </w:r>
          </w:p>
        </w:tc>
        <w:tc>
          <w:tcPr>
            <w:tcW w:w="0" w:type="auto"/>
            <w:vAlign w:val="center"/>
            <w:hideMark/>
          </w:tcPr>
          <w:p w14:paraId="4A6427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Consumidores del bus, escalados por partición</w:t>
            </w:r>
          </w:p>
        </w:tc>
        <w:tc>
          <w:tcPr>
            <w:tcW w:w="0" w:type="auto"/>
            <w:vAlign w:val="center"/>
            <w:hideMark/>
          </w:tcPr>
          <w:p w14:paraId="7F4596C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Absorber picos estacionales de ×4 sin perder orden por cliente</w:t>
            </w:r>
          </w:p>
        </w:tc>
        <w:tc>
          <w:tcPr>
            <w:tcW w:w="0" w:type="auto"/>
            <w:vAlign w:val="center"/>
            <w:hideMark/>
          </w:tcPr>
          <w:p w14:paraId="2BB66B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 único, que limitaría el rendimiento al de un proceso</w:t>
            </w:r>
          </w:p>
        </w:tc>
      </w:tr>
      <w:tr w:rsidR="000444D1" w:rsidRPr="000444D1" w14:paraId="6BC10F77" w14:textId="77777777">
        <w:trPr>
          <w:tblCellSpacing w:w="15" w:type="dxa"/>
        </w:trPr>
        <w:tc>
          <w:tcPr>
            <w:tcW w:w="0" w:type="auto"/>
            <w:vAlign w:val="center"/>
            <w:hideMark/>
          </w:tcPr>
          <w:p w14:paraId="3ABD1F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Cortocircuito, límite de tiempo y compartimentación</w:t>
            </w:r>
          </w:p>
        </w:tc>
        <w:tc>
          <w:tcPr>
            <w:tcW w:w="0" w:type="auto"/>
            <w:vAlign w:val="center"/>
            <w:hideMark/>
          </w:tcPr>
          <w:p w14:paraId="047CD96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Cliente de fraude, enrutador de core, ACL (15.4)</w:t>
            </w:r>
          </w:p>
        </w:tc>
        <w:tc>
          <w:tcPr>
            <w:tcW w:w="0" w:type="auto"/>
            <w:vAlign w:val="center"/>
            <w:hideMark/>
          </w:tcPr>
          <w:p w14:paraId="44ABFB2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sistema lento se propaga como una caída y agota los recursos del llamante</w:t>
            </w:r>
          </w:p>
        </w:tc>
        <w:tc>
          <w:tcPr>
            <w:tcW w:w="0" w:type="auto"/>
            <w:vAlign w:val="center"/>
            <w:hideMark/>
          </w:tcPr>
          <w:p w14:paraId="14CF32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Reintento simple sin límite de tiempo</w:t>
            </w:r>
          </w:p>
        </w:tc>
      </w:tr>
      <w:tr w:rsidR="000444D1" w:rsidRPr="000444D1" w14:paraId="01E318C5" w14:textId="77777777">
        <w:trPr>
          <w:tblCellSpacing w:w="15" w:type="dxa"/>
        </w:trPr>
        <w:tc>
          <w:tcPr>
            <w:tcW w:w="0" w:type="auto"/>
            <w:vAlign w:val="center"/>
            <w:hideMark/>
          </w:tcPr>
          <w:p w14:paraId="687B3F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Puerta de enlace de API</w:t>
            </w:r>
          </w:p>
        </w:tc>
        <w:tc>
          <w:tcPr>
            <w:tcW w:w="0" w:type="auto"/>
            <w:vAlign w:val="center"/>
            <w:hideMark/>
          </w:tcPr>
          <w:p w14:paraId="5B322C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Gateways interno y externo (7.2)</w:t>
            </w:r>
          </w:p>
        </w:tc>
        <w:tc>
          <w:tcPr>
            <w:tcW w:w="0" w:type="auto"/>
            <w:vAlign w:val="center"/>
            <w:hideMark/>
          </w:tcPr>
          <w:p w14:paraId="2ED2F4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Concentrar autenticación, cuotas y transformación de protocolo sin duplicarlas en cada servicio</w:t>
            </w:r>
          </w:p>
        </w:tc>
        <w:tc>
          <w:tcPr>
            <w:tcW w:w="0" w:type="auto"/>
            <w:vAlign w:val="center"/>
            <w:hideMark/>
          </w:tcPr>
          <w:p w14:paraId="6DF8EE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Que cada servicio resuelva su propia seguridad de borde</w:t>
            </w:r>
          </w:p>
        </w:tc>
      </w:tr>
      <w:tr w:rsidR="000444D1" w:rsidRPr="000444D1" w14:paraId="7C7EF06E" w14:textId="77777777">
        <w:trPr>
          <w:tblCellSpacing w:w="15" w:type="dxa"/>
        </w:trPr>
        <w:tc>
          <w:tcPr>
            <w:tcW w:w="0" w:type="auto"/>
            <w:vAlign w:val="center"/>
            <w:hideMark/>
          </w:tcPr>
          <w:p w14:paraId="0039F6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Fachada por canal (BFF)</w:t>
            </w:r>
          </w:p>
        </w:tc>
        <w:tc>
          <w:tcPr>
            <w:tcW w:w="0" w:type="auto"/>
            <w:vAlign w:val="center"/>
            <w:hideMark/>
          </w:tcPr>
          <w:p w14:paraId="4ABB7A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 móvil y web (7.3)</w:t>
            </w:r>
          </w:p>
        </w:tc>
        <w:tc>
          <w:tcPr>
            <w:tcW w:w="0" w:type="auto"/>
            <w:vAlign w:val="center"/>
            <w:hideMark/>
          </w:tcPr>
          <w:p w14:paraId="156474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Canales con necesidades de composición distintas sobre una API única y sobrecargada</w:t>
            </w:r>
          </w:p>
        </w:tc>
        <w:tc>
          <w:tcPr>
            <w:tcW w:w="0" w:type="auto"/>
            <w:vAlign w:val="center"/>
            <w:hideMark/>
          </w:tcPr>
          <w:p w14:paraId="49CA99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general que obligue a todos los consumidores a conocer el modelo completo</w:t>
            </w:r>
          </w:p>
        </w:tc>
      </w:tr>
      <w:tr w:rsidR="000444D1" w:rsidRPr="000444D1" w14:paraId="733671F8" w14:textId="77777777">
        <w:trPr>
          <w:tblCellSpacing w:w="15" w:type="dxa"/>
        </w:trPr>
        <w:tc>
          <w:tcPr>
            <w:tcW w:w="0" w:type="auto"/>
            <w:vAlign w:val="center"/>
            <w:hideMark/>
          </w:tcPr>
          <w:p w14:paraId="2CDAB1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Estrangulamiento progresivo</w:t>
            </w:r>
          </w:p>
        </w:tc>
        <w:tc>
          <w:tcPr>
            <w:tcW w:w="0" w:type="auto"/>
            <w:vAlign w:val="center"/>
            <w:hideMark/>
          </w:tcPr>
          <w:p w14:paraId="5CC6708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Plan de migración (sección 17)</w:t>
            </w:r>
          </w:p>
        </w:tc>
        <w:tc>
          <w:tcPr>
            <w:tcW w:w="0" w:type="auto"/>
            <w:vAlign w:val="center"/>
            <w:hideMark/>
          </w:tcPr>
          <w:p w14:paraId="43D79E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Sustituir un sistema en producción sin un evento de conmutación total</w:t>
            </w:r>
          </w:p>
        </w:tc>
        <w:tc>
          <w:tcPr>
            <w:tcW w:w="0" w:type="auto"/>
            <w:vAlign w:val="center"/>
            <w:hideMark/>
          </w:tcPr>
          <w:p w14:paraId="41F1C5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Migración completa en una única ventana</w:t>
            </w:r>
          </w:p>
        </w:tc>
      </w:tr>
      <w:tr w:rsidR="000444D1" w:rsidRPr="000444D1" w14:paraId="68869049" w14:textId="77777777">
        <w:trPr>
          <w:tblCellSpacing w:w="15" w:type="dxa"/>
        </w:trPr>
        <w:tc>
          <w:tcPr>
            <w:tcW w:w="0" w:type="auto"/>
            <w:vAlign w:val="center"/>
            <w:hideMark/>
          </w:tcPr>
          <w:p w14:paraId="0ABF2C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Traductor de mensajes</w:t>
            </w:r>
          </w:p>
        </w:tc>
        <w:tc>
          <w:tcPr>
            <w:tcW w:w="0" w:type="auto"/>
            <w:vAlign w:val="center"/>
            <w:hideMark/>
          </w:tcPr>
          <w:p w14:paraId="6326C2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Adaptador de redes de pago</w:t>
            </w:r>
          </w:p>
        </w:tc>
        <w:tc>
          <w:tcPr>
            <w:tcW w:w="0" w:type="auto"/>
            <w:vAlign w:val="center"/>
            <w:hideMark/>
          </w:tcPr>
          <w:p w14:paraId="60FF0A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Interoperar con redes externas que exigen ISO 20022 sin imponer ese formato al interior</w:t>
            </w:r>
          </w:p>
        </w:tc>
        <w:tc>
          <w:tcPr>
            <w:tcW w:w="0" w:type="auto"/>
            <w:vAlign w:val="center"/>
            <w:hideMark/>
          </w:tcPr>
          <w:p w14:paraId="334B3D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Adoptar ISO 20022 como modelo canónico interno</w:t>
            </w:r>
          </w:p>
        </w:tc>
      </w:tr>
    </w:tbl>
    <w:p w14:paraId="0D5A36D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10.3 Patrones considerados y descartados</w:t>
      </w:r>
    </w:p>
    <w:p w14:paraId="58F65BF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Enumerar lo que no se usó y por qué es tan informativo como enumerar lo aplicado, y evita que el lector suponga un olvido donde hubo una decisión.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6726"/>
      </w:tblGrid>
      <w:tr w:rsidR="000444D1" w:rsidRPr="000444D1" w14:paraId="37BE8807" w14:textId="77777777">
        <w:trPr>
          <w:tblHeader/>
          <w:tblCellSpacing w:w="15" w:type="dxa"/>
        </w:trPr>
        <w:tc>
          <w:tcPr>
            <w:tcW w:w="0" w:type="auto"/>
            <w:vAlign w:val="center"/>
            <w:hideMark/>
          </w:tcPr>
          <w:p w14:paraId="7E32598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Patrón</w:t>
            </w:r>
          </w:p>
        </w:tc>
        <w:tc>
          <w:tcPr>
            <w:tcW w:w="0" w:type="auto"/>
            <w:vAlign w:val="center"/>
            <w:hideMark/>
          </w:tcPr>
          <w:p w14:paraId="6CA2AC7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 del descarte</w:t>
            </w:r>
          </w:p>
        </w:tc>
      </w:tr>
      <w:tr w:rsidR="000444D1" w:rsidRPr="000444D1" w14:paraId="0401D3A0" w14:textId="77777777">
        <w:trPr>
          <w:tblCellSpacing w:w="15" w:type="dxa"/>
        </w:trPr>
        <w:tc>
          <w:tcPr>
            <w:tcW w:w="0" w:type="auto"/>
            <w:vAlign w:val="center"/>
            <w:hideMark/>
          </w:tcPr>
          <w:p w14:paraId="23753C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Aprovisionamiento de eventos (Event Sourcing)</w:t>
            </w:r>
          </w:p>
        </w:tc>
        <w:tc>
          <w:tcPr>
            <w:tcW w:w="0" w:type="auto"/>
            <w:vAlign w:val="center"/>
            <w:hideMark/>
          </w:tcPr>
          <w:p w14:paraId="63A675C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requisito que lo motivaría —trazabilidad regulatoria— se satisface con el registro inmutable de D8, a un costo operativo y de curva de aprendizaje mucho menor. Adoptarlo obligaría además a resolver la reconstrucción de estado en un contexto donde el system of record sigue siendo el core</w:t>
            </w:r>
          </w:p>
        </w:tc>
      </w:tr>
      <w:tr w:rsidR="000444D1" w:rsidRPr="000444D1" w14:paraId="40DBCFD0" w14:textId="77777777">
        <w:trPr>
          <w:tblCellSpacing w:w="15" w:type="dxa"/>
        </w:trPr>
        <w:tc>
          <w:tcPr>
            <w:tcW w:w="0" w:type="auto"/>
            <w:vAlign w:val="center"/>
            <w:hideMark/>
          </w:tcPr>
          <w:p w14:paraId="552063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CQRS completo con modelo de escritura separado</w:t>
            </w:r>
          </w:p>
        </w:tc>
        <w:tc>
          <w:tcPr>
            <w:tcW w:w="0" w:type="auto"/>
            <w:vAlign w:val="center"/>
            <w:hideMark/>
          </w:tcPr>
          <w:p w14:paraId="569C2F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adopta únicamente el modelo de lectura (D3), donde hay una asimetría real entre lectura y escritura. Extenderlo a dominios sin esa asimetría, como consentimientos o entitlements, añadiría complejidad sin beneficio</w:t>
            </w:r>
          </w:p>
        </w:tc>
      </w:tr>
      <w:tr w:rsidR="000444D1" w:rsidRPr="000444D1" w14:paraId="5D61E7C5" w14:textId="77777777">
        <w:trPr>
          <w:tblCellSpacing w:w="15" w:type="dxa"/>
        </w:trPr>
        <w:tc>
          <w:tcPr>
            <w:tcW w:w="0" w:type="auto"/>
            <w:vAlign w:val="center"/>
            <w:hideMark/>
          </w:tcPr>
          <w:p w14:paraId="4BC02B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Transacción distribuida (2PC / XA)</w:t>
            </w:r>
          </w:p>
        </w:tc>
        <w:tc>
          <w:tcPr>
            <w:tcW w:w="0" w:type="auto"/>
            <w:vAlign w:val="center"/>
            <w:hideMark/>
          </w:tcPr>
          <w:p w14:paraId="264C6F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Acoplamiento temporal inaceptable y ausencia de un coordinador viable con el core tradicional (ADR-003)</w:t>
            </w:r>
          </w:p>
        </w:tc>
      </w:tr>
      <w:tr w:rsidR="000444D1" w:rsidRPr="000444D1" w14:paraId="6F3C56A3" w14:textId="77777777">
        <w:trPr>
          <w:tblCellSpacing w:w="15" w:type="dxa"/>
        </w:trPr>
        <w:tc>
          <w:tcPr>
            <w:tcW w:w="0" w:type="auto"/>
            <w:vAlign w:val="center"/>
            <w:hideMark/>
          </w:tcPr>
          <w:p w14:paraId="10054A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Bus de servicios con lógica de negocio</w:t>
            </w:r>
          </w:p>
        </w:tc>
        <w:tc>
          <w:tcPr>
            <w:tcW w:w="0" w:type="auto"/>
            <w:vAlign w:val="center"/>
            <w:hideMark/>
          </w:tcPr>
          <w:p w14:paraId="360169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Concentraría reglas de dominio en la capa de integración, reproduciendo el monolito que el programa busca desmontar. La mediación transporta y traduce; no decide</w:t>
            </w:r>
          </w:p>
        </w:tc>
      </w:tr>
      <w:tr w:rsidR="000444D1" w:rsidRPr="000444D1" w14:paraId="4732D453" w14:textId="77777777">
        <w:trPr>
          <w:tblCellSpacing w:w="15" w:type="dxa"/>
        </w:trPr>
        <w:tc>
          <w:tcPr>
            <w:tcW w:w="0" w:type="auto"/>
            <w:vAlign w:val="center"/>
            <w:hideMark/>
          </w:tcPr>
          <w:p w14:paraId="78D49F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Base de datos compartida entre servicios</w:t>
            </w:r>
          </w:p>
        </w:tc>
        <w:tc>
          <w:tcPr>
            <w:tcW w:w="0" w:type="auto"/>
            <w:vAlign w:val="center"/>
            <w:hideMark/>
          </w:tcPr>
          <w:p w14:paraId="0FF50E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Elimina la propiedad del dato y convierte cualquier cambio de esquema en una coordinación entre equipos</w:t>
            </w:r>
          </w:p>
        </w:tc>
      </w:tr>
      <w:tr w:rsidR="000444D1" w:rsidRPr="000444D1" w14:paraId="5FDE919A" w14:textId="77777777">
        <w:trPr>
          <w:tblCellSpacing w:w="15" w:type="dxa"/>
        </w:trPr>
        <w:tc>
          <w:tcPr>
            <w:tcW w:w="0" w:type="auto"/>
            <w:vAlign w:val="center"/>
            <w:hideMark/>
          </w:tcPr>
          <w:p w14:paraId="040856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Un microservicio por entidad</w:t>
            </w:r>
          </w:p>
        </w:tc>
        <w:tc>
          <w:tcPr>
            <w:tcW w:w="0" w:type="auto"/>
            <w:vAlign w:val="center"/>
            <w:hideMark/>
          </w:tcPr>
          <w:p w14:paraId="4ED86D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Produciría servicios sin responsabilidad de negocio identificable. El criterio de corte es el dominio con dato propio (5.4), no la entidad</w:t>
            </w:r>
          </w:p>
        </w:tc>
      </w:tr>
      <w:tr w:rsidR="000444D1" w:rsidRPr="000444D1" w14:paraId="75B4A824" w14:textId="77777777">
        <w:trPr>
          <w:tblCellSpacing w:w="15" w:type="dxa"/>
        </w:trPr>
        <w:tc>
          <w:tcPr>
            <w:tcW w:w="0" w:type="auto"/>
            <w:vAlign w:val="center"/>
            <w:hideMark/>
          </w:tcPr>
          <w:p w14:paraId="7884B7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Multirregión activo-activo</w:t>
            </w:r>
          </w:p>
        </w:tc>
        <w:tc>
          <w:tcPr>
            <w:tcW w:w="0" w:type="auto"/>
            <w:vAlign w:val="center"/>
            <w:hideMark/>
          </w:tcPr>
          <w:p w14:paraId="167731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Complejidad de coordinación desproporcionada frente a un objetivo de 99,95 % que el modelo multizona ya satisface, y que no eliminaría la dependencia del centro de datos donde reside el core (15.2)</w:t>
            </w:r>
          </w:p>
        </w:tc>
      </w:tr>
      <w:tr w:rsidR="000444D1" w:rsidRPr="000444D1" w14:paraId="07342D8A" w14:textId="77777777">
        <w:trPr>
          <w:tblCellSpacing w:w="15" w:type="dxa"/>
        </w:trPr>
        <w:tc>
          <w:tcPr>
            <w:tcW w:w="0" w:type="auto"/>
            <w:vAlign w:val="center"/>
            <w:hideMark/>
          </w:tcPr>
          <w:p w14:paraId="2EA356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Escritura doble durante la migración</w:t>
            </w:r>
          </w:p>
        </w:tc>
        <w:tc>
          <w:tcPr>
            <w:tcW w:w="0" w:type="auto"/>
            <w:vAlign w:val="center"/>
            <w:hideMark/>
          </w:tcPr>
          <w:p w14:paraId="4B3D3C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Mantener dos cores como fuente de verdad simultánea del mismo saldo introduce divergencia sin mecanismo fiable de resolución. El plan lo evita con los modos de transición de 17.2</w:t>
            </w:r>
          </w:p>
        </w:tc>
      </w:tr>
    </w:tbl>
    <w:p w14:paraId="77C3B09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10.4 Capacidades técnicas y su concreción</w:t>
      </w:r>
    </w:p>
    <w:p w14:paraId="295995A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arquitectura se expresa en capacidades genéricas. La tabla las asocia a productos concretos y declara qué tan sustituible es cada elección, de modo que la dependencia de proveedor sea una decisión medida y no una condición heredada.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2049"/>
        <w:gridCol w:w="1882"/>
        <w:gridCol w:w="1888"/>
        <w:gridCol w:w="1771"/>
      </w:tblGrid>
      <w:tr w:rsidR="000444D1" w:rsidRPr="000444D1" w14:paraId="01A96646" w14:textId="77777777">
        <w:trPr>
          <w:tblHeader/>
          <w:tblCellSpacing w:w="15" w:type="dxa"/>
        </w:trPr>
        <w:tc>
          <w:tcPr>
            <w:tcW w:w="0" w:type="auto"/>
            <w:vAlign w:val="center"/>
            <w:hideMark/>
          </w:tcPr>
          <w:p w14:paraId="6CCFD00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Capacidad</w:t>
            </w:r>
          </w:p>
        </w:tc>
        <w:tc>
          <w:tcPr>
            <w:tcW w:w="0" w:type="auto"/>
            <w:vAlign w:val="center"/>
            <w:hideMark/>
          </w:tcPr>
          <w:p w14:paraId="7B6BC57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Opción de referencia</w:t>
            </w:r>
          </w:p>
        </w:tc>
        <w:tc>
          <w:tcPr>
            <w:tcW w:w="0" w:type="auto"/>
            <w:vAlign w:val="center"/>
            <w:hideMark/>
          </w:tcPr>
          <w:p w14:paraId="7083B09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Equivalente</w:t>
            </w:r>
          </w:p>
        </w:tc>
        <w:tc>
          <w:tcPr>
            <w:tcW w:w="0" w:type="auto"/>
            <w:vAlign w:val="center"/>
            <w:hideMark/>
          </w:tcPr>
          <w:p w14:paraId="071B420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Sustituibilidad</w:t>
            </w:r>
          </w:p>
        </w:tc>
        <w:tc>
          <w:tcPr>
            <w:tcW w:w="0" w:type="auto"/>
            <w:vAlign w:val="center"/>
            <w:hideMark/>
          </w:tcPr>
          <w:p w14:paraId="3BC14CB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Elemento acoplado</w:t>
            </w:r>
          </w:p>
        </w:tc>
      </w:tr>
      <w:tr w:rsidR="000444D1" w:rsidRPr="000444D1" w14:paraId="1C278147" w14:textId="77777777">
        <w:trPr>
          <w:tblCellSpacing w:w="15" w:type="dxa"/>
        </w:trPr>
        <w:tc>
          <w:tcPr>
            <w:tcW w:w="0" w:type="auto"/>
            <w:vAlign w:val="center"/>
            <w:hideMark/>
          </w:tcPr>
          <w:p w14:paraId="5AC531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Gestión y exposición de APIs</w:t>
            </w:r>
          </w:p>
        </w:tc>
        <w:tc>
          <w:tcPr>
            <w:tcW w:w="0" w:type="auto"/>
            <w:vAlign w:val="center"/>
            <w:hideMark/>
          </w:tcPr>
          <w:p w14:paraId="5A1132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Azure API Management</w:t>
            </w:r>
          </w:p>
        </w:tc>
        <w:tc>
          <w:tcPr>
            <w:tcW w:w="0" w:type="auto"/>
            <w:vAlign w:val="center"/>
            <w:hideMark/>
          </w:tcPr>
          <w:p w14:paraId="60D377B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Amazon API Gateway</w:t>
            </w:r>
          </w:p>
        </w:tc>
        <w:tc>
          <w:tcPr>
            <w:tcW w:w="0" w:type="auto"/>
            <w:vAlign w:val="center"/>
            <w:hideMark/>
          </w:tcPr>
          <w:p w14:paraId="2BA55E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p>
        </w:tc>
        <w:tc>
          <w:tcPr>
            <w:tcW w:w="0" w:type="auto"/>
            <w:vAlign w:val="center"/>
            <w:hideMark/>
          </w:tcPr>
          <w:p w14:paraId="022D3A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Definiciones OpenAPI, portables</w:t>
            </w:r>
          </w:p>
        </w:tc>
      </w:tr>
      <w:tr w:rsidR="000444D1" w:rsidRPr="000444D1" w14:paraId="123B9FF5" w14:textId="77777777">
        <w:trPr>
          <w:tblCellSpacing w:w="15" w:type="dxa"/>
        </w:trPr>
        <w:tc>
          <w:tcPr>
            <w:tcW w:w="0" w:type="auto"/>
            <w:vAlign w:val="center"/>
            <w:hideMark/>
          </w:tcPr>
          <w:p w14:paraId="329749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 con particiones</w:t>
            </w:r>
          </w:p>
        </w:tc>
        <w:tc>
          <w:tcPr>
            <w:tcW w:w="0" w:type="auto"/>
            <w:vAlign w:val="center"/>
            <w:hideMark/>
          </w:tcPr>
          <w:p w14:paraId="70DF1F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Azure Event Hubs</w:t>
            </w:r>
          </w:p>
        </w:tc>
        <w:tc>
          <w:tcPr>
            <w:tcW w:w="0" w:type="auto"/>
            <w:vAlign w:val="center"/>
            <w:hideMark/>
          </w:tcPr>
          <w:p w14:paraId="3ACE67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Amazon MSK / Kinesis</w:t>
            </w:r>
          </w:p>
        </w:tc>
        <w:tc>
          <w:tcPr>
            <w:tcW w:w="0" w:type="auto"/>
            <w:vAlign w:val="center"/>
            <w:hideMark/>
          </w:tcPr>
          <w:p w14:paraId="1B728E0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r w:rsidRPr="000444D1">
              <w:rPr>
                <w:rFonts w:ascii="Times New Roman" w:eastAsia="Times New Roman" w:hAnsi="Times New Roman" w:cs="Times New Roman"/>
                <w:kern w:val="0"/>
                <w14:ligatures w14:val="none"/>
              </w:rPr>
              <w:t xml:space="preserve"> si se usa la interfaz de Kafka</w:t>
            </w:r>
          </w:p>
        </w:tc>
        <w:tc>
          <w:tcPr>
            <w:tcW w:w="0" w:type="auto"/>
            <w:vAlign w:val="center"/>
            <w:hideMark/>
          </w:tcPr>
          <w:p w14:paraId="14BF84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Configuración de particionado</w:t>
            </w:r>
          </w:p>
        </w:tc>
      </w:tr>
      <w:tr w:rsidR="000444D1" w:rsidRPr="000444D1" w14:paraId="3B563286" w14:textId="77777777">
        <w:trPr>
          <w:tblCellSpacing w:w="15" w:type="dxa"/>
        </w:trPr>
        <w:tc>
          <w:tcPr>
            <w:tcW w:w="0" w:type="auto"/>
            <w:vAlign w:val="center"/>
            <w:hideMark/>
          </w:tcPr>
          <w:p w14:paraId="14742A8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Orquestación de contenedores</w:t>
            </w:r>
          </w:p>
        </w:tc>
        <w:tc>
          <w:tcPr>
            <w:tcW w:w="0" w:type="auto"/>
            <w:vAlign w:val="center"/>
            <w:hideMark/>
          </w:tcPr>
          <w:p w14:paraId="47917E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Azure Kubernetes Service</w:t>
            </w:r>
          </w:p>
        </w:tc>
        <w:tc>
          <w:tcPr>
            <w:tcW w:w="0" w:type="auto"/>
            <w:vAlign w:val="center"/>
            <w:hideMark/>
          </w:tcPr>
          <w:p w14:paraId="33AAEF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Amazon EKS</w:t>
            </w:r>
          </w:p>
        </w:tc>
        <w:tc>
          <w:tcPr>
            <w:tcW w:w="0" w:type="auto"/>
            <w:vAlign w:val="center"/>
            <w:hideMark/>
          </w:tcPr>
          <w:p w14:paraId="3FBAFF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p>
        </w:tc>
        <w:tc>
          <w:tcPr>
            <w:tcW w:w="0" w:type="auto"/>
            <w:vAlign w:val="center"/>
            <w:hideMark/>
          </w:tcPr>
          <w:p w14:paraId="03D91D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Manifiestos estándar</w:t>
            </w:r>
          </w:p>
        </w:tc>
      </w:tr>
      <w:tr w:rsidR="000444D1" w:rsidRPr="000444D1" w14:paraId="4FDF03F5" w14:textId="77777777">
        <w:trPr>
          <w:tblCellSpacing w:w="15" w:type="dxa"/>
        </w:trPr>
        <w:tc>
          <w:tcPr>
            <w:tcW w:w="0" w:type="auto"/>
            <w:vAlign w:val="center"/>
            <w:hideMark/>
          </w:tcPr>
          <w:p w14:paraId="74DD23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Proveedor de identidad</w:t>
            </w:r>
          </w:p>
        </w:tc>
        <w:tc>
          <w:tcPr>
            <w:tcW w:w="0" w:type="auto"/>
            <w:vAlign w:val="center"/>
            <w:hideMark/>
          </w:tcPr>
          <w:p w14:paraId="629D85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Microsoft Entra ID</w:t>
            </w:r>
          </w:p>
        </w:tc>
        <w:tc>
          <w:tcPr>
            <w:tcW w:w="0" w:type="auto"/>
            <w:vAlign w:val="center"/>
            <w:hideMark/>
          </w:tcPr>
          <w:p w14:paraId="501724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Amazon Cognito + IdP</w:t>
            </w:r>
          </w:p>
        </w:tc>
        <w:tc>
          <w:tcPr>
            <w:tcW w:w="0" w:type="auto"/>
            <w:vAlign w:val="center"/>
            <w:hideMark/>
          </w:tcPr>
          <w:p w14:paraId="22E94B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Media</w:t>
            </w:r>
          </w:p>
        </w:tc>
        <w:tc>
          <w:tcPr>
            <w:tcW w:w="0" w:type="auto"/>
            <w:vAlign w:val="center"/>
            <w:hideMark/>
          </w:tcPr>
          <w:p w14:paraId="6AF18DE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Configuración de perfiles FAPI</w:t>
            </w:r>
          </w:p>
        </w:tc>
      </w:tr>
      <w:tr w:rsidR="000444D1" w:rsidRPr="000444D1" w14:paraId="7719504E" w14:textId="77777777">
        <w:trPr>
          <w:tblCellSpacing w:w="15" w:type="dxa"/>
        </w:trPr>
        <w:tc>
          <w:tcPr>
            <w:tcW w:w="0" w:type="auto"/>
            <w:vAlign w:val="center"/>
            <w:hideMark/>
          </w:tcPr>
          <w:p w14:paraId="39A7AA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Almacén relacional de dominio</w:t>
            </w:r>
          </w:p>
        </w:tc>
        <w:tc>
          <w:tcPr>
            <w:tcW w:w="0" w:type="auto"/>
            <w:vAlign w:val="center"/>
            <w:hideMark/>
          </w:tcPr>
          <w:p w14:paraId="704C16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Azure SQL / PostgreSQL</w:t>
            </w:r>
          </w:p>
        </w:tc>
        <w:tc>
          <w:tcPr>
            <w:tcW w:w="0" w:type="auto"/>
            <w:vAlign w:val="center"/>
            <w:hideMark/>
          </w:tcPr>
          <w:p w14:paraId="31FD85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Amazon RDS</w:t>
            </w:r>
          </w:p>
        </w:tc>
        <w:tc>
          <w:tcPr>
            <w:tcW w:w="0" w:type="auto"/>
            <w:vAlign w:val="center"/>
            <w:hideMark/>
          </w:tcPr>
          <w:p w14:paraId="65F02A9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r w:rsidRPr="000444D1">
              <w:rPr>
                <w:rFonts w:ascii="Times New Roman" w:eastAsia="Times New Roman" w:hAnsi="Times New Roman" w:cs="Times New Roman"/>
                <w:kern w:val="0"/>
                <w14:ligatures w14:val="none"/>
              </w:rPr>
              <w:t xml:space="preserve"> con PostgreSQL</w:t>
            </w:r>
          </w:p>
        </w:tc>
        <w:tc>
          <w:tcPr>
            <w:tcW w:w="0" w:type="auto"/>
            <w:vAlign w:val="center"/>
            <w:hideMark/>
          </w:tcPr>
          <w:p w14:paraId="499F15E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Esquemas propios</w:t>
            </w:r>
          </w:p>
        </w:tc>
      </w:tr>
      <w:tr w:rsidR="000444D1" w:rsidRPr="000444D1" w14:paraId="72D7519B" w14:textId="77777777">
        <w:trPr>
          <w:tblCellSpacing w:w="15" w:type="dxa"/>
        </w:trPr>
        <w:tc>
          <w:tcPr>
            <w:tcW w:w="0" w:type="auto"/>
            <w:vAlign w:val="center"/>
            <w:hideMark/>
          </w:tcPr>
          <w:p w14:paraId="212AC26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Almacén de la proyección</w:t>
            </w:r>
          </w:p>
        </w:tc>
        <w:tc>
          <w:tcPr>
            <w:tcW w:w="0" w:type="auto"/>
            <w:vAlign w:val="center"/>
            <w:hideMark/>
          </w:tcPr>
          <w:p w14:paraId="00711C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Azure Cosmos DB o PostgreSQL</w:t>
            </w:r>
          </w:p>
        </w:tc>
        <w:tc>
          <w:tcPr>
            <w:tcW w:w="0" w:type="auto"/>
            <w:vAlign w:val="center"/>
            <w:hideMark/>
          </w:tcPr>
          <w:p w14:paraId="0E61F2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DynamoDB o RDS</w:t>
            </w:r>
          </w:p>
        </w:tc>
        <w:tc>
          <w:tcPr>
            <w:tcW w:w="0" w:type="auto"/>
            <w:vAlign w:val="center"/>
            <w:hideMark/>
          </w:tcPr>
          <w:p w14:paraId="5EA0A3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r w:rsidRPr="000444D1">
              <w:rPr>
                <w:rFonts w:ascii="Times New Roman" w:eastAsia="Times New Roman" w:hAnsi="Times New Roman" w:cs="Times New Roman"/>
                <w:kern w:val="0"/>
                <w14:ligatures w14:val="none"/>
              </w:rPr>
              <w:t>: la proyección es reconstruible</w:t>
            </w:r>
          </w:p>
        </w:tc>
        <w:tc>
          <w:tcPr>
            <w:tcW w:w="0" w:type="auto"/>
            <w:vAlign w:val="center"/>
            <w:hideMark/>
          </w:tcPr>
          <w:p w14:paraId="53A819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Ninguno crítico</w:t>
            </w:r>
          </w:p>
        </w:tc>
      </w:tr>
      <w:tr w:rsidR="000444D1" w:rsidRPr="000444D1" w14:paraId="37F20601" w14:textId="77777777">
        <w:trPr>
          <w:tblCellSpacing w:w="15" w:type="dxa"/>
        </w:trPr>
        <w:tc>
          <w:tcPr>
            <w:tcW w:w="0" w:type="auto"/>
            <w:vAlign w:val="center"/>
            <w:hideMark/>
          </w:tcPr>
          <w:p w14:paraId="4962A7B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inmutable</w:t>
            </w:r>
          </w:p>
        </w:tc>
        <w:tc>
          <w:tcPr>
            <w:tcW w:w="0" w:type="auto"/>
            <w:vAlign w:val="center"/>
            <w:hideMark/>
          </w:tcPr>
          <w:p w14:paraId="68C9BD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Almacenamiento con retención inmutable</w:t>
            </w:r>
          </w:p>
        </w:tc>
        <w:tc>
          <w:tcPr>
            <w:tcW w:w="0" w:type="auto"/>
            <w:vAlign w:val="center"/>
            <w:hideMark/>
          </w:tcPr>
          <w:p w14:paraId="1E8607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Amazon S3 Object Lock</w:t>
            </w:r>
          </w:p>
        </w:tc>
        <w:tc>
          <w:tcPr>
            <w:tcW w:w="0" w:type="auto"/>
            <w:vAlign w:val="center"/>
            <w:hideMark/>
          </w:tcPr>
          <w:p w14:paraId="16D6C9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p>
        </w:tc>
        <w:tc>
          <w:tcPr>
            <w:tcW w:w="0" w:type="auto"/>
            <w:vAlign w:val="center"/>
            <w:hideMark/>
          </w:tcPr>
          <w:p w14:paraId="49074B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Política de retención</w:t>
            </w:r>
          </w:p>
        </w:tc>
      </w:tr>
      <w:tr w:rsidR="000444D1" w:rsidRPr="000444D1" w14:paraId="0462463E" w14:textId="77777777">
        <w:trPr>
          <w:tblCellSpacing w:w="15" w:type="dxa"/>
        </w:trPr>
        <w:tc>
          <w:tcPr>
            <w:tcW w:w="0" w:type="auto"/>
            <w:vAlign w:val="center"/>
            <w:hideMark/>
          </w:tcPr>
          <w:p w14:paraId="5ADD14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Gestión de secretos y claves</w:t>
            </w:r>
          </w:p>
        </w:tc>
        <w:tc>
          <w:tcPr>
            <w:tcW w:w="0" w:type="auto"/>
            <w:vAlign w:val="center"/>
            <w:hideMark/>
          </w:tcPr>
          <w:p w14:paraId="6E685E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Azure Key Vault + HSM</w:t>
            </w:r>
          </w:p>
        </w:tc>
        <w:tc>
          <w:tcPr>
            <w:tcW w:w="0" w:type="auto"/>
            <w:vAlign w:val="center"/>
            <w:hideMark/>
          </w:tcPr>
          <w:p w14:paraId="350E57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AWS KMS + CloudHSM</w:t>
            </w:r>
          </w:p>
        </w:tc>
        <w:tc>
          <w:tcPr>
            <w:tcW w:w="0" w:type="auto"/>
            <w:vAlign w:val="center"/>
            <w:hideMark/>
          </w:tcPr>
          <w:p w14:paraId="02344D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Media</w:t>
            </w:r>
          </w:p>
        </w:tc>
        <w:tc>
          <w:tcPr>
            <w:tcW w:w="0" w:type="auto"/>
            <w:vAlign w:val="center"/>
            <w:hideMark/>
          </w:tcPr>
          <w:p w14:paraId="2B7D63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Referencias en despliegue</w:t>
            </w:r>
          </w:p>
        </w:tc>
      </w:tr>
      <w:tr w:rsidR="000444D1" w:rsidRPr="000444D1" w14:paraId="65300F36" w14:textId="77777777">
        <w:trPr>
          <w:tblCellSpacing w:w="15" w:type="dxa"/>
        </w:trPr>
        <w:tc>
          <w:tcPr>
            <w:tcW w:w="0" w:type="auto"/>
            <w:vAlign w:val="center"/>
            <w:hideMark/>
          </w:tcPr>
          <w:p w14:paraId="492D6D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Captura de cambios</w:t>
            </w:r>
          </w:p>
        </w:tc>
        <w:tc>
          <w:tcPr>
            <w:tcW w:w="0" w:type="auto"/>
            <w:vAlign w:val="center"/>
            <w:hideMark/>
          </w:tcPr>
          <w:p w14:paraId="6EC8CB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Debezium sobre la réplica</w:t>
            </w:r>
          </w:p>
        </w:tc>
        <w:tc>
          <w:tcPr>
            <w:tcW w:w="0" w:type="auto"/>
            <w:vAlign w:val="center"/>
            <w:hideMark/>
          </w:tcPr>
          <w:p w14:paraId="282DCA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Debezium</w:t>
            </w:r>
          </w:p>
        </w:tc>
        <w:tc>
          <w:tcPr>
            <w:tcW w:w="0" w:type="auto"/>
            <w:vAlign w:val="center"/>
            <w:hideMark/>
          </w:tcPr>
          <w:p w14:paraId="7FCDFB5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r w:rsidRPr="000444D1">
              <w:rPr>
                <w:rFonts w:ascii="Times New Roman" w:eastAsia="Times New Roman" w:hAnsi="Times New Roman" w:cs="Times New Roman"/>
                <w:kern w:val="0"/>
                <w14:ligatures w14:val="none"/>
              </w:rPr>
              <w:t>: independiente del proveedor</w:t>
            </w:r>
          </w:p>
        </w:tc>
        <w:tc>
          <w:tcPr>
            <w:tcW w:w="0" w:type="auto"/>
            <w:vAlign w:val="center"/>
            <w:hideMark/>
          </w:tcPr>
          <w:p w14:paraId="1C2F7F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Conector del motor de base de datos</w:t>
            </w:r>
          </w:p>
        </w:tc>
      </w:tr>
      <w:tr w:rsidR="000444D1" w:rsidRPr="000444D1" w14:paraId="568CDD10" w14:textId="77777777">
        <w:trPr>
          <w:tblCellSpacing w:w="15" w:type="dxa"/>
        </w:trPr>
        <w:tc>
          <w:tcPr>
            <w:tcW w:w="0" w:type="auto"/>
            <w:vAlign w:val="center"/>
            <w:hideMark/>
          </w:tcPr>
          <w:p w14:paraId="7FC467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Observabilidad</w:t>
            </w:r>
          </w:p>
        </w:tc>
        <w:tc>
          <w:tcPr>
            <w:tcW w:w="0" w:type="auto"/>
            <w:vAlign w:val="center"/>
            <w:hideMark/>
          </w:tcPr>
          <w:p w14:paraId="2CB909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OpenTelemetry + backend gestionado</w:t>
            </w:r>
          </w:p>
        </w:tc>
        <w:tc>
          <w:tcPr>
            <w:tcW w:w="0" w:type="auto"/>
            <w:vAlign w:val="center"/>
            <w:hideMark/>
          </w:tcPr>
          <w:p w14:paraId="51AA1B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OpenTelemetry + backend gestionado</w:t>
            </w:r>
          </w:p>
        </w:tc>
        <w:tc>
          <w:tcPr>
            <w:tcW w:w="0" w:type="auto"/>
            <w:vAlign w:val="center"/>
            <w:hideMark/>
          </w:tcPr>
          <w:p w14:paraId="05F811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Alta</w:t>
            </w:r>
            <w:r w:rsidRPr="000444D1">
              <w:rPr>
                <w:rFonts w:ascii="Times New Roman" w:eastAsia="Times New Roman" w:hAnsi="Times New Roman" w:cs="Times New Roman"/>
                <w:kern w:val="0"/>
                <w14:ligatures w14:val="none"/>
              </w:rPr>
              <w:t>: la instrumentación es estándar</w:t>
            </w:r>
          </w:p>
        </w:tc>
        <w:tc>
          <w:tcPr>
            <w:tcW w:w="0" w:type="auto"/>
            <w:vAlign w:val="center"/>
            <w:hideMark/>
          </w:tcPr>
          <w:p w14:paraId="18BAEF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Ninguno</w:t>
            </w:r>
          </w:p>
        </w:tc>
      </w:tr>
      <w:tr w:rsidR="000444D1" w:rsidRPr="000444D1" w14:paraId="4B46847A" w14:textId="77777777">
        <w:trPr>
          <w:tblCellSpacing w:w="15" w:type="dxa"/>
        </w:trPr>
        <w:tc>
          <w:tcPr>
            <w:tcW w:w="0" w:type="auto"/>
            <w:vAlign w:val="center"/>
            <w:hideMark/>
          </w:tcPr>
          <w:p w14:paraId="750984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Conectividad híbrida</w:t>
            </w:r>
          </w:p>
        </w:tc>
        <w:tc>
          <w:tcPr>
            <w:tcW w:w="0" w:type="auto"/>
            <w:vAlign w:val="center"/>
            <w:hideMark/>
          </w:tcPr>
          <w:p w14:paraId="0936C7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ExpressRoute</w:t>
            </w:r>
          </w:p>
        </w:tc>
        <w:tc>
          <w:tcPr>
            <w:tcW w:w="0" w:type="auto"/>
            <w:vAlign w:val="center"/>
            <w:hideMark/>
          </w:tcPr>
          <w:p w14:paraId="157FA0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Direct Connect</w:t>
            </w:r>
          </w:p>
        </w:tc>
        <w:tc>
          <w:tcPr>
            <w:tcW w:w="0" w:type="auto"/>
            <w:vAlign w:val="center"/>
            <w:hideMark/>
          </w:tcPr>
          <w:p w14:paraId="5C4414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Media</w:t>
            </w:r>
          </w:p>
        </w:tc>
        <w:tc>
          <w:tcPr>
            <w:tcW w:w="0" w:type="auto"/>
            <w:vAlign w:val="center"/>
            <w:hideMark/>
          </w:tcPr>
          <w:p w14:paraId="3ACC50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 de red</w:t>
            </w:r>
          </w:p>
        </w:tc>
      </w:tr>
    </w:tbl>
    <w:p w14:paraId="6B550885"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10.5 Criterios de la elección y acotación del riesgo</w:t>
      </w:r>
    </w:p>
    <w:p w14:paraId="3834CC1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La selección de un proveedor de referencia responde a criterios declarados, no a preferencia: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8"/>
        <w:gridCol w:w="1382"/>
      </w:tblGrid>
      <w:tr w:rsidR="000444D1" w:rsidRPr="000444D1" w14:paraId="77FCC803" w14:textId="77777777">
        <w:trPr>
          <w:tblHeader/>
          <w:tblCellSpacing w:w="15" w:type="dxa"/>
        </w:trPr>
        <w:tc>
          <w:tcPr>
            <w:tcW w:w="0" w:type="auto"/>
            <w:vAlign w:val="center"/>
            <w:hideMark/>
          </w:tcPr>
          <w:p w14:paraId="5C86EFF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Criterio</w:t>
            </w:r>
          </w:p>
        </w:tc>
        <w:tc>
          <w:tcPr>
            <w:tcW w:w="0" w:type="auto"/>
            <w:vAlign w:val="center"/>
            <w:hideMark/>
          </w:tcPr>
          <w:p w14:paraId="3FB0AD7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Peso</w:t>
            </w:r>
          </w:p>
        </w:tc>
      </w:tr>
      <w:tr w:rsidR="000444D1" w:rsidRPr="000444D1" w14:paraId="321CB5C4" w14:textId="77777777">
        <w:trPr>
          <w:tblCellSpacing w:w="15" w:type="dxa"/>
        </w:trPr>
        <w:tc>
          <w:tcPr>
            <w:tcW w:w="0" w:type="auto"/>
            <w:vAlign w:val="center"/>
            <w:hideMark/>
          </w:tcPr>
          <w:p w14:paraId="379203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Presencia de región que satisfaga el requisito de residencia de datos (13.9)</w:t>
            </w:r>
          </w:p>
        </w:tc>
        <w:tc>
          <w:tcPr>
            <w:tcW w:w="0" w:type="auto"/>
            <w:vAlign w:val="center"/>
            <w:hideMark/>
          </w:tcPr>
          <w:p w14:paraId="77AFE62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Determinante</w:t>
            </w:r>
          </w:p>
        </w:tc>
      </w:tr>
      <w:tr w:rsidR="000444D1" w:rsidRPr="000444D1" w14:paraId="3F690589" w14:textId="77777777">
        <w:trPr>
          <w:tblCellSpacing w:w="15" w:type="dxa"/>
        </w:trPr>
        <w:tc>
          <w:tcPr>
            <w:tcW w:w="0" w:type="auto"/>
            <w:vAlign w:val="center"/>
            <w:hideMark/>
          </w:tcPr>
          <w:p w14:paraId="1275ED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Madurez de la conectividad híbrida dedicada, de la que dependen el ACL y el CDC</w:t>
            </w:r>
          </w:p>
        </w:tc>
        <w:tc>
          <w:tcPr>
            <w:tcW w:w="0" w:type="auto"/>
            <w:vAlign w:val="center"/>
            <w:hideMark/>
          </w:tcPr>
          <w:p w14:paraId="511220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w:t>
            </w:r>
          </w:p>
        </w:tc>
      </w:tr>
      <w:tr w:rsidR="000444D1" w:rsidRPr="000444D1" w14:paraId="212D0B78" w14:textId="77777777">
        <w:trPr>
          <w:tblCellSpacing w:w="15" w:type="dxa"/>
        </w:trPr>
        <w:tc>
          <w:tcPr>
            <w:tcW w:w="0" w:type="auto"/>
            <w:vAlign w:val="center"/>
            <w:hideMark/>
          </w:tcPr>
          <w:p w14:paraId="3B0632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Integración con el directorio corporativo existente del banco</w:t>
            </w:r>
          </w:p>
        </w:tc>
        <w:tc>
          <w:tcPr>
            <w:tcW w:w="0" w:type="auto"/>
            <w:vAlign w:val="center"/>
            <w:hideMark/>
          </w:tcPr>
          <w:p w14:paraId="77CD7C7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w:t>
            </w:r>
          </w:p>
        </w:tc>
      </w:tr>
      <w:tr w:rsidR="000444D1" w:rsidRPr="000444D1" w14:paraId="48E51C85" w14:textId="77777777">
        <w:trPr>
          <w:tblCellSpacing w:w="15" w:type="dxa"/>
        </w:trPr>
        <w:tc>
          <w:tcPr>
            <w:tcW w:w="0" w:type="auto"/>
            <w:vAlign w:val="center"/>
            <w:hideMark/>
          </w:tcPr>
          <w:p w14:paraId="581DC8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Competencias disponibles en el equipo y en el mercado local</w:t>
            </w:r>
          </w:p>
        </w:tc>
        <w:tc>
          <w:tcPr>
            <w:tcW w:w="0" w:type="auto"/>
            <w:vAlign w:val="center"/>
            <w:hideMark/>
          </w:tcPr>
          <w:p w14:paraId="099F8C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w:t>
            </w:r>
          </w:p>
        </w:tc>
      </w:tr>
      <w:tr w:rsidR="000444D1" w:rsidRPr="000444D1" w14:paraId="2B8352BD" w14:textId="77777777">
        <w:trPr>
          <w:tblCellSpacing w:w="15" w:type="dxa"/>
        </w:trPr>
        <w:tc>
          <w:tcPr>
            <w:tcW w:w="0" w:type="auto"/>
            <w:vAlign w:val="center"/>
            <w:hideMark/>
          </w:tcPr>
          <w:p w14:paraId="1883F9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Certificaciones de cumplimiento aplicables al sector financiero</w:t>
            </w:r>
          </w:p>
        </w:tc>
        <w:tc>
          <w:tcPr>
            <w:tcW w:w="0" w:type="auto"/>
            <w:vAlign w:val="center"/>
            <w:hideMark/>
          </w:tcPr>
          <w:p w14:paraId="1A00CB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w:t>
            </w:r>
          </w:p>
        </w:tc>
      </w:tr>
      <w:tr w:rsidR="000444D1" w:rsidRPr="000444D1" w14:paraId="15926695" w14:textId="77777777">
        <w:trPr>
          <w:tblCellSpacing w:w="15" w:type="dxa"/>
        </w:trPr>
        <w:tc>
          <w:tcPr>
            <w:tcW w:w="0" w:type="auto"/>
            <w:vAlign w:val="center"/>
            <w:hideMark/>
          </w:tcPr>
          <w:p w14:paraId="6809DE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Costo total en el horizonte del programa</w:t>
            </w:r>
          </w:p>
        </w:tc>
        <w:tc>
          <w:tcPr>
            <w:tcW w:w="0" w:type="auto"/>
            <w:vAlign w:val="center"/>
            <w:hideMark/>
          </w:tcPr>
          <w:p w14:paraId="5DA4C7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Medio</w:t>
            </w:r>
          </w:p>
        </w:tc>
      </w:tr>
    </w:tbl>
    <w:p w14:paraId="2C762AD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diseño no depende de esta elección.</w:t>
      </w:r>
      <w:r w:rsidRPr="000444D1">
        <w:rPr>
          <w:rFonts w:ascii="Times New Roman" w:eastAsia="Times New Roman" w:hAnsi="Times New Roman" w:cs="Times New Roman"/>
          <w:kern w:val="0"/>
          <w14:ligatures w14:val="none"/>
        </w:rPr>
        <w:t xml:space="preserve"> Los tres elementos que soportan la arquitectura —bus de eventos con particionado, gestión de APIs y orquestación de contenedores— tienen equivalentes funcionales en ambos proveedores, y el acoplamiento se concentra en configuración, no en lógica. Las dos capacidades de sustituibilidad media —identidad y gestión de claves— son las que concentrarían el esfuerzo de una eventual migración, y conviene declararlo con precisión en lugar de afirmar una portabilidad total que no sería cierta.</w:t>
      </w:r>
    </w:p>
    <w:p w14:paraId="4C55286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riesgo de dependencia se acota además con tres decisiones ya tomadas: la instrumentación usa un estándar abierto, la captura de cambios usa una herramienta independiente del proveedor, y el bus se consume a través de una interfaz con más de una implementación disponible.</w:t>
      </w:r>
    </w:p>
    <w:p w14:paraId="79FB01A1"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2B0C9344">
          <v:rect id="Horizontal Line 555"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D7A6903"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11. Estrategia de integración multicore</w:t>
      </w:r>
    </w:p>
    <w:p w14:paraId="4C1B64B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 sección desarrolla los ADR-001, 002 y 004, y muestra dónde se materializa cada uno.</w:t>
      </w:r>
    </w:p>
    <w:p w14:paraId="51F49FE5"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11.1 El problema en términos precisos</w:t>
      </w:r>
    </w:p>
    <w:p w14:paraId="30A6E9F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Dos sistemas de registro transaccionales coexisten durante un horizonte plurianual. La coexistencia plantea tres preguntas que deben tener respuesta determinista en todo momento:</w:t>
      </w:r>
    </w:p>
    <w:p w14:paraId="0E6B4191" w14:textId="77777777" w:rsidR="000444D1" w:rsidRPr="000444D1" w:rsidRDefault="000444D1" w:rsidP="00C6468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Para una operación dada, </w:t>
      </w:r>
      <w:r w:rsidRPr="000444D1">
        <w:rPr>
          <w:rFonts w:ascii="Times New Roman" w:eastAsia="Times New Roman" w:hAnsi="Times New Roman" w:cs="Times New Roman"/>
          <w:b/>
          <w:bCs/>
          <w:kern w:val="0"/>
          <w14:ligatures w14:val="none"/>
        </w:rPr>
        <w:t>¿cuál de los dos cores es la fuente de verdad?</w:t>
      </w:r>
    </w:p>
    <w:p w14:paraId="43BF030F" w14:textId="77777777" w:rsidR="000444D1" w:rsidRPr="000444D1" w:rsidRDefault="000444D1" w:rsidP="00C6468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¿Cómo se impide</w:t>
      </w:r>
      <w:r w:rsidRPr="000444D1">
        <w:rPr>
          <w:rFonts w:ascii="Times New Roman" w:eastAsia="Times New Roman" w:hAnsi="Times New Roman" w:cs="Times New Roman"/>
          <w:kern w:val="0"/>
          <w14:ligatures w14:val="none"/>
        </w:rPr>
        <w:t xml:space="preserve"> que esa dualidad se filtre a canales, terceros y sistemas transversales?</w:t>
      </w:r>
    </w:p>
    <w:p w14:paraId="11E536CF" w14:textId="77777777" w:rsidR="000444D1" w:rsidRPr="000444D1" w:rsidRDefault="000444D1" w:rsidP="00C6468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¿Cómo se entera</w:t>
      </w:r>
      <w:r w:rsidRPr="000444D1">
        <w:rPr>
          <w:rFonts w:ascii="Times New Roman" w:eastAsia="Times New Roman" w:hAnsi="Times New Roman" w:cs="Times New Roman"/>
          <w:kern w:val="0"/>
          <w14:ligatures w14:val="none"/>
        </w:rPr>
        <w:t xml:space="preserve"> el resto del sistema de lo que ocurre dentro de cada core?</w:t>
      </w:r>
    </w:p>
    <w:p w14:paraId="21746D4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estrategia consta de tres mecanismos, uno por pregunta.</w:t>
      </w:r>
    </w:p>
    <w:p w14:paraId="0A921577"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11.2 Mecanismo 1 — Resolución del system of record</w:t>
      </w:r>
    </w:p>
    <w:p w14:paraId="214E3EB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reparto es </w:t>
      </w:r>
      <w:r w:rsidRPr="000444D1">
        <w:rPr>
          <w:rFonts w:ascii="Times New Roman" w:eastAsia="Times New Roman" w:hAnsi="Times New Roman" w:cs="Times New Roman"/>
          <w:b/>
          <w:bCs/>
          <w:kern w:val="0"/>
          <w14:ligatures w14:val="none"/>
        </w:rPr>
        <w:t>por producto</w:t>
      </w:r>
      <w:r w:rsidRPr="000444D1">
        <w:rPr>
          <w:rFonts w:ascii="Times New Roman" w:eastAsia="Times New Roman" w:hAnsi="Times New Roman" w:cs="Times New Roman"/>
          <w:kern w:val="0"/>
          <w14:ligatures w14:val="none"/>
        </w:rPr>
        <w:t xml:space="preserve"> (ADR-001). El catálogo de productos (D2) mantiene la relación producto → core propietario, y el enrutador de core la consulta para cada operación.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2"/>
        <w:gridCol w:w="6008"/>
      </w:tblGrid>
      <w:tr w:rsidR="000444D1" w:rsidRPr="000444D1" w14:paraId="04F02CEA" w14:textId="77777777">
        <w:trPr>
          <w:tblHeader/>
          <w:tblCellSpacing w:w="15" w:type="dxa"/>
        </w:trPr>
        <w:tc>
          <w:tcPr>
            <w:tcW w:w="0" w:type="auto"/>
            <w:vAlign w:val="center"/>
            <w:hideMark/>
          </w:tcPr>
          <w:p w14:paraId="51C7B23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Propiedad</w:t>
            </w:r>
          </w:p>
        </w:tc>
        <w:tc>
          <w:tcPr>
            <w:tcW w:w="0" w:type="auto"/>
            <w:vAlign w:val="center"/>
            <w:hideMark/>
          </w:tcPr>
          <w:p w14:paraId="750CBE5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Consecuencia</w:t>
            </w:r>
          </w:p>
        </w:tc>
      </w:tr>
      <w:tr w:rsidR="000444D1" w:rsidRPr="000444D1" w14:paraId="7413562B" w14:textId="77777777">
        <w:trPr>
          <w:tblCellSpacing w:w="15" w:type="dxa"/>
        </w:trPr>
        <w:tc>
          <w:tcPr>
            <w:tcW w:w="0" w:type="auto"/>
            <w:vAlign w:val="center"/>
            <w:hideMark/>
          </w:tcPr>
          <w:p w14:paraId="0CF7BD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resolución es un dato, no código</w:t>
            </w:r>
          </w:p>
        </w:tc>
        <w:tc>
          <w:tcPr>
            <w:tcW w:w="0" w:type="auto"/>
            <w:vAlign w:val="center"/>
            <w:hideMark/>
          </w:tcPr>
          <w:p w14:paraId="1738AB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Cambiar el core propietario de un producto es una actualización en D2, no un despliegue</w:t>
            </w:r>
          </w:p>
        </w:tc>
      </w:tr>
      <w:tr w:rsidR="000444D1" w:rsidRPr="000444D1" w14:paraId="71FACF2B" w14:textId="77777777">
        <w:trPr>
          <w:tblCellSpacing w:w="15" w:type="dxa"/>
        </w:trPr>
        <w:tc>
          <w:tcPr>
            <w:tcW w:w="0" w:type="auto"/>
            <w:vAlign w:val="center"/>
            <w:hideMark/>
          </w:tcPr>
          <w:p w14:paraId="24DD96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 determinista y auditable</w:t>
            </w:r>
          </w:p>
        </w:tc>
        <w:tc>
          <w:tcPr>
            <w:tcW w:w="0" w:type="auto"/>
            <w:vAlign w:val="center"/>
            <w:hideMark/>
          </w:tcPr>
          <w:p w14:paraId="63EC0E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operación puede explicarse: se ejecutó en el core X porque el producto Y le corresponde</w:t>
            </w:r>
          </w:p>
        </w:tc>
      </w:tr>
      <w:tr w:rsidR="000444D1" w:rsidRPr="000444D1" w14:paraId="2252018F" w14:textId="77777777">
        <w:trPr>
          <w:tblCellSpacing w:w="15" w:type="dxa"/>
        </w:trPr>
        <w:tc>
          <w:tcPr>
            <w:tcW w:w="0" w:type="auto"/>
            <w:vAlign w:val="center"/>
            <w:hideMark/>
          </w:tcPr>
          <w:p w14:paraId="3DEA8E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requiere estado de sesión</w:t>
            </w:r>
          </w:p>
        </w:tc>
        <w:tc>
          <w:tcPr>
            <w:tcW w:w="0" w:type="auto"/>
            <w:vAlign w:val="center"/>
            <w:hideMark/>
          </w:tcPr>
          <w:p w14:paraId="6A74EA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Cualquier instancia resuelve igual, sin afinidad</w:t>
            </w:r>
          </w:p>
        </w:tc>
      </w:tr>
      <w:tr w:rsidR="000444D1" w:rsidRPr="000444D1" w14:paraId="7C3B8137" w14:textId="77777777">
        <w:trPr>
          <w:tblCellSpacing w:w="15" w:type="dxa"/>
        </w:trPr>
        <w:tc>
          <w:tcPr>
            <w:tcW w:w="0" w:type="auto"/>
            <w:vAlign w:val="center"/>
            <w:hideMark/>
          </w:tcPr>
          <w:p w14:paraId="3F129A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cliente puede tener productos en ambos cores</w:t>
            </w:r>
          </w:p>
        </w:tc>
        <w:tc>
          <w:tcPr>
            <w:tcW w:w="0" w:type="auto"/>
            <w:vAlign w:val="center"/>
            <w:hideMark/>
          </w:tcPr>
          <w:p w14:paraId="47AABDA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Condición permanente durante el programa, tratada como caso normal y no como excepción</w:t>
            </w:r>
          </w:p>
        </w:tc>
      </w:tr>
    </w:tbl>
    <w:p w14:paraId="11D9265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 propiedad es la que hace posible el paso 6 del procedimiento de migración (17.5): el conmutador que traslada una cohorte de cuentas de un core a otro es una actualización del catálogo, y por eso la conmutación es reversible en segundos.</w:t>
      </w:r>
    </w:p>
    <w:p w14:paraId="52A0F87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11.3 Mecanismo 2 — Aislamiento mediante puertos canónicos</w:t>
      </w:r>
    </w:p>
    <w:p w14:paraId="0469397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Ambos cores se exponen al interior a través del </w:t>
      </w:r>
      <w:r w:rsidRPr="000444D1">
        <w:rPr>
          <w:rFonts w:ascii="Times New Roman" w:eastAsia="Times New Roman" w:hAnsi="Times New Roman" w:cs="Times New Roman"/>
          <w:b/>
          <w:bCs/>
          <w:kern w:val="0"/>
          <w14:ligatures w14:val="none"/>
        </w:rPr>
        <w:t>mismo conjunto de puertos</w:t>
      </w:r>
      <w:r w:rsidRPr="000444D1">
        <w:rPr>
          <w:rFonts w:ascii="Times New Roman" w:eastAsia="Times New Roman" w:hAnsi="Times New Roman" w:cs="Times New Roman"/>
          <w:kern w:val="0"/>
          <w14:ligatures w14:val="none"/>
        </w:rPr>
        <w:t xml:space="preserve"> (12.5), implementados por dos adaptadores distintos: el ACL para el tradicional, el adaptador REST para el digital.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4"/>
        <w:gridCol w:w="4466"/>
      </w:tblGrid>
      <w:tr w:rsidR="000444D1" w:rsidRPr="000444D1" w14:paraId="5FC79493" w14:textId="77777777">
        <w:trPr>
          <w:tblHeader/>
          <w:tblCellSpacing w:w="15" w:type="dxa"/>
        </w:trPr>
        <w:tc>
          <w:tcPr>
            <w:tcW w:w="0" w:type="auto"/>
            <w:vAlign w:val="center"/>
            <w:hideMark/>
          </w:tcPr>
          <w:p w14:paraId="53CF29B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Elemento</w:t>
            </w:r>
          </w:p>
        </w:tc>
        <w:tc>
          <w:tcPr>
            <w:tcW w:w="0" w:type="auto"/>
            <w:vAlign w:val="center"/>
            <w:hideMark/>
          </w:tcPr>
          <w:p w14:paraId="4D80C30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Efecto</w:t>
            </w:r>
          </w:p>
        </w:tc>
      </w:tr>
      <w:tr w:rsidR="000444D1" w:rsidRPr="000444D1" w14:paraId="28ED44DC" w14:textId="77777777">
        <w:trPr>
          <w:tblCellSpacing w:w="15" w:type="dxa"/>
        </w:trPr>
        <w:tc>
          <w:tcPr>
            <w:tcW w:w="0" w:type="auto"/>
            <w:vAlign w:val="center"/>
            <w:hideMark/>
          </w:tcPr>
          <w:p w14:paraId="069BB6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orquestador de saga depende del puerto, no del adaptador</w:t>
            </w:r>
          </w:p>
        </w:tc>
        <w:tc>
          <w:tcPr>
            <w:tcW w:w="0" w:type="auto"/>
            <w:vAlign w:val="center"/>
            <w:hideMark/>
          </w:tcPr>
          <w:p w14:paraId="1EC28E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Desconoce cuál core atiende cada operación (LSP)</w:t>
            </w:r>
          </w:p>
        </w:tc>
      </w:tr>
      <w:tr w:rsidR="000444D1" w:rsidRPr="000444D1" w14:paraId="4CD0E26B" w14:textId="77777777">
        <w:trPr>
          <w:tblCellSpacing w:w="15" w:type="dxa"/>
        </w:trPr>
        <w:tc>
          <w:tcPr>
            <w:tcW w:w="0" w:type="auto"/>
            <w:vAlign w:val="center"/>
            <w:hideMark/>
          </w:tcPr>
          <w:p w14:paraId="317785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Ningún puerto expone tipos del sistema legado</w:t>
            </w:r>
          </w:p>
        </w:tc>
        <w:tc>
          <w:tcPr>
            <w:tcW w:w="0" w:type="auto"/>
            <w:vAlign w:val="center"/>
            <w:hideMark/>
          </w:tcPr>
          <w:p w14:paraId="5147DC0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modelo del core no contamina el dominio (P2)</w:t>
            </w:r>
          </w:p>
        </w:tc>
      </w:tr>
      <w:tr w:rsidR="000444D1" w:rsidRPr="000444D1" w14:paraId="3B2EF2E8" w14:textId="77777777">
        <w:trPr>
          <w:tblCellSpacing w:w="15" w:type="dxa"/>
        </w:trPr>
        <w:tc>
          <w:tcPr>
            <w:tcW w:w="0" w:type="auto"/>
            <w:vAlign w:val="center"/>
            <w:hideMark/>
          </w:tcPr>
          <w:p w14:paraId="048AEF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canales usan identificadores canónicos de cuenta</w:t>
            </w:r>
          </w:p>
        </w:tc>
        <w:tc>
          <w:tcPr>
            <w:tcW w:w="0" w:type="auto"/>
            <w:vAlign w:val="center"/>
            <w:hideMark/>
          </w:tcPr>
          <w:p w14:paraId="61169A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consumidor no puede deducir dónde reside la cuenta</w:t>
            </w:r>
          </w:p>
        </w:tc>
      </w:tr>
      <w:tr w:rsidR="000444D1" w:rsidRPr="000444D1" w14:paraId="1F69D4DF" w14:textId="77777777">
        <w:trPr>
          <w:tblCellSpacing w:w="15" w:type="dxa"/>
        </w:trPr>
        <w:tc>
          <w:tcPr>
            <w:tcW w:w="0" w:type="auto"/>
            <w:vAlign w:val="center"/>
            <w:hideMark/>
          </w:tcPr>
          <w:p w14:paraId="132987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APIs de sistema no se exponen a los BFF</w:t>
            </w:r>
          </w:p>
        </w:tc>
        <w:tc>
          <w:tcPr>
            <w:tcW w:w="0" w:type="auto"/>
            <w:vAlign w:val="center"/>
            <w:hideMark/>
          </w:tcPr>
          <w:p w14:paraId="3B469F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Impide que la dualidad se filtre hacia arriba</w:t>
            </w:r>
          </w:p>
        </w:tc>
      </w:tr>
    </w:tbl>
    <w:p w14:paraId="3A183AF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resultado es que </w:t>
      </w:r>
      <w:r w:rsidRPr="000444D1">
        <w:rPr>
          <w:rFonts w:ascii="Times New Roman" w:eastAsia="Times New Roman" w:hAnsi="Times New Roman" w:cs="Times New Roman"/>
          <w:b/>
          <w:bCs/>
          <w:kern w:val="0"/>
          <w14:ligatures w14:val="none"/>
        </w:rPr>
        <w:t>la existencia de dos cores es invisible fuera de la capa de mediación</w:t>
      </w:r>
      <w:r w:rsidRPr="000444D1">
        <w:rPr>
          <w:rFonts w:ascii="Times New Roman" w:eastAsia="Times New Roman" w:hAnsi="Times New Roman" w:cs="Times New Roman"/>
          <w:kern w:val="0"/>
          <w14:ligatures w14:val="none"/>
        </w:rPr>
        <w:t>. Un desarrollador de canal, un tercero Open Finance o el motor de fraude operan sin conocerla.</w:t>
      </w:r>
    </w:p>
    <w:p w14:paraId="4E9BDCC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11.4 Mecanismo 3 — Ingesta de cambios</w:t>
      </w:r>
    </w:p>
    <w:p w14:paraId="4C722C4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Desarrollado en el ADR-004: emisión de eventos desde el ACL para lo que él origina, más captura de cambios sobre la réplica para lo que no. La deduplicación se resuelve por </w:t>
      </w:r>
      <w:r w:rsidRPr="000444D1">
        <w:rPr>
          <w:rFonts w:ascii="Courier New" w:eastAsia="Times New Roman" w:hAnsi="Courier New" w:cs="Courier New"/>
          <w:kern w:val="0"/>
          <w:sz w:val="20"/>
          <w:szCs w:val="20"/>
          <w14:ligatures w14:val="none"/>
        </w:rPr>
        <w:t>claveNegocio</w:t>
      </w:r>
      <w:r w:rsidRPr="000444D1">
        <w:rPr>
          <w:rFonts w:ascii="Times New Roman" w:eastAsia="Times New Roman" w:hAnsi="Times New Roman" w:cs="Times New Roman"/>
          <w:kern w:val="0"/>
          <w14:ligatures w14:val="none"/>
        </w:rPr>
        <w:t xml:space="preserve"> (12.6), y el campo </w:t>
      </w:r>
      <w:r w:rsidRPr="000444D1">
        <w:rPr>
          <w:rFonts w:ascii="Courier New" w:eastAsia="Times New Roman" w:hAnsi="Courier New" w:cs="Courier New"/>
          <w:kern w:val="0"/>
          <w:sz w:val="20"/>
          <w:szCs w:val="20"/>
          <w14:ligatures w14:val="none"/>
        </w:rPr>
        <w:t>origenCaptura</w:t>
      </w:r>
      <w:r w:rsidRPr="000444D1">
        <w:rPr>
          <w:rFonts w:ascii="Times New Roman" w:eastAsia="Times New Roman" w:hAnsi="Times New Roman" w:cs="Times New Roman"/>
          <w:kern w:val="0"/>
          <w14:ligatures w14:val="none"/>
        </w:rPr>
        <w:t xml:space="preserve"> permite vigilar la salud de cada mecanismo.</w:t>
      </w:r>
    </w:p>
    <w:p w14:paraId="5319025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digital no requiere este tratamiento: publica eventos de forma nativa a través de su adaptador. La asimetría entre ambos cores en este punto es una consecuencia directa de sus capacidades, y así se refleja en el diagrama de contenedores, donde el CDC aparece únicamente del lado tradicional.</w:t>
      </w:r>
    </w:p>
    <w:p w14:paraId="017BDB6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11.5 La posición consolidada como punto de convergencia</w:t>
      </w:r>
    </w:p>
    <w:p w14:paraId="079D252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D3 es donde ambos cores se encuentran. Recibe eventos de las tres fuentes —ACL, CDC y adaptador digital— y materializa una vista única.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6614"/>
      </w:tblGrid>
      <w:tr w:rsidR="000444D1" w:rsidRPr="000444D1" w14:paraId="1529B114" w14:textId="77777777">
        <w:trPr>
          <w:tblHeader/>
          <w:tblCellSpacing w:w="15" w:type="dxa"/>
        </w:trPr>
        <w:tc>
          <w:tcPr>
            <w:tcW w:w="0" w:type="auto"/>
            <w:vAlign w:val="center"/>
            <w:hideMark/>
          </w:tcPr>
          <w:p w14:paraId="32A668F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Propiedad</w:t>
            </w:r>
          </w:p>
        </w:tc>
        <w:tc>
          <w:tcPr>
            <w:tcW w:w="0" w:type="auto"/>
            <w:vAlign w:val="center"/>
            <w:hideMark/>
          </w:tcPr>
          <w:p w14:paraId="3515820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Justificación</w:t>
            </w:r>
          </w:p>
        </w:tc>
      </w:tr>
      <w:tr w:rsidR="000444D1" w:rsidRPr="000444D1" w14:paraId="0EBF0858" w14:textId="77777777">
        <w:trPr>
          <w:tblCellSpacing w:w="15" w:type="dxa"/>
        </w:trPr>
        <w:tc>
          <w:tcPr>
            <w:tcW w:w="0" w:type="auto"/>
            <w:vAlign w:val="center"/>
            <w:hideMark/>
          </w:tcPr>
          <w:p w14:paraId="7B7B11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es system of record de nada</w:t>
            </w:r>
          </w:p>
        </w:tc>
        <w:tc>
          <w:tcPr>
            <w:tcW w:w="0" w:type="auto"/>
            <w:vAlign w:val="center"/>
            <w:hideMark/>
          </w:tcPr>
          <w:p w14:paraId="3B56DF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 almacén es reconstruible; no hay dato que solo exista allí (5.3)</w:t>
            </w:r>
          </w:p>
        </w:tc>
      </w:tr>
      <w:tr w:rsidR="000444D1" w:rsidRPr="000444D1" w14:paraId="6EE6F478" w14:textId="77777777">
        <w:trPr>
          <w:tblCellSpacing w:w="15" w:type="dxa"/>
        </w:trPr>
        <w:tc>
          <w:tcPr>
            <w:tcW w:w="0" w:type="auto"/>
            <w:vAlign w:val="center"/>
            <w:hideMark/>
          </w:tcPr>
          <w:p w14:paraId="51AFE1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autoriza operaciones</w:t>
            </w:r>
          </w:p>
        </w:tc>
        <w:tc>
          <w:tcPr>
            <w:tcW w:w="0" w:type="auto"/>
            <w:vAlign w:val="center"/>
            <w:hideMark/>
          </w:tcPr>
          <w:p w14:paraId="637DDF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valida los fondos en el momento del débito (ADR-002)</w:t>
            </w:r>
          </w:p>
        </w:tc>
      </w:tr>
      <w:tr w:rsidR="000444D1" w:rsidRPr="000444D1" w14:paraId="703E9040" w14:textId="77777777">
        <w:trPr>
          <w:tblCellSpacing w:w="15" w:type="dxa"/>
        </w:trPr>
        <w:tc>
          <w:tcPr>
            <w:tcW w:w="0" w:type="auto"/>
            <w:vAlign w:val="center"/>
            <w:hideMark/>
          </w:tcPr>
          <w:p w14:paraId="2D3D91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Expone la frescura de cada dato</w:t>
            </w:r>
          </w:p>
        </w:tc>
        <w:tc>
          <w:tcPr>
            <w:tcW w:w="0" w:type="auto"/>
            <w:vAlign w:val="center"/>
            <w:hideMark/>
          </w:tcPr>
          <w:p w14:paraId="2E117E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contrato incluye la marca de actualización y declara su naturaleza de proyección (12.4)</w:t>
            </w:r>
          </w:p>
        </w:tc>
      </w:tr>
      <w:tr w:rsidR="000444D1" w:rsidRPr="000444D1" w14:paraId="55C1CF81" w14:textId="77777777">
        <w:trPr>
          <w:tblCellSpacing w:w="15" w:type="dxa"/>
        </w:trPr>
        <w:tc>
          <w:tcPr>
            <w:tcW w:w="0" w:type="auto"/>
            <w:vAlign w:val="center"/>
            <w:hideMark/>
          </w:tcPr>
          <w:p w14:paraId="2B30DE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 indiferente al reparto de productos</w:t>
            </w:r>
          </w:p>
        </w:tc>
        <w:tc>
          <w:tcPr>
            <w:tcW w:w="0" w:type="auto"/>
            <w:vAlign w:val="center"/>
            <w:hideMark/>
          </w:tcPr>
          <w:p w14:paraId="0CDEAD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una cuenta cambia de core, D3 sigue recibiendo sus eventos por otro camino, sin cambio funcional</w:t>
            </w:r>
          </w:p>
        </w:tc>
      </w:tr>
    </w:tbl>
    <w:p w14:paraId="0742733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última propiedad es la que hace que la migración de una cohorte sea transparente para el cliente: su posición se sigue viendo igual antes y después, porque D3 nunca supo dónde estaba alojada la cuenta.</w:t>
      </w:r>
    </w:p>
    <w:p w14:paraId="1B4BA9C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11.6 Tratamiento de la impedancia temporal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2"/>
        <w:gridCol w:w="5818"/>
      </w:tblGrid>
      <w:tr w:rsidR="000444D1" w:rsidRPr="000444D1" w14:paraId="425A5AFF" w14:textId="77777777">
        <w:trPr>
          <w:tblHeader/>
          <w:tblCellSpacing w:w="15" w:type="dxa"/>
        </w:trPr>
        <w:tc>
          <w:tcPr>
            <w:tcW w:w="0" w:type="auto"/>
            <w:vAlign w:val="center"/>
            <w:hideMark/>
          </w:tcPr>
          <w:p w14:paraId="40BDF19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Fuente de impedancia</w:t>
            </w:r>
          </w:p>
        </w:tc>
        <w:tc>
          <w:tcPr>
            <w:tcW w:w="0" w:type="auto"/>
            <w:vAlign w:val="center"/>
            <w:hideMark/>
          </w:tcPr>
          <w:p w14:paraId="51EB139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w:t>
            </w:r>
          </w:p>
        </w:tc>
      </w:tr>
      <w:tr w:rsidR="000444D1" w:rsidRPr="000444D1" w14:paraId="38DCCD2E" w14:textId="77777777">
        <w:trPr>
          <w:tblCellSpacing w:w="15" w:type="dxa"/>
        </w:trPr>
        <w:tc>
          <w:tcPr>
            <w:tcW w:w="0" w:type="auto"/>
            <w:vAlign w:val="center"/>
            <w:hideMark/>
          </w:tcPr>
          <w:p w14:paraId="1F61C0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tradicional opera por ciclos; los canales exigen respuesta interactiva</w:t>
            </w:r>
          </w:p>
        </w:tc>
        <w:tc>
          <w:tcPr>
            <w:tcW w:w="0" w:type="auto"/>
            <w:vAlign w:val="center"/>
            <w:hideMark/>
          </w:tcPr>
          <w:p w14:paraId="042C76F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lecturas se sirven de D3, que no depende del core (ADR-002)</w:t>
            </w:r>
          </w:p>
        </w:tc>
      </w:tr>
      <w:tr w:rsidR="000444D1" w:rsidRPr="000444D1" w14:paraId="5D6A951A" w14:textId="77777777">
        <w:trPr>
          <w:tblCellSpacing w:w="15" w:type="dxa"/>
        </w:trPr>
        <w:tc>
          <w:tcPr>
            <w:tcW w:w="0" w:type="auto"/>
            <w:vAlign w:val="center"/>
            <w:hideMark/>
          </w:tcPr>
          <w:p w14:paraId="09B823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Ventana de cierre nocturno</w:t>
            </w:r>
          </w:p>
        </w:tc>
        <w:tc>
          <w:tcPr>
            <w:tcW w:w="0" w:type="auto"/>
            <w:vAlign w:val="center"/>
            <w:hideMark/>
          </w:tcPr>
          <w:p w14:paraId="782FD0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controlador de disponibilidad del ACL la detecta y expone el estado degradado; el canal informa antes de aceptar la operación (15.3)</w:t>
            </w:r>
          </w:p>
        </w:tc>
      </w:tr>
      <w:tr w:rsidR="000444D1" w:rsidRPr="000444D1" w14:paraId="46F4C7B1" w14:textId="77777777">
        <w:trPr>
          <w:tblCellSpacing w:w="15" w:type="dxa"/>
        </w:trPr>
        <w:tc>
          <w:tcPr>
            <w:tcW w:w="0" w:type="auto"/>
            <w:vAlign w:val="center"/>
            <w:hideMark/>
          </w:tcPr>
          <w:p w14:paraId="5CE6E2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de la captura de cambios</w:t>
            </w:r>
          </w:p>
        </w:tc>
        <w:tc>
          <w:tcPr>
            <w:tcW w:w="0" w:type="auto"/>
            <w:vAlign w:val="center"/>
            <w:hideMark/>
          </w:tcPr>
          <w:p w14:paraId="20931E0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proyección expone su marca de frescura; la reconciliación diaria corrige la deriva</w:t>
            </w:r>
          </w:p>
        </w:tc>
      </w:tr>
      <w:tr w:rsidR="000444D1" w:rsidRPr="000444D1" w14:paraId="73359197" w14:textId="77777777">
        <w:trPr>
          <w:tblCellSpacing w:w="15" w:type="dxa"/>
        </w:trPr>
        <w:tc>
          <w:tcPr>
            <w:tcW w:w="0" w:type="auto"/>
            <w:vAlign w:val="center"/>
            <w:hideMark/>
          </w:tcPr>
          <w:p w14:paraId="379DAB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digital opera 24/7</w:t>
            </w:r>
          </w:p>
        </w:tc>
        <w:tc>
          <w:tcPr>
            <w:tcW w:w="0" w:type="auto"/>
            <w:vAlign w:val="center"/>
            <w:hideMark/>
          </w:tcPr>
          <w:p w14:paraId="36C9B5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Durante la ventana de cierre, los productos digitales siguen plenamente operativos</w:t>
            </w:r>
          </w:p>
        </w:tc>
      </w:tr>
    </w:tbl>
    <w:p w14:paraId="691F445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11.7 Dónde se refleja la estrategia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6506"/>
      </w:tblGrid>
      <w:tr w:rsidR="000444D1" w:rsidRPr="000444D1" w14:paraId="24A8296D" w14:textId="77777777">
        <w:trPr>
          <w:tblHeader/>
          <w:tblCellSpacing w:w="15" w:type="dxa"/>
        </w:trPr>
        <w:tc>
          <w:tcPr>
            <w:tcW w:w="0" w:type="auto"/>
            <w:vAlign w:val="center"/>
            <w:hideMark/>
          </w:tcPr>
          <w:p w14:paraId="6F8CB80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Elemento del diseño</w:t>
            </w:r>
          </w:p>
        </w:tc>
        <w:tc>
          <w:tcPr>
            <w:tcW w:w="0" w:type="auto"/>
            <w:vAlign w:val="center"/>
            <w:hideMark/>
          </w:tcPr>
          <w:p w14:paraId="047C03B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Cómo materializa la estrategia</w:t>
            </w:r>
          </w:p>
        </w:tc>
      </w:tr>
      <w:tr w:rsidR="000444D1" w:rsidRPr="000444D1" w14:paraId="28F5868A" w14:textId="77777777">
        <w:trPr>
          <w:tblCellSpacing w:w="15" w:type="dxa"/>
        </w:trPr>
        <w:tc>
          <w:tcPr>
            <w:tcW w:w="0" w:type="auto"/>
            <w:vAlign w:val="center"/>
            <w:hideMark/>
          </w:tcPr>
          <w:p w14:paraId="624A04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Diagrama de contexto (6)</w:t>
            </w:r>
          </w:p>
        </w:tc>
        <w:tc>
          <w:tcPr>
            <w:tcW w:w="0" w:type="auto"/>
            <w:vAlign w:val="center"/>
            <w:hideMark/>
          </w:tcPr>
          <w:p w14:paraId="4C8F1A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Ambos cores aparecen como sistemas distintos, no fundidos en una única caja</w:t>
            </w:r>
          </w:p>
        </w:tc>
      </w:tr>
      <w:tr w:rsidR="000444D1" w:rsidRPr="000444D1" w14:paraId="386469FF" w14:textId="77777777">
        <w:trPr>
          <w:tblCellSpacing w:w="15" w:type="dxa"/>
        </w:trPr>
        <w:tc>
          <w:tcPr>
            <w:tcW w:w="0" w:type="auto"/>
            <w:vAlign w:val="center"/>
            <w:hideMark/>
          </w:tcPr>
          <w:p w14:paraId="6E3725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Diagrama de contenedores (7)</w:t>
            </w:r>
          </w:p>
        </w:tc>
        <w:tc>
          <w:tcPr>
            <w:tcW w:w="0" w:type="auto"/>
            <w:vAlign w:val="center"/>
            <w:hideMark/>
          </w:tcPr>
          <w:p w14:paraId="54B17F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y adaptador digital como contenedores separados; CDC únicamente del lado tradicional</w:t>
            </w:r>
          </w:p>
        </w:tc>
      </w:tr>
      <w:tr w:rsidR="000444D1" w:rsidRPr="000444D1" w14:paraId="441154CF" w14:textId="77777777">
        <w:trPr>
          <w:tblCellSpacing w:w="15" w:type="dxa"/>
        </w:trPr>
        <w:tc>
          <w:tcPr>
            <w:tcW w:w="0" w:type="auto"/>
            <w:vAlign w:val="center"/>
            <w:hideMark/>
          </w:tcPr>
          <w:p w14:paraId="7F4325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Componentes de D4 (8.1)</w:t>
            </w:r>
          </w:p>
        </w:tc>
        <w:tc>
          <w:tcPr>
            <w:tcW w:w="0" w:type="auto"/>
            <w:vAlign w:val="center"/>
            <w:hideMark/>
          </w:tcPr>
          <w:p w14:paraId="4E08D6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enrutador de core es un componente con nombre y responsabilidad propia</w:t>
            </w:r>
          </w:p>
        </w:tc>
      </w:tr>
      <w:tr w:rsidR="000444D1" w:rsidRPr="000444D1" w14:paraId="33C939E5" w14:textId="77777777">
        <w:trPr>
          <w:tblCellSpacing w:w="15" w:type="dxa"/>
        </w:trPr>
        <w:tc>
          <w:tcPr>
            <w:tcW w:w="0" w:type="auto"/>
            <w:vAlign w:val="center"/>
            <w:hideMark/>
          </w:tcPr>
          <w:p w14:paraId="67EF5C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Componentes del ACL (8.2)</w:t>
            </w:r>
          </w:p>
        </w:tc>
        <w:tc>
          <w:tcPr>
            <w:tcW w:w="0" w:type="auto"/>
            <w:vAlign w:val="center"/>
            <w:hideMark/>
          </w:tcPr>
          <w:p w14:paraId="64ABF4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Mapeador y cliente de mensajería son los únicos que conocen el modelo legado</w:t>
            </w:r>
          </w:p>
        </w:tc>
      </w:tr>
      <w:tr w:rsidR="000444D1" w:rsidRPr="000444D1" w14:paraId="705BAEF6" w14:textId="77777777">
        <w:trPr>
          <w:tblCellSpacing w:w="15" w:type="dxa"/>
        </w:trPr>
        <w:tc>
          <w:tcPr>
            <w:tcW w:w="0" w:type="auto"/>
            <w:vAlign w:val="center"/>
            <w:hideMark/>
          </w:tcPr>
          <w:p w14:paraId="49BED7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Flujo 9.1, paso 4</w:t>
            </w:r>
          </w:p>
        </w:tc>
        <w:tc>
          <w:tcPr>
            <w:tcW w:w="0" w:type="auto"/>
            <w:vAlign w:val="center"/>
            <w:hideMark/>
          </w:tcPr>
          <w:p w14:paraId="396EF2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resolución del core propietario es un paso explícito del flujo de pago</w:t>
            </w:r>
          </w:p>
        </w:tc>
      </w:tr>
      <w:tr w:rsidR="000444D1" w:rsidRPr="000444D1" w14:paraId="11E30285" w14:textId="77777777">
        <w:trPr>
          <w:tblCellSpacing w:w="15" w:type="dxa"/>
        </w:trPr>
        <w:tc>
          <w:tcPr>
            <w:tcW w:w="0" w:type="auto"/>
            <w:vAlign w:val="center"/>
            <w:hideMark/>
          </w:tcPr>
          <w:p w14:paraId="085405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Flujo 9.2</w:t>
            </w:r>
          </w:p>
        </w:tc>
        <w:tc>
          <w:tcPr>
            <w:tcW w:w="0" w:type="auto"/>
            <w:vAlign w:val="center"/>
            <w:hideMark/>
          </w:tcPr>
          <w:p w14:paraId="1A7191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posición consolidada se resuelve sin intervención de ningún core</w:t>
            </w:r>
          </w:p>
        </w:tc>
      </w:tr>
      <w:tr w:rsidR="000444D1" w:rsidRPr="000444D1" w14:paraId="6FB3774A" w14:textId="77777777">
        <w:trPr>
          <w:tblCellSpacing w:w="15" w:type="dxa"/>
        </w:trPr>
        <w:tc>
          <w:tcPr>
            <w:tcW w:w="0" w:type="auto"/>
            <w:vAlign w:val="center"/>
            <w:hideMark/>
          </w:tcPr>
          <w:p w14:paraId="4CE458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Matriz de systems of record (5.3)</w:t>
            </w:r>
          </w:p>
        </w:tc>
        <w:tc>
          <w:tcPr>
            <w:tcW w:w="0" w:type="auto"/>
            <w:vAlign w:val="center"/>
            <w:hideMark/>
          </w:tcPr>
          <w:p w14:paraId="6F1E12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Declara qué entidad pertenece a cada core y qué no pertenece a ninguno</w:t>
            </w:r>
          </w:p>
        </w:tc>
      </w:tr>
      <w:tr w:rsidR="000444D1" w:rsidRPr="000444D1" w14:paraId="1B114802" w14:textId="77777777">
        <w:trPr>
          <w:tblCellSpacing w:w="15" w:type="dxa"/>
        </w:trPr>
        <w:tc>
          <w:tcPr>
            <w:tcW w:w="0" w:type="auto"/>
            <w:vAlign w:val="center"/>
            <w:hideMark/>
          </w:tcPr>
          <w:p w14:paraId="52F435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Puertos canónicos (12.5)</w:t>
            </w:r>
          </w:p>
        </w:tc>
        <w:tc>
          <w:tcPr>
            <w:tcW w:w="0" w:type="auto"/>
            <w:vAlign w:val="center"/>
            <w:hideMark/>
          </w:tcPr>
          <w:p w14:paraId="7DAE19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único contrato con dos implementaciones</w:t>
            </w:r>
          </w:p>
        </w:tc>
      </w:tr>
      <w:tr w:rsidR="000444D1" w:rsidRPr="000444D1" w14:paraId="640496AB" w14:textId="77777777">
        <w:trPr>
          <w:tblCellSpacing w:w="15" w:type="dxa"/>
        </w:trPr>
        <w:tc>
          <w:tcPr>
            <w:tcW w:w="0" w:type="auto"/>
            <w:vAlign w:val="center"/>
            <w:hideMark/>
          </w:tcPr>
          <w:p w14:paraId="010422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Sobre de eventos (12.6)</w:t>
            </w:r>
          </w:p>
        </w:tc>
        <w:tc>
          <w:tcPr>
            <w:tcW w:w="0" w:type="auto"/>
            <w:vAlign w:val="center"/>
            <w:hideMark/>
          </w:tcPr>
          <w:p w14:paraId="169B6F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claveNegocio</w:t>
            </w:r>
            <w:r w:rsidRPr="000444D1">
              <w:rPr>
                <w:rFonts w:ascii="Times New Roman" w:eastAsia="Times New Roman" w:hAnsi="Times New Roman" w:cs="Times New Roman"/>
                <w:kern w:val="0"/>
                <w14:ligatures w14:val="none"/>
              </w:rPr>
              <w:t xml:space="preserve"> resuelve la duplicación entre mecanismos de ingesta</w:t>
            </w:r>
          </w:p>
        </w:tc>
      </w:tr>
      <w:tr w:rsidR="000444D1" w:rsidRPr="000444D1" w14:paraId="518BDCF8" w14:textId="77777777">
        <w:trPr>
          <w:tblCellSpacing w:w="15" w:type="dxa"/>
        </w:trPr>
        <w:tc>
          <w:tcPr>
            <w:tcW w:w="0" w:type="auto"/>
            <w:vAlign w:val="center"/>
            <w:hideMark/>
          </w:tcPr>
          <w:p w14:paraId="1F14FF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 xml:space="preserve">Evento </w:t>
            </w:r>
            <w:r w:rsidRPr="000444D1">
              <w:rPr>
                <w:rFonts w:ascii="Courier New" w:eastAsia="Times New Roman" w:hAnsi="Courier New" w:cs="Courier New"/>
                <w:b/>
                <w:bCs/>
                <w:kern w:val="0"/>
                <w:sz w:val="20"/>
                <w:szCs w:val="20"/>
                <w14:ligatures w14:val="none"/>
              </w:rPr>
              <w:t>pago.ejecutado</w:t>
            </w:r>
          </w:p>
        </w:tc>
        <w:tc>
          <w:tcPr>
            <w:tcW w:w="0" w:type="auto"/>
            <w:vAlign w:val="center"/>
            <w:hideMark/>
          </w:tcPr>
          <w:p w14:paraId="039A4D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campo </w:t>
            </w:r>
            <w:r w:rsidRPr="000444D1">
              <w:rPr>
                <w:rFonts w:ascii="Courier New" w:eastAsia="Times New Roman" w:hAnsi="Courier New" w:cs="Courier New"/>
                <w:kern w:val="0"/>
                <w:sz w:val="20"/>
                <w:szCs w:val="20"/>
                <w14:ligatures w14:val="none"/>
              </w:rPr>
              <w:t>coreEjecutor</w:t>
            </w:r>
            <w:r w:rsidRPr="000444D1">
              <w:rPr>
                <w:rFonts w:ascii="Times New Roman" w:eastAsia="Times New Roman" w:hAnsi="Times New Roman" w:cs="Times New Roman"/>
                <w:kern w:val="0"/>
                <w14:ligatures w14:val="none"/>
              </w:rPr>
              <w:t xml:space="preserve"> permite medir el avance de la migración</w:t>
            </w:r>
          </w:p>
        </w:tc>
      </w:tr>
      <w:tr w:rsidR="000444D1" w:rsidRPr="000444D1" w14:paraId="7887DB87" w14:textId="77777777">
        <w:trPr>
          <w:tblCellSpacing w:w="15" w:type="dxa"/>
        </w:trPr>
        <w:tc>
          <w:tcPr>
            <w:tcW w:w="0" w:type="auto"/>
            <w:vAlign w:val="center"/>
            <w:hideMark/>
          </w:tcPr>
          <w:p w14:paraId="7DA8F4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Matriz de degradación (15.3)</w:t>
            </w:r>
          </w:p>
        </w:tc>
        <w:tc>
          <w:tcPr>
            <w:tcW w:w="0" w:type="auto"/>
            <w:vAlign w:val="center"/>
            <w:hideMark/>
          </w:tcPr>
          <w:p w14:paraId="55C16D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Filas separadas para la caída de cada core, con impactos distintos</w:t>
            </w:r>
          </w:p>
        </w:tc>
      </w:tr>
      <w:tr w:rsidR="000444D1" w:rsidRPr="000444D1" w14:paraId="1FF85348" w14:textId="77777777">
        <w:trPr>
          <w:tblCellSpacing w:w="15" w:type="dxa"/>
        </w:trPr>
        <w:tc>
          <w:tcPr>
            <w:tcW w:w="0" w:type="auto"/>
            <w:vAlign w:val="center"/>
            <w:hideMark/>
          </w:tcPr>
          <w:p w14:paraId="0EFDB0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Plan de migración (17)</w:t>
            </w:r>
          </w:p>
        </w:tc>
        <w:tc>
          <w:tcPr>
            <w:tcW w:w="0" w:type="auto"/>
            <w:vAlign w:val="center"/>
            <w:hideMark/>
          </w:tcPr>
          <w:p w14:paraId="355F31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fases se estructuran por producto, que es la unidad de reparto</w:t>
            </w:r>
          </w:p>
        </w:tc>
      </w:tr>
    </w:tbl>
    <w:p w14:paraId="149FB079"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11.8 Límites de la estrategia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6455"/>
      </w:tblGrid>
      <w:tr w:rsidR="000444D1" w:rsidRPr="000444D1" w14:paraId="488982CD" w14:textId="77777777">
        <w:trPr>
          <w:tblHeader/>
          <w:tblCellSpacing w:w="15" w:type="dxa"/>
        </w:trPr>
        <w:tc>
          <w:tcPr>
            <w:tcW w:w="0" w:type="auto"/>
            <w:vAlign w:val="center"/>
            <w:hideMark/>
          </w:tcPr>
          <w:p w14:paraId="4D41D81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Límite</w:t>
            </w:r>
          </w:p>
        </w:tc>
        <w:tc>
          <w:tcPr>
            <w:tcW w:w="0" w:type="auto"/>
            <w:vAlign w:val="center"/>
            <w:hideMark/>
          </w:tcPr>
          <w:p w14:paraId="720BC4C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Consecuencia asumida</w:t>
            </w:r>
          </w:p>
        </w:tc>
      </w:tr>
      <w:tr w:rsidR="000444D1" w:rsidRPr="000444D1" w14:paraId="7C265477" w14:textId="77777777">
        <w:trPr>
          <w:tblCellSpacing w:w="15" w:type="dxa"/>
        </w:trPr>
        <w:tc>
          <w:tcPr>
            <w:tcW w:w="0" w:type="auto"/>
            <w:vAlign w:val="center"/>
            <w:hideMark/>
          </w:tcPr>
          <w:p w14:paraId="5E6BD1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elimina el doble costo operativo mientras dure la coexistencia</w:t>
            </w:r>
          </w:p>
        </w:tc>
        <w:tc>
          <w:tcPr>
            <w:tcW w:w="0" w:type="auto"/>
            <w:vAlign w:val="center"/>
            <w:hideMark/>
          </w:tcPr>
          <w:p w14:paraId="6947A2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acota con la decisión fechada de la Fase 7 (17.3)</w:t>
            </w:r>
          </w:p>
        </w:tc>
      </w:tr>
      <w:tr w:rsidR="000444D1" w:rsidRPr="000444D1" w14:paraId="49F01AE4" w14:textId="77777777">
        <w:trPr>
          <w:tblCellSpacing w:w="15" w:type="dxa"/>
        </w:trPr>
        <w:tc>
          <w:tcPr>
            <w:tcW w:w="0" w:type="auto"/>
            <w:vAlign w:val="center"/>
            <w:hideMark/>
          </w:tcPr>
          <w:p w14:paraId="658366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permite que una misma cuenta exista en ambos cores</w:t>
            </w:r>
          </w:p>
        </w:tc>
        <w:tc>
          <w:tcPr>
            <w:tcW w:w="0" w:type="auto"/>
            <w:vAlign w:val="center"/>
            <w:hideMark/>
          </w:tcPr>
          <w:p w14:paraId="7D01D2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 una restricción deliberada (principio M5): el estado intermedio sería irresoluble</w:t>
            </w:r>
          </w:p>
        </w:tc>
      </w:tr>
      <w:tr w:rsidR="000444D1" w:rsidRPr="000444D1" w14:paraId="43FD0165" w14:textId="77777777">
        <w:trPr>
          <w:tblCellSpacing w:w="15" w:type="dxa"/>
        </w:trPr>
        <w:tc>
          <w:tcPr>
            <w:tcW w:w="0" w:type="auto"/>
            <w:vAlign w:val="center"/>
            <w:hideMark/>
          </w:tcPr>
          <w:p w14:paraId="1B4486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resuelve la ausencia de identidad de cliente en el core tradicional</w:t>
            </w:r>
          </w:p>
        </w:tc>
        <w:tc>
          <w:tcPr>
            <w:tcW w:w="0" w:type="auto"/>
            <w:vAlign w:val="center"/>
            <w:hideMark/>
          </w:tcPr>
          <w:p w14:paraId="2EDF34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Tratado en 14.8; la atribución vive fuera del core</w:t>
            </w:r>
          </w:p>
        </w:tc>
      </w:tr>
      <w:tr w:rsidR="000444D1" w:rsidRPr="000444D1" w14:paraId="4933C1DA" w14:textId="77777777">
        <w:trPr>
          <w:tblCellSpacing w:w="15" w:type="dxa"/>
        </w:trPr>
        <w:tc>
          <w:tcPr>
            <w:tcW w:w="0" w:type="auto"/>
            <w:vAlign w:val="center"/>
            <w:hideMark/>
          </w:tcPr>
          <w:p w14:paraId="5C2B4F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Depende de la corrección del catálogo de productos</w:t>
            </w:r>
          </w:p>
        </w:tc>
        <w:tc>
          <w:tcPr>
            <w:tcW w:w="0" w:type="auto"/>
            <w:vAlign w:val="center"/>
            <w:hideMark/>
          </w:tcPr>
          <w:p w14:paraId="0486FA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D2 se convierte en un componente crítico: un error en su dato enruta operaciones al core equivocado. Se mitiga con validación en el despliegue del cambio y con la reconciliación diaria</w:t>
            </w:r>
          </w:p>
        </w:tc>
      </w:tr>
    </w:tbl>
    <w:p w14:paraId="61A0AF1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última fila merece énfasis: la estrategia concentra en un único dato —la relación producto-core— la corrección de todo el enrutamiento transaccional. Es una simplificación deliberada, porque concentrar esa decisión en un lugar auditable es preferible a distribuirla, pero exige tratar ese dato con el mismo rigor que un cambio de código.</w:t>
      </w:r>
    </w:p>
    <w:p w14:paraId="6C692E70"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7DA61FF6">
          <v:rect id="Horizontal Line 554"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A2763EB"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12. Estrategia de APIs y mensajería</w:t>
      </w:r>
    </w:p>
    <w:p w14:paraId="7430F12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contrato presentado en esta sección corresponde a un componente identificado en las secciones 7 y 8; no se introducen interfaces sin propietario.</w:t>
      </w:r>
    </w:p>
    <w:p w14:paraId="149F7920"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lastRenderedPageBreak/>
        <w:t>12.1 Taxonomía de APIs</w:t>
      </w:r>
    </w:p>
    <w:p w14:paraId="44F676F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adopta una clasificación en tres capas. Su propósito es evitar que un mismo contrato sirva a audiencias con necesidades incompatibles, que es el origen habitual de las APIs sobrecargadas.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1798"/>
        <w:gridCol w:w="1733"/>
        <w:gridCol w:w="2016"/>
        <w:gridCol w:w="2352"/>
      </w:tblGrid>
      <w:tr w:rsidR="000444D1" w:rsidRPr="000444D1" w14:paraId="74D004A7" w14:textId="77777777">
        <w:trPr>
          <w:tblHeader/>
          <w:tblCellSpacing w:w="15" w:type="dxa"/>
        </w:trPr>
        <w:tc>
          <w:tcPr>
            <w:tcW w:w="0" w:type="auto"/>
            <w:vAlign w:val="center"/>
            <w:hideMark/>
          </w:tcPr>
          <w:p w14:paraId="3E3E163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w:t>
            </w:r>
          </w:p>
        </w:tc>
        <w:tc>
          <w:tcPr>
            <w:tcW w:w="0" w:type="auto"/>
            <w:vAlign w:val="center"/>
            <w:hideMark/>
          </w:tcPr>
          <w:p w14:paraId="6EE69F2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Propietario</w:t>
            </w:r>
          </w:p>
        </w:tc>
        <w:tc>
          <w:tcPr>
            <w:tcW w:w="0" w:type="auto"/>
            <w:vAlign w:val="center"/>
            <w:hideMark/>
          </w:tcPr>
          <w:p w14:paraId="2073B7D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Audiencia</w:t>
            </w:r>
          </w:p>
        </w:tc>
        <w:tc>
          <w:tcPr>
            <w:tcW w:w="0" w:type="auto"/>
            <w:vAlign w:val="center"/>
            <w:hideMark/>
          </w:tcPr>
          <w:p w14:paraId="125F85F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Estabilidad</w:t>
            </w:r>
          </w:p>
        </w:tc>
        <w:tc>
          <w:tcPr>
            <w:tcW w:w="0" w:type="auto"/>
            <w:vAlign w:val="center"/>
            <w:hideMark/>
          </w:tcPr>
          <w:p w14:paraId="75A2778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Ejemplo</w:t>
            </w:r>
          </w:p>
        </w:tc>
      </w:tr>
      <w:tr w:rsidR="000444D1" w:rsidRPr="000444D1" w14:paraId="0A6E44B9" w14:textId="77777777">
        <w:trPr>
          <w:tblCellSpacing w:w="15" w:type="dxa"/>
        </w:trPr>
        <w:tc>
          <w:tcPr>
            <w:tcW w:w="0" w:type="auto"/>
            <w:vAlign w:val="center"/>
            <w:hideMark/>
          </w:tcPr>
          <w:p w14:paraId="6B4F64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API de sistema</w:t>
            </w:r>
          </w:p>
        </w:tc>
        <w:tc>
          <w:tcPr>
            <w:tcW w:w="0" w:type="auto"/>
            <w:vAlign w:val="center"/>
            <w:hideMark/>
          </w:tcPr>
          <w:p w14:paraId="5FD6B50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Adaptadores (ACL, core digital)</w:t>
            </w:r>
          </w:p>
        </w:tc>
        <w:tc>
          <w:tcPr>
            <w:tcW w:w="0" w:type="auto"/>
            <w:vAlign w:val="center"/>
            <w:hideMark/>
          </w:tcPr>
          <w:p w14:paraId="4AEC19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Solo servicios de dominio internos</w:t>
            </w:r>
          </w:p>
        </w:tc>
        <w:tc>
          <w:tcPr>
            <w:tcW w:w="0" w:type="auto"/>
            <w:vAlign w:val="center"/>
            <w:hideMark/>
          </w:tcPr>
          <w:p w14:paraId="5E9267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Alta — cambia con el sistema subyacente</w:t>
            </w:r>
          </w:p>
        </w:tc>
        <w:tc>
          <w:tcPr>
            <w:tcW w:w="0" w:type="auto"/>
            <w:vAlign w:val="center"/>
            <w:hideMark/>
          </w:tcPr>
          <w:p w14:paraId="31A10C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Puertos canónicos hacia los cores</w:t>
            </w:r>
          </w:p>
        </w:tc>
      </w:tr>
      <w:tr w:rsidR="000444D1" w:rsidRPr="000444D1" w14:paraId="24555227" w14:textId="77777777">
        <w:trPr>
          <w:tblCellSpacing w:w="15" w:type="dxa"/>
        </w:trPr>
        <w:tc>
          <w:tcPr>
            <w:tcW w:w="0" w:type="auto"/>
            <w:vAlign w:val="center"/>
            <w:hideMark/>
          </w:tcPr>
          <w:p w14:paraId="434F24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API de proceso</w:t>
            </w:r>
          </w:p>
        </w:tc>
        <w:tc>
          <w:tcPr>
            <w:tcW w:w="0" w:type="auto"/>
            <w:vAlign w:val="center"/>
            <w:hideMark/>
          </w:tcPr>
          <w:p w14:paraId="4E3B24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Servicios de dominio (D1–D9)</w:t>
            </w:r>
          </w:p>
        </w:tc>
        <w:tc>
          <w:tcPr>
            <w:tcW w:w="0" w:type="auto"/>
            <w:vAlign w:val="center"/>
            <w:hideMark/>
          </w:tcPr>
          <w:p w14:paraId="4DF4EB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 y otros servicios de dominio</w:t>
            </w:r>
          </w:p>
        </w:tc>
        <w:tc>
          <w:tcPr>
            <w:tcW w:w="0" w:type="auto"/>
            <w:vAlign w:val="center"/>
            <w:hideMark/>
          </w:tcPr>
          <w:p w14:paraId="47FEE1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Alta — es el contrato de negocio</w:t>
            </w:r>
          </w:p>
        </w:tc>
        <w:tc>
          <w:tcPr>
            <w:tcW w:w="0" w:type="auto"/>
            <w:vAlign w:val="center"/>
            <w:hideMark/>
          </w:tcPr>
          <w:p w14:paraId="182025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POST /v1/ordenes-pago</w:t>
            </w:r>
          </w:p>
        </w:tc>
      </w:tr>
      <w:tr w:rsidR="000444D1" w:rsidRPr="000444D1" w14:paraId="77FC1E23" w14:textId="77777777">
        <w:trPr>
          <w:tblCellSpacing w:w="15" w:type="dxa"/>
        </w:trPr>
        <w:tc>
          <w:tcPr>
            <w:tcW w:w="0" w:type="auto"/>
            <w:vAlign w:val="center"/>
            <w:hideMark/>
          </w:tcPr>
          <w:p w14:paraId="783D71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API de experiencia</w:t>
            </w:r>
          </w:p>
        </w:tc>
        <w:tc>
          <w:tcPr>
            <w:tcW w:w="0" w:type="auto"/>
            <w:vAlign w:val="center"/>
            <w:hideMark/>
          </w:tcPr>
          <w:p w14:paraId="6832FC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w:t>
            </w:r>
          </w:p>
        </w:tc>
        <w:tc>
          <w:tcPr>
            <w:tcW w:w="0" w:type="auto"/>
            <w:vAlign w:val="center"/>
            <w:hideMark/>
          </w:tcPr>
          <w:p w14:paraId="0717A7F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único canal</w:t>
            </w:r>
          </w:p>
        </w:tc>
        <w:tc>
          <w:tcPr>
            <w:tcW w:w="0" w:type="auto"/>
            <w:vAlign w:val="center"/>
            <w:hideMark/>
          </w:tcPr>
          <w:p w14:paraId="3193BA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Baja — evoluciona con la interfaz</w:t>
            </w:r>
          </w:p>
        </w:tc>
        <w:tc>
          <w:tcPr>
            <w:tcW w:w="0" w:type="auto"/>
            <w:vAlign w:val="center"/>
            <w:hideMark/>
          </w:tcPr>
          <w:p w14:paraId="0B73E3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GET /movil/v1/inicio</w:t>
            </w:r>
          </w:p>
        </w:tc>
      </w:tr>
    </w:tbl>
    <w:p w14:paraId="1E1D2E8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Las APIs de sistema </w:t>
      </w:r>
      <w:r w:rsidRPr="000444D1">
        <w:rPr>
          <w:rFonts w:ascii="Times New Roman" w:eastAsia="Times New Roman" w:hAnsi="Times New Roman" w:cs="Times New Roman"/>
          <w:b/>
          <w:bCs/>
          <w:kern w:val="0"/>
          <w14:ligatures w14:val="none"/>
        </w:rPr>
        <w:t>nunca se exponen fuera del perímetro</w:t>
      </w:r>
      <w:r w:rsidRPr="000444D1">
        <w:rPr>
          <w:rFonts w:ascii="Times New Roman" w:eastAsia="Times New Roman" w:hAnsi="Times New Roman" w:cs="Times New Roman"/>
          <w:kern w:val="0"/>
          <w14:ligatures w14:val="none"/>
        </w:rPr>
        <w:t>, ni siquiera a los BFF. La razón es directa: exponerlas filtraría la existencia de dos cores hacia arriba, deshaciendo el aislamiento que el ADR-001 y el ADR-002 construyen.</w:t>
      </w:r>
    </w:p>
    <w:p w14:paraId="608E0C9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Internas frente a externas.</w:t>
      </w:r>
      <w:r w:rsidRPr="000444D1">
        <w:rPr>
          <w:rFonts w:ascii="Times New Roman" w:eastAsia="Times New Roman" w:hAnsi="Times New Roman" w:cs="Times New Roman"/>
          <w:kern w:val="0"/>
          <w14:ligatures w14:val="none"/>
        </w:rPr>
        <w:t xml:space="preserve"> Las APIs externas (Open Finance) no son APIs internas con más seguridad: son un contrato distinto, con su propio ciclo de vida, gobernado por normativa y no por las necesidades del banco. Se publican en el gateway externo, con versionado independiente y política de deprecación más conservadora (sección 16).</w:t>
      </w:r>
    </w:p>
    <w:p w14:paraId="4484DA4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12.2 Estándares de industria adoptados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1607"/>
        <w:gridCol w:w="5952"/>
      </w:tblGrid>
      <w:tr w:rsidR="000444D1" w:rsidRPr="000444D1" w14:paraId="0F87E9E0" w14:textId="77777777">
        <w:trPr>
          <w:tblHeader/>
          <w:tblCellSpacing w:w="15" w:type="dxa"/>
        </w:trPr>
        <w:tc>
          <w:tcPr>
            <w:tcW w:w="0" w:type="auto"/>
            <w:vAlign w:val="center"/>
            <w:hideMark/>
          </w:tcPr>
          <w:p w14:paraId="37B6100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Ámbito</w:t>
            </w:r>
          </w:p>
        </w:tc>
        <w:tc>
          <w:tcPr>
            <w:tcW w:w="0" w:type="auto"/>
            <w:vAlign w:val="center"/>
            <w:hideMark/>
          </w:tcPr>
          <w:p w14:paraId="5E91FEF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Estándar</w:t>
            </w:r>
          </w:p>
        </w:tc>
        <w:tc>
          <w:tcPr>
            <w:tcW w:w="0" w:type="auto"/>
            <w:vAlign w:val="center"/>
            <w:hideMark/>
          </w:tcPr>
          <w:p w14:paraId="21F001F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Aplicación concreta</w:t>
            </w:r>
          </w:p>
        </w:tc>
      </w:tr>
      <w:tr w:rsidR="000444D1" w:rsidRPr="000444D1" w14:paraId="06B2CD7D" w14:textId="77777777">
        <w:trPr>
          <w:tblCellSpacing w:w="15" w:type="dxa"/>
        </w:trPr>
        <w:tc>
          <w:tcPr>
            <w:tcW w:w="0" w:type="auto"/>
            <w:vAlign w:val="center"/>
            <w:hideMark/>
          </w:tcPr>
          <w:p w14:paraId="6C23EF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Semántica de dominio</w:t>
            </w:r>
          </w:p>
        </w:tc>
        <w:tc>
          <w:tcPr>
            <w:tcW w:w="0" w:type="auto"/>
            <w:vAlign w:val="center"/>
            <w:hideMark/>
          </w:tcPr>
          <w:p w14:paraId="39BAD7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BIAN Service Landscape</w:t>
            </w:r>
          </w:p>
        </w:tc>
        <w:tc>
          <w:tcPr>
            <w:tcW w:w="0" w:type="auto"/>
            <w:vAlign w:val="center"/>
            <w:hideMark/>
          </w:tcPr>
          <w:p w14:paraId="4FE106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Nomenclatura de servicios y recursos; alineación de las operaciones con el alcance del Service Domain correspondiente</w:t>
            </w:r>
          </w:p>
        </w:tc>
      </w:tr>
      <w:tr w:rsidR="000444D1" w:rsidRPr="000444D1" w14:paraId="301205FC" w14:textId="77777777">
        <w:trPr>
          <w:tblCellSpacing w:w="15" w:type="dxa"/>
        </w:trPr>
        <w:tc>
          <w:tcPr>
            <w:tcW w:w="0" w:type="auto"/>
            <w:vAlign w:val="center"/>
            <w:hideMark/>
          </w:tcPr>
          <w:p w14:paraId="1481EBE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Mensajería de pagos</w:t>
            </w:r>
          </w:p>
        </w:tc>
        <w:tc>
          <w:tcPr>
            <w:tcW w:w="0" w:type="auto"/>
            <w:vAlign w:val="center"/>
            <w:hideMark/>
          </w:tcPr>
          <w:p w14:paraId="5744FA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ISO 20022</w:t>
            </w:r>
          </w:p>
        </w:tc>
        <w:tc>
          <w:tcPr>
            <w:tcW w:w="0" w:type="auto"/>
            <w:vAlign w:val="center"/>
            <w:hideMark/>
          </w:tcPr>
          <w:p w14:paraId="0C3D8B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pain.001</w:t>
            </w:r>
            <w:r w:rsidRPr="000444D1">
              <w:rPr>
                <w:rFonts w:ascii="Times New Roman" w:eastAsia="Times New Roman" w:hAnsi="Times New Roman" w:cs="Times New Roman"/>
                <w:kern w:val="0"/>
                <w14:ligatures w14:val="none"/>
              </w:rPr>
              <w:t xml:space="preserve"> para iniciación de pago hacia redes externas; </w:t>
            </w:r>
            <w:r w:rsidRPr="000444D1">
              <w:rPr>
                <w:rFonts w:ascii="Courier New" w:eastAsia="Times New Roman" w:hAnsi="Courier New" w:cs="Courier New"/>
                <w:kern w:val="0"/>
                <w:sz w:val="20"/>
                <w:szCs w:val="20"/>
                <w14:ligatures w14:val="none"/>
              </w:rPr>
              <w:t>pacs.008</w:t>
            </w:r>
            <w:r w:rsidRPr="000444D1">
              <w:rPr>
                <w:rFonts w:ascii="Times New Roman" w:eastAsia="Times New Roman" w:hAnsi="Times New Roman" w:cs="Times New Roman"/>
                <w:kern w:val="0"/>
                <w14:ligatures w14:val="none"/>
              </w:rPr>
              <w:t xml:space="preserve"> para transferencia interbancaria; </w:t>
            </w:r>
            <w:r w:rsidRPr="000444D1">
              <w:rPr>
                <w:rFonts w:ascii="Courier New" w:eastAsia="Times New Roman" w:hAnsi="Courier New" w:cs="Courier New"/>
                <w:kern w:val="0"/>
                <w:sz w:val="20"/>
                <w:szCs w:val="20"/>
                <w14:ligatures w14:val="none"/>
              </w:rPr>
              <w:t>camt.05x</w:t>
            </w:r>
            <w:r w:rsidRPr="000444D1">
              <w:rPr>
                <w:rFonts w:ascii="Times New Roman" w:eastAsia="Times New Roman" w:hAnsi="Times New Roman" w:cs="Times New Roman"/>
                <w:kern w:val="0"/>
                <w14:ligatures w14:val="none"/>
              </w:rPr>
              <w:t xml:space="preserve"> para reportería de movimientos. La traducción ocurre en el adaptador de redes de pago, no en el dominio</w:t>
            </w:r>
          </w:p>
        </w:tc>
      </w:tr>
      <w:tr w:rsidR="000444D1" w:rsidRPr="000444D1" w14:paraId="40F5B9E0" w14:textId="77777777">
        <w:trPr>
          <w:tblCellSpacing w:w="15" w:type="dxa"/>
        </w:trPr>
        <w:tc>
          <w:tcPr>
            <w:tcW w:w="0" w:type="auto"/>
            <w:vAlign w:val="center"/>
            <w:hideMark/>
          </w:tcPr>
          <w:p w14:paraId="3E7C61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Descripción de APIs síncronas</w:t>
            </w:r>
          </w:p>
        </w:tc>
        <w:tc>
          <w:tcPr>
            <w:tcW w:w="0" w:type="auto"/>
            <w:vAlign w:val="center"/>
            <w:hideMark/>
          </w:tcPr>
          <w:p w14:paraId="44C673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OpenAPI 3.1</w:t>
            </w:r>
          </w:p>
        </w:tc>
        <w:tc>
          <w:tcPr>
            <w:tcW w:w="0" w:type="auto"/>
            <w:vAlign w:val="center"/>
            <w:hideMark/>
          </w:tcPr>
          <w:p w14:paraId="0C3AA5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 de toda API de proceso y de experiencia</w:t>
            </w:r>
          </w:p>
        </w:tc>
      </w:tr>
      <w:tr w:rsidR="000444D1" w:rsidRPr="000444D1" w14:paraId="408BA74B" w14:textId="77777777">
        <w:trPr>
          <w:tblCellSpacing w:w="15" w:type="dxa"/>
        </w:trPr>
        <w:tc>
          <w:tcPr>
            <w:tcW w:w="0" w:type="auto"/>
            <w:vAlign w:val="center"/>
            <w:hideMark/>
          </w:tcPr>
          <w:p w14:paraId="2DE89B4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Descripción de APIs asíncronas</w:t>
            </w:r>
          </w:p>
        </w:tc>
        <w:tc>
          <w:tcPr>
            <w:tcW w:w="0" w:type="auto"/>
            <w:vAlign w:val="center"/>
            <w:hideMark/>
          </w:tcPr>
          <w:p w14:paraId="4F9978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AsyncAPI 3.0</w:t>
            </w:r>
          </w:p>
        </w:tc>
        <w:tc>
          <w:tcPr>
            <w:tcW w:w="0" w:type="auto"/>
            <w:vAlign w:val="center"/>
            <w:hideMark/>
          </w:tcPr>
          <w:p w14:paraId="4DA4A6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 de todo evento publicado en el bus</w:t>
            </w:r>
          </w:p>
        </w:tc>
      </w:tr>
      <w:tr w:rsidR="000444D1" w:rsidRPr="000444D1" w14:paraId="77EBB5FD" w14:textId="77777777">
        <w:trPr>
          <w:tblCellSpacing w:w="15" w:type="dxa"/>
        </w:trPr>
        <w:tc>
          <w:tcPr>
            <w:tcW w:w="0" w:type="auto"/>
            <w:vAlign w:val="center"/>
            <w:hideMark/>
          </w:tcPr>
          <w:p w14:paraId="489DB6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Errores HTTP</w:t>
            </w:r>
          </w:p>
        </w:tc>
        <w:tc>
          <w:tcPr>
            <w:tcW w:w="0" w:type="auto"/>
            <w:vAlign w:val="center"/>
            <w:hideMark/>
          </w:tcPr>
          <w:p w14:paraId="65656C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RFC 9457 — Problem Details</w:t>
            </w:r>
          </w:p>
        </w:tc>
        <w:tc>
          <w:tcPr>
            <w:tcW w:w="0" w:type="auto"/>
            <w:vAlign w:val="center"/>
            <w:hideMark/>
          </w:tcPr>
          <w:p w14:paraId="7EF0D3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Formato único de error en todas las APIs</w:t>
            </w:r>
          </w:p>
        </w:tc>
      </w:tr>
      <w:tr w:rsidR="000444D1" w:rsidRPr="000444D1" w14:paraId="295F9341" w14:textId="77777777">
        <w:trPr>
          <w:tblCellSpacing w:w="15" w:type="dxa"/>
        </w:trPr>
        <w:tc>
          <w:tcPr>
            <w:tcW w:w="0" w:type="auto"/>
            <w:vAlign w:val="center"/>
            <w:hideMark/>
          </w:tcPr>
          <w:p w14:paraId="28B1B0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Seguridad de APIs externas</w:t>
            </w:r>
          </w:p>
        </w:tc>
        <w:tc>
          <w:tcPr>
            <w:tcW w:w="0" w:type="auto"/>
            <w:vAlign w:val="center"/>
            <w:hideMark/>
          </w:tcPr>
          <w:p w14:paraId="43C780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FAPI 2.0</w:t>
            </w:r>
            <w:r w:rsidRPr="000444D1">
              <w:rPr>
                <w:rFonts w:ascii="Times New Roman" w:eastAsia="Times New Roman" w:hAnsi="Times New Roman" w:cs="Times New Roman"/>
                <w:kern w:val="0"/>
                <w14:ligatures w14:val="none"/>
              </w:rPr>
              <w:t xml:space="preserve"> sobre OAuth 2.0</w:t>
            </w:r>
          </w:p>
        </w:tc>
        <w:tc>
          <w:tcPr>
            <w:tcW w:w="0" w:type="auto"/>
            <w:vAlign w:val="center"/>
            <w:hideMark/>
          </w:tcPr>
          <w:p w14:paraId="578F23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Perfil de seguridad del gateway externo</w:t>
            </w:r>
          </w:p>
        </w:tc>
      </w:tr>
      <w:tr w:rsidR="000444D1" w:rsidRPr="000444D1" w14:paraId="392F328F" w14:textId="77777777">
        <w:trPr>
          <w:tblCellSpacing w:w="15" w:type="dxa"/>
        </w:trPr>
        <w:tc>
          <w:tcPr>
            <w:tcW w:w="0" w:type="auto"/>
            <w:vAlign w:val="center"/>
            <w:hideMark/>
          </w:tcPr>
          <w:p w14:paraId="52A0E06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Identificación de trazas</w:t>
            </w:r>
          </w:p>
        </w:tc>
        <w:tc>
          <w:tcPr>
            <w:tcW w:w="0" w:type="auto"/>
            <w:vAlign w:val="center"/>
            <w:hideMark/>
          </w:tcPr>
          <w:p w14:paraId="00CDCDA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W3C Trace Context</w:t>
            </w:r>
          </w:p>
        </w:tc>
        <w:tc>
          <w:tcPr>
            <w:tcW w:w="0" w:type="auto"/>
            <w:vAlign w:val="center"/>
            <w:hideMark/>
          </w:tcPr>
          <w:p w14:paraId="72581BC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Cabecera </w:t>
            </w:r>
            <w:r w:rsidRPr="000444D1">
              <w:rPr>
                <w:rFonts w:ascii="Courier New" w:eastAsia="Times New Roman" w:hAnsi="Courier New" w:cs="Courier New"/>
                <w:kern w:val="0"/>
                <w:sz w:val="20"/>
                <w:szCs w:val="20"/>
                <w14:ligatures w14:val="none"/>
              </w:rPr>
              <w:t>traceparent</w:t>
            </w:r>
            <w:r w:rsidRPr="000444D1">
              <w:rPr>
                <w:rFonts w:ascii="Times New Roman" w:eastAsia="Times New Roman" w:hAnsi="Times New Roman" w:cs="Times New Roman"/>
                <w:kern w:val="0"/>
                <w14:ligatures w14:val="none"/>
              </w:rPr>
              <w:t>, propagada también dentro del sobre de eventos</w:t>
            </w:r>
          </w:p>
        </w:tc>
      </w:tr>
    </w:tbl>
    <w:p w14:paraId="62B367E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Nota sobre ISO 20022.</w:t>
      </w:r>
      <w:r w:rsidRPr="000444D1">
        <w:rPr>
          <w:rFonts w:ascii="Times New Roman" w:eastAsia="Times New Roman" w:hAnsi="Times New Roman" w:cs="Times New Roman"/>
          <w:kern w:val="0"/>
          <w14:ligatures w14:val="none"/>
        </w:rPr>
        <w:t xml:space="preserve"> El estándar se aplica en la frontera con las redes de pago, no como modelo interno de dominio. Adoptar ISO 20022 como modelo canónico interno acoplaría todos los servicios a un esquema diseñado para interoperabilidad interbancaria, mucho más extenso de lo que requiere la operación doméstica. La traducción se localiza en el adaptador correspondiente, que es exactamente el papel de un adaptador.</w:t>
      </w:r>
    </w:p>
    <w:p w14:paraId="17A5B52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12.3 Convenciones transversales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7925"/>
      </w:tblGrid>
      <w:tr w:rsidR="000444D1" w:rsidRPr="000444D1" w14:paraId="0AED6DE8" w14:textId="77777777">
        <w:trPr>
          <w:tblHeader/>
          <w:tblCellSpacing w:w="15" w:type="dxa"/>
        </w:trPr>
        <w:tc>
          <w:tcPr>
            <w:tcW w:w="0" w:type="auto"/>
            <w:vAlign w:val="center"/>
            <w:hideMark/>
          </w:tcPr>
          <w:p w14:paraId="4B226CE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Convención</w:t>
            </w:r>
          </w:p>
        </w:tc>
        <w:tc>
          <w:tcPr>
            <w:tcW w:w="0" w:type="auto"/>
            <w:vAlign w:val="center"/>
            <w:hideMark/>
          </w:tcPr>
          <w:p w14:paraId="02B8E9C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Regla</w:t>
            </w:r>
          </w:p>
        </w:tc>
      </w:tr>
      <w:tr w:rsidR="000444D1" w:rsidRPr="000444D1" w14:paraId="6122CB69" w14:textId="77777777">
        <w:trPr>
          <w:tblCellSpacing w:w="15" w:type="dxa"/>
        </w:trPr>
        <w:tc>
          <w:tcPr>
            <w:tcW w:w="0" w:type="auto"/>
            <w:vAlign w:val="center"/>
            <w:hideMark/>
          </w:tcPr>
          <w:p w14:paraId="519E25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Versionado</w:t>
            </w:r>
          </w:p>
        </w:tc>
        <w:tc>
          <w:tcPr>
            <w:tcW w:w="0" w:type="auto"/>
            <w:vAlign w:val="center"/>
            <w:hideMark/>
          </w:tcPr>
          <w:p w14:paraId="3B0C47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Versión mayor en la ruta (</w:t>
            </w:r>
            <w:r w:rsidRPr="000444D1">
              <w:rPr>
                <w:rFonts w:ascii="Courier New" w:eastAsia="Times New Roman" w:hAnsi="Courier New" w:cs="Courier New"/>
                <w:kern w:val="0"/>
                <w:sz w:val="20"/>
                <w:szCs w:val="20"/>
                <w14:ligatures w14:val="none"/>
              </w:rPr>
              <w:t>/v1/</w:t>
            </w:r>
            <w:r w:rsidRPr="000444D1">
              <w:rPr>
                <w:rFonts w:ascii="Times New Roman" w:eastAsia="Times New Roman" w:hAnsi="Times New Roman" w:cs="Times New Roman"/>
                <w:kern w:val="0"/>
                <w14:ligatures w14:val="none"/>
              </w:rPr>
              <w:t xml:space="preserve">). Los cambios compatibles no incrementan versión; los incompatibles crean </w:t>
            </w:r>
            <w:r w:rsidRPr="000444D1">
              <w:rPr>
                <w:rFonts w:ascii="Courier New" w:eastAsia="Times New Roman" w:hAnsi="Courier New" w:cs="Courier New"/>
                <w:kern w:val="0"/>
                <w:sz w:val="20"/>
                <w:szCs w:val="20"/>
                <w14:ligatures w14:val="none"/>
              </w:rPr>
              <w:t>/v2/</w:t>
            </w:r>
            <w:r w:rsidRPr="000444D1">
              <w:rPr>
                <w:rFonts w:ascii="Times New Roman" w:eastAsia="Times New Roman" w:hAnsi="Times New Roman" w:cs="Times New Roman"/>
                <w:kern w:val="0"/>
                <w14:ligatures w14:val="none"/>
              </w:rPr>
              <w:t xml:space="preserve"> y ambas conviven durante el periodo de deprecación</w:t>
            </w:r>
          </w:p>
        </w:tc>
      </w:tr>
      <w:tr w:rsidR="000444D1" w:rsidRPr="000444D1" w14:paraId="0D875D2A" w14:textId="77777777">
        <w:trPr>
          <w:tblCellSpacing w:w="15" w:type="dxa"/>
        </w:trPr>
        <w:tc>
          <w:tcPr>
            <w:tcW w:w="0" w:type="auto"/>
            <w:vAlign w:val="center"/>
            <w:hideMark/>
          </w:tcPr>
          <w:p w14:paraId="0EE262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Idempotencia</w:t>
            </w:r>
          </w:p>
        </w:tc>
        <w:tc>
          <w:tcPr>
            <w:tcW w:w="0" w:type="auto"/>
            <w:vAlign w:val="center"/>
            <w:hideMark/>
          </w:tcPr>
          <w:p w14:paraId="1DE5A2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Toda operación de escritura acepta </w:t>
            </w:r>
            <w:r w:rsidRPr="000444D1">
              <w:rPr>
                <w:rFonts w:ascii="Courier New" w:eastAsia="Times New Roman" w:hAnsi="Courier New" w:cs="Courier New"/>
                <w:kern w:val="0"/>
                <w:sz w:val="20"/>
                <w:szCs w:val="20"/>
                <w14:ligatures w14:val="none"/>
              </w:rPr>
              <w:t>Idempotency-Key</w:t>
            </w:r>
            <w:r w:rsidRPr="000444D1">
              <w:rPr>
                <w:rFonts w:ascii="Times New Roman" w:eastAsia="Times New Roman" w:hAnsi="Times New Roman" w:cs="Times New Roman"/>
                <w:kern w:val="0"/>
                <w14:ligatures w14:val="none"/>
              </w:rPr>
              <w:t>. Es obligatoria en originación de pagos</w:t>
            </w:r>
          </w:p>
        </w:tc>
      </w:tr>
      <w:tr w:rsidR="000444D1" w:rsidRPr="000444D1" w14:paraId="3A167A8E" w14:textId="77777777">
        <w:trPr>
          <w:tblCellSpacing w:w="15" w:type="dxa"/>
        </w:trPr>
        <w:tc>
          <w:tcPr>
            <w:tcW w:w="0" w:type="auto"/>
            <w:vAlign w:val="center"/>
            <w:hideMark/>
          </w:tcPr>
          <w:p w14:paraId="1D0DD8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Correlación</w:t>
            </w:r>
          </w:p>
        </w:tc>
        <w:tc>
          <w:tcPr>
            <w:tcW w:w="0" w:type="auto"/>
            <w:vAlign w:val="center"/>
            <w:hideMark/>
          </w:tcPr>
          <w:p w14:paraId="3743AB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traceparent</w:t>
            </w:r>
            <w:r w:rsidRPr="000444D1">
              <w:rPr>
                <w:rFonts w:ascii="Times New Roman" w:eastAsia="Times New Roman" w:hAnsi="Times New Roman" w:cs="Times New Roman"/>
                <w:kern w:val="0"/>
                <w14:ligatures w14:val="none"/>
              </w:rPr>
              <w:t xml:space="preserve"> obligatorio; si el cliente no lo envía, el gateway lo genera</w:t>
            </w:r>
          </w:p>
        </w:tc>
      </w:tr>
      <w:tr w:rsidR="000444D1" w:rsidRPr="000444D1" w14:paraId="5AA784B8" w14:textId="77777777">
        <w:trPr>
          <w:tblCellSpacing w:w="15" w:type="dxa"/>
        </w:trPr>
        <w:tc>
          <w:tcPr>
            <w:tcW w:w="0" w:type="auto"/>
            <w:vAlign w:val="center"/>
            <w:hideMark/>
          </w:tcPr>
          <w:p w14:paraId="0B6870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Errores</w:t>
            </w:r>
          </w:p>
        </w:tc>
        <w:tc>
          <w:tcPr>
            <w:tcW w:w="0" w:type="auto"/>
            <w:vAlign w:val="center"/>
            <w:hideMark/>
          </w:tcPr>
          <w:p w14:paraId="40B0D3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RFC 9457, con </w:t>
            </w:r>
            <w:r w:rsidRPr="000444D1">
              <w:rPr>
                <w:rFonts w:ascii="Courier New" w:eastAsia="Times New Roman" w:hAnsi="Courier New" w:cs="Courier New"/>
                <w:kern w:val="0"/>
                <w:sz w:val="20"/>
                <w:szCs w:val="20"/>
                <w14:ligatures w14:val="none"/>
              </w:rPr>
              <w:t>type</w:t>
            </w:r>
            <w:r w:rsidRPr="000444D1">
              <w:rPr>
                <w:rFonts w:ascii="Times New Roman" w:eastAsia="Times New Roman" w:hAnsi="Times New Roman" w:cs="Times New Roman"/>
                <w:kern w:val="0"/>
                <w14:ligatures w14:val="none"/>
              </w:rPr>
              <w:t xml:space="preserve"> apuntando a un catálogo público de errores del banco</w:t>
            </w:r>
          </w:p>
        </w:tc>
      </w:tr>
      <w:tr w:rsidR="000444D1" w:rsidRPr="000444D1" w14:paraId="3B54AB90" w14:textId="77777777">
        <w:trPr>
          <w:tblCellSpacing w:w="15" w:type="dxa"/>
        </w:trPr>
        <w:tc>
          <w:tcPr>
            <w:tcW w:w="0" w:type="auto"/>
            <w:vAlign w:val="center"/>
            <w:hideMark/>
          </w:tcPr>
          <w:p w14:paraId="679B6C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Paginación</w:t>
            </w:r>
          </w:p>
        </w:tc>
        <w:tc>
          <w:tcPr>
            <w:tcW w:w="0" w:type="auto"/>
            <w:vAlign w:val="center"/>
            <w:hideMark/>
          </w:tcPr>
          <w:p w14:paraId="50AA96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Basada en cursor, nunca en desplazamiento, para estabilidad ante inserciones concurrentes</w:t>
            </w:r>
          </w:p>
        </w:tc>
      </w:tr>
      <w:tr w:rsidR="000444D1" w:rsidRPr="000444D1" w14:paraId="59DD51DC" w14:textId="77777777">
        <w:trPr>
          <w:tblCellSpacing w:w="15" w:type="dxa"/>
        </w:trPr>
        <w:tc>
          <w:tcPr>
            <w:tcW w:w="0" w:type="auto"/>
            <w:vAlign w:val="center"/>
            <w:hideMark/>
          </w:tcPr>
          <w:p w14:paraId="3A4697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Nomenclatura</w:t>
            </w:r>
          </w:p>
        </w:tc>
        <w:tc>
          <w:tcPr>
            <w:tcW w:w="0" w:type="auto"/>
            <w:vAlign w:val="center"/>
            <w:hideMark/>
          </w:tcPr>
          <w:p w14:paraId="413CF0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Recursos en plural y en español, alineados al Service Domain: </w:t>
            </w:r>
            <w:r w:rsidRPr="000444D1">
              <w:rPr>
                <w:rFonts w:ascii="Courier New" w:eastAsia="Times New Roman" w:hAnsi="Courier New" w:cs="Courier New"/>
                <w:kern w:val="0"/>
                <w:sz w:val="20"/>
                <w:szCs w:val="20"/>
                <w14:ligatures w14:val="none"/>
              </w:rPr>
              <w:t>ordenes-pago</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consentimientos</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posicion</w:t>
            </w:r>
          </w:p>
        </w:tc>
      </w:tr>
    </w:tbl>
    <w:p w14:paraId="1A9A425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12.4 Ejemplos de API</w:t>
      </w:r>
    </w:p>
    <w:p w14:paraId="2AF08A4E"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API de proceso — originación de pago (interna, D4)</w:t>
      </w:r>
    </w:p>
    <w:p w14:paraId="68F6A5B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paths:</w:t>
      </w:r>
    </w:p>
    <w:p w14:paraId="5940D72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/v1/ordenes-pago:</w:t>
      </w:r>
    </w:p>
    <w:p w14:paraId="278A629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post:</w:t>
      </w:r>
    </w:p>
    <w:p w14:paraId="02F5CF0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summary: Registra una orden de pago e inicia su ejecución</w:t>
      </w:r>
    </w:p>
    <w:p w14:paraId="2B14A0B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operationId: registrarOrdenPago</w:t>
      </w:r>
    </w:p>
    <w:p w14:paraId="5165ECB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parameters:</w:t>
      </w:r>
    </w:p>
    <w:p w14:paraId="4E36F25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 name: Idempotency-Key</w:t>
      </w:r>
    </w:p>
    <w:p w14:paraId="2CFC910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in: header</w:t>
      </w:r>
    </w:p>
    <w:p w14:paraId="7053CE8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true</w:t>
      </w:r>
    </w:p>
    <w:p w14:paraId="5A279C0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 { type: string, format: uuid }</w:t>
      </w:r>
    </w:p>
    <w:p w14:paraId="3C99001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 name: traceparent</w:t>
      </w:r>
    </w:p>
    <w:p w14:paraId="54A687B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in: header</w:t>
      </w:r>
    </w:p>
    <w:p w14:paraId="13B16B3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true</w:t>
      </w:r>
    </w:p>
    <w:p w14:paraId="186C1BB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 { type: string }</w:t>
      </w:r>
    </w:p>
    <w:p w14:paraId="06700E6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requestBody:</w:t>
      </w:r>
    </w:p>
    <w:p w14:paraId="13E6485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true</w:t>
      </w:r>
    </w:p>
    <w:p w14:paraId="0472C65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content:</w:t>
      </w:r>
    </w:p>
    <w:p w14:paraId="422EE38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application/json:</w:t>
      </w:r>
    </w:p>
    <w:p w14:paraId="1BDC4EB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lastRenderedPageBreak/>
        <w:t xml:space="preserve">            schema:</w:t>
      </w:r>
    </w:p>
    <w:p w14:paraId="6DC3DE8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object</w:t>
      </w:r>
    </w:p>
    <w:p w14:paraId="0E3CAF0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[cuentaOrigen, cuentaDestino, monto, moneda, concepto]</w:t>
      </w:r>
    </w:p>
    <w:p w14:paraId="4914164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properties:</w:t>
      </w:r>
    </w:p>
    <w:p w14:paraId="22A7A77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cuentaOrigen:   { type: string }</w:t>
      </w:r>
    </w:p>
    <w:p w14:paraId="14D05BD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cuentaDestino:  { type: string }</w:t>
      </w:r>
    </w:p>
    <w:p w14:paraId="1861331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monto:          { type: string, description: "Decimal como cadena" }</w:t>
      </w:r>
    </w:p>
    <w:p w14:paraId="63F27C6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moneda:         { type: string, minLength: 3, maxLength: 3 }</w:t>
      </w:r>
    </w:p>
    <w:p w14:paraId="689A92D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concepto:       { type: string, maxLength: 140 }</w:t>
      </w:r>
    </w:p>
    <w:p w14:paraId="0CFF464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responses:</w:t>
      </w:r>
    </w:p>
    <w:p w14:paraId="3836D56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"201":</w:t>
      </w:r>
    </w:p>
    <w:p w14:paraId="2AA677B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description: Orden registrada y ejecutada</w:t>
      </w:r>
    </w:p>
    <w:p w14:paraId="4F4B550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content:</w:t>
      </w:r>
    </w:p>
    <w:p w14:paraId="180A24E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application/json:</w:t>
      </w:r>
    </w:p>
    <w:p w14:paraId="58362AE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w:t>
      </w:r>
    </w:p>
    <w:p w14:paraId="3117AA5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object</w:t>
      </w:r>
    </w:p>
    <w:p w14:paraId="73EFAD9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properties:</w:t>
      </w:r>
    </w:p>
    <w:p w14:paraId="4CE2703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idOrden:      { type: string, format: uuid }</w:t>
      </w:r>
    </w:p>
    <w:p w14:paraId="25F7AE0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estado:       { type: string, enum: [ejecutada, rechazada, en_verificacion] }</w:t>
      </w:r>
    </w:p>
    <w:p w14:paraId="29DCC17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fechaValor:   { type: string, format: date }</w:t>
      </w:r>
    </w:p>
    <w:p w14:paraId="14F6305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"409":</w:t>
      </w:r>
    </w:p>
    <w:p w14:paraId="43AA6CF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description: La clave de idempotencia ya fue usada con un cuerpo distinto</w:t>
      </w:r>
    </w:p>
    <w:p w14:paraId="7C22883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"422":</w:t>
      </w:r>
    </w:p>
    <w:p w14:paraId="53D0429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description: Rechazada por evaluación de fraude o por el core propietario</w:t>
      </w:r>
    </w:p>
    <w:p w14:paraId="7797F69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content:</w:t>
      </w:r>
    </w:p>
    <w:p w14:paraId="1BDD021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application/problem+json:</w:t>
      </w:r>
    </w:p>
    <w:p w14:paraId="08A5D50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 { $ref: "#/components/schemas/ProblemDetails" }</w:t>
      </w:r>
    </w:p>
    <w:p w14:paraId="5CEAD2A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Decisiones visibles en este contrato.</w:t>
      </w:r>
      <w:r w:rsidRPr="000444D1">
        <w:rPr>
          <w:rFonts w:ascii="Times New Roman" w:eastAsia="Times New Roman" w:hAnsi="Times New Roman" w:cs="Times New Roman"/>
          <w:kern w:val="0"/>
          <w14:ligatures w14:val="none"/>
        </w:rPr>
        <w:t xml:space="preserve"> El monto se transporta como cadena para evitar la pérdida de precisión de los números en coma flotante de JSON. El estado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es parte del contrato público, no un detalle interno: el canal debe saber que existe un desenlace que no es ni éxito ni fallo, y presentarlo al cliente como tal (sección 9.1). El </w:t>
      </w:r>
      <w:r w:rsidRPr="000444D1">
        <w:rPr>
          <w:rFonts w:ascii="Courier New" w:eastAsia="Times New Roman" w:hAnsi="Courier New" w:cs="Courier New"/>
          <w:kern w:val="0"/>
          <w:sz w:val="20"/>
          <w:szCs w:val="20"/>
          <w14:ligatures w14:val="none"/>
        </w:rPr>
        <w:t>409</w:t>
      </w:r>
      <w:r w:rsidRPr="000444D1">
        <w:rPr>
          <w:rFonts w:ascii="Times New Roman" w:eastAsia="Times New Roman" w:hAnsi="Times New Roman" w:cs="Times New Roman"/>
          <w:kern w:val="0"/>
          <w14:ligatures w14:val="none"/>
        </w:rPr>
        <w:t xml:space="preserve"> distingue el reintento legítimo —misma clave, mismo cuerpo, que devuelve la respuesta original— del uso incorrecto de la clave.</w:t>
      </w:r>
    </w:p>
    <w:p w14:paraId="37A0FBDC"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API de proceso — consulta de posición (interna, D3)</w:t>
      </w:r>
    </w:p>
    <w:p w14:paraId="35EAE59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paths:</w:t>
      </w:r>
    </w:p>
    <w:p w14:paraId="0F75997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/v1/clientes/{idCliente}/posicion:</w:t>
      </w:r>
    </w:p>
    <w:p w14:paraId="2D8CF6A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get:</w:t>
      </w:r>
    </w:p>
    <w:p w14:paraId="13DFDDC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summary: Devuelve la posición consolidada del cliente</w:t>
      </w:r>
    </w:p>
    <w:p w14:paraId="0E4CFFF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operationId: obtenerPosicion</w:t>
      </w:r>
    </w:p>
    <w:p w14:paraId="3B03FE7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responses:</w:t>
      </w:r>
    </w:p>
    <w:p w14:paraId="2347133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"200":</w:t>
      </w:r>
    </w:p>
    <w:p w14:paraId="78B9375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content:</w:t>
      </w:r>
    </w:p>
    <w:p w14:paraId="748BEE7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application/json:</w:t>
      </w:r>
    </w:p>
    <w:p w14:paraId="37478B5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w:t>
      </w:r>
    </w:p>
    <w:p w14:paraId="4EB87EA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object</w:t>
      </w:r>
    </w:p>
    <w:p w14:paraId="16E00A3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properties:</w:t>
      </w:r>
    </w:p>
    <w:p w14:paraId="2BF58EC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lastRenderedPageBreak/>
        <w:t xml:space="preserve">                  cuentas:</w:t>
      </w:r>
    </w:p>
    <w:p w14:paraId="0672CF6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array</w:t>
      </w:r>
    </w:p>
    <w:p w14:paraId="7D8C0A0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items:</w:t>
      </w:r>
    </w:p>
    <w:p w14:paraId="00694CF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object</w:t>
      </w:r>
    </w:p>
    <w:p w14:paraId="62BA6FD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properties:</w:t>
      </w:r>
    </w:p>
    <w:p w14:paraId="2560F88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idCuenta:            { type: string }</w:t>
      </w:r>
    </w:p>
    <w:p w14:paraId="142B131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producto:            { type: string }</w:t>
      </w:r>
    </w:p>
    <w:p w14:paraId="5388D84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saldoDisponible:     { type: string }</w:t>
      </w:r>
    </w:p>
    <w:p w14:paraId="43DD59E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moneda:              { type: string }</w:t>
      </w:r>
    </w:p>
    <w:p w14:paraId="1DCFE64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actualizadoEn:       { type: string, format: date-time }</w:t>
      </w:r>
    </w:p>
    <w:p w14:paraId="4BC17A4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origenSaldo:</w:t>
      </w:r>
    </w:p>
    <w:p w14:paraId="587C926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string</w:t>
      </w:r>
    </w:p>
    <w:p w14:paraId="3E09D52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enum: [proyeccion]</w:t>
      </w:r>
    </w:p>
    <w:p w14:paraId="1A443C6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description: &gt;</w:t>
      </w:r>
    </w:p>
    <w:p w14:paraId="46CDE41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El saldo procede de una proyección eventualmente consistente</w:t>
      </w:r>
    </w:p>
    <w:p w14:paraId="63B4AB7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y no constituye autorización de disponibilidad de fondos.</w:t>
      </w:r>
    </w:p>
    <w:p w14:paraId="25239F6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 xml:space="preserve">El campo </w:t>
      </w:r>
      <w:r w:rsidRPr="000444D1">
        <w:rPr>
          <w:rFonts w:ascii="Courier New" w:eastAsia="Times New Roman" w:hAnsi="Courier New" w:cs="Courier New"/>
          <w:b/>
          <w:bCs/>
          <w:kern w:val="0"/>
          <w:sz w:val="20"/>
          <w:szCs w:val="20"/>
          <w14:ligatures w14:val="none"/>
        </w:rPr>
        <w:t>actualizadoEn</w:t>
      </w:r>
      <w:r w:rsidRPr="000444D1">
        <w:rPr>
          <w:rFonts w:ascii="Times New Roman" w:eastAsia="Times New Roman" w:hAnsi="Times New Roman" w:cs="Times New Roman"/>
          <w:b/>
          <w:bCs/>
          <w:kern w:val="0"/>
          <w14:ligatures w14:val="none"/>
        </w:rPr>
        <w:t xml:space="preserve"> y el enumerado </w:t>
      </w:r>
      <w:r w:rsidRPr="000444D1">
        <w:rPr>
          <w:rFonts w:ascii="Courier New" w:eastAsia="Times New Roman" w:hAnsi="Courier New" w:cs="Courier New"/>
          <w:b/>
          <w:bCs/>
          <w:kern w:val="0"/>
          <w:sz w:val="20"/>
          <w:szCs w:val="20"/>
          <w14:ligatures w14:val="none"/>
        </w:rPr>
        <w:t>origenSaldo</w:t>
      </w:r>
      <w:r w:rsidRPr="000444D1">
        <w:rPr>
          <w:rFonts w:ascii="Times New Roman" w:eastAsia="Times New Roman" w:hAnsi="Times New Roman" w:cs="Times New Roman"/>
          <w:b/>
          <w:bCs/>
          <w:kern w:val="0"/>
          <w14:ligatures w14:val="none"/>
        </w:rPr>
        <w:t xml:space="preserve"> son deliberados.</w:t>
      </w:r>
      <w:r w:rsidRPr="000444D1">
        <w:rPr>
          <w:rFonts w:ascii="Times New Roman" w:eastAsia="Times New Roman" w:hAnsi="Times New Roman" w:cs="Times New Roman"/>
          <w:kern w:val="0"/>
          <w14:ligatures w14:val="none"/>
        </w:rPr>
        <w:t xml:space="preserve"> Hacen explícito en el propio contrato que la respuesta es una proyección, no una fuente de verdad. Un consumidor que intentara autorizar una operación con este dato estaría contradiciendo el contrato, no solo una convención interna. Es la forma de llevar el ADR-002 desde el diagrama hasta la interfaz.</w:t>
      </w:r>
    </w:p>
    <w:p w14:paraId="62A7B0DF"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API externa — Open Finance (gateway externo)</w:t>
      </w:r>
    </w:p>
    <w:p w14:paraId="5639558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paths:</w:t>
      </w:r>
    </w:p>
    <w:p w14:paraId="7092A87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/open-finance/v1/cuentas/{idCuenta}/saldos:</w:t>
      </w:r>
    </w:p>
    <w:p w14:paraId="4556565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get:</w:t>
      </w:r>
    </w:p>
    <w:p w14:paraId="1C3C2C5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summary: Consulta de saldos por un tercero autorizado</w:t>
      </w:r>
    </w:p>
    <w:p w14:paraId="4B7DD76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security:</w:t>
      </w:r>
    </w:p>
    <w:p w14:paraId="35BE57E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 openFinance: [cuentas.saldos.lectura]</w:t>
      </w:r>
    </w:p>
    <w:p w14:paraId="623FE51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parameters:</w:t>
      </w:r>
    </w:p>
    <w:p w14:paraId="4844232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 name: x-fapi-interaction-id</w:t>
      </w:r>
    </w:p>
    <w:p w14:paraId="7904944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in: header</w:t>
      </w:r>
    </w:p>
    <w:p w14:paraId="3FB9928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true</w:t>
      </w:r>
    </w:p>
    <w:p w14:paraId="4D3829E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 { type: string, format: uuid }</w:t>
      </w:r>
    </w:p>
    <w:p w14:paraId="7EAD48D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 name: x-consent-id</w:t>
      </w:r>
    </w:p>
    <w:p w14:paraId="58D0D8A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in: header</w:t>
      </w:r>
    </w:p>
    <w:p w14:paraId="5F13F8B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true</w:t>
      </w:r>
    </w:p>
    <w:p w14:paraId="1C3AAA2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schema: { type: string }</w:t>
      </w:r>
    </w:p>
    <w:p w14:paraId="119F64A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responses:</w:t>
      </w:r>
    </w:p>
    <w:p w14:paraId="2AE6230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"200": { description: Saldos de la cuenta autorizada }</w:t>
      </w:r>
    </w:p>
    <w:p w14:paraId="59D9B54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"403":</w:t>
      </w:r>
    </w:p>
    <w:p w14:paraId="100B5AE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description: Consentimiento inexistente, revocado o fuera de alcance</w:t>
      </w:r>
    </w:p>
    <w:p w14:paraId="1EAC078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Diferencias respecto de la API interna equivalente.</w:t>
      </w:r>
      <w:r w:rsidRPr="000444D1">
        <w:rPr>
          <w:rFonts w:ascii="Times New Roman" w:eastAsia="Times New Roman" w:hAnsi="Times New Roman" w:cs="Times New Roman"/>
          <w:kern w:val="0"/>
          <w14:ligatures w14:val="none"/>
        </w:rPr>
        <w:t xml:space="preserve"> Alcance OAuth explícito por operación, identificador de consentimiento obligatorio en cada petición —no basta con el token—, e identificador de interacción FAPI para trazabilidad regulatoria. El </w:t>
      </w:r>
      <w:r w:rsidRPr="000444D1">
        <w:rPr>
          <w:rFonts w:ascii="Courier New" w:eastAsia="Times New Roman" w:hAnsi="Courier New" w:cs="Courier New"/>
          <w:kern w:val="0"/>
          <w:sz w:val="20"/>
          <w:szCs w:val="20"/>
          <w14:ligatures w14:val="none"/>
        </w:rPr>
        <w:t>403</w:t>
      </w:r>
      <w:r w:rsidRPr="000444D1">
        <w:rPr>
          <w:rFonts w:ascii="Times New Roman" w:eastAsia="Times New Roman" w:hAnsi="Times New Roman" w:cs="Times New Roman"/>
          <w:kern w:val="0"/>
          <w14:ligatures w14:val="none"/>
        </w:rPr>
        <w:t xml:space="preserve"> no distingue entre consentimiento inexistente y revocado: revelar esa diferencia daría información sobre la relación del titular con el banco a un tercero que ya no está autorizado.</w:t>
      </w:r>
    </w:p>
    <w:p w14:paraId="48AA4A5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lastRenderedPageBreak/>
        <w:t>12.5 Puertos canónicos</w:t>
      </w:r>
    </w:p>
    <w:p w14:paraId="47F2EC8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son código de implementación: son la declaración de los contratos de la capa de aplicación de los que dependen los servicios de dominio. Se incluyen porque son el lugar donde la inversión de dependencias y la segregación de interfaces dejan de ser una afirmación y pasan a ser verificables.</w:t>
      </w:r>
    </w:p>
    <w:p w14:paraId="4D69F49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Implementado por: ACL core tradicional y Adaptador core digital.</w:t>
      </w:r>
    </w:p>
    <w:p w14:paraId="74D8A84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Consumido por: Orquestador de saga (D4), a través del Enrutador de core.</w:t>
      </w:r>
    </w:p>
    <w:p w14:paraId="36BDB0A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public interface IPaymentExecutionPort</w:t>
      </w:r>
    </w:p>
    <w:p w14:paraId="262F856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081CE4B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Task&lt;ResultadoDebito&gt; DebitarAsync(SolicitudDebito solicitud, CancellationToken ct);</w:t>
      </w:r>
    </w:p>
    <w:p w14:paraId="577EC10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Task&lt;ResultadoAbono&gt;  AbonarAsync(SolicitudAbono solicitud, CancellationToken ct);</w:t>
      </w:r>
    </w:p>
    <w:p w14:paraId="34BF279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Task&lt;EstadoOperacion&gt; ConsultarEstadoAsync(string idOperacion, CancellationToken ct);</w:t>
      </w:r>
    </w:p>
    <w:p w14:paraId="245FB39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06795D8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04F9C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Implementado por: Cliente de evaluación de fraude (infraestructura de D4).</w:t>
      </w:r>
    </w:p>
    <w:p w14:paraId="4EF0027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public interface IFraudEvaluationPort</w:t>
      </w:r>
    </w:p>
    <w:p w14:paraId="689A822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0A7F77C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Task&lt;VeredictoFraude&gt; EvaluarAsync(ContextoOperacion contexto, CancellationToken ct);</w:t>
      </w:r>
    </w:p>
    <w:p w14:paraId="572382F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0864C80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5A7D2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Implementado por: ACL core tradicional.</w:t>
      </w:r>
    </w:p>
    <w:p w14:paraId="337FF50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Consumido por: D1 Datos de cliente.</w:t>
      </w:r>
    </w:p>
    <w:p w14:paraId="4EE78EF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public interface IPartyReferenceDataPort</w:t>
      </w:r>
    </w:p>
    <w:p w14:paraId="246484E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3F4A7BD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Task&lt;ClienteCanonico&gt; ObtenerClienteAsync(string idCliente, CancellationToken ct);</w:t>
      </w:r>
    </w:p>
    <w:p w14:paraId="277DA14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199FEC4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Lectura de estas firmas.</w:t>
      </w:r>
    </w:p>
    <w:p w14:paraId="2738BD22" w14:textId="77777777" w:rsidR="000444D1" w:rsidRPr="000444D1" w:rsidRDefault="000444D1" w:rsidP="00C6468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IPaymentExecutionPort</w:t>
      </w:r>
      <w:r w:rsidRPr="000444D1">
        <w:rPr>
          <w:rFonts w:ascii="Times New Roman" w:eastAsia="Times New Roman" w:hAnsi="Times New Roman" w:cs="Times New Roman"/>
          <w:kern w:val="0"/>
          <w14:ligatures w14:val="none"/>
        </w:rPr>
        <w:t xml:space="preserve"> lo implementan </w:t>
      </w:r>
      <w:r w:rsidRPr="000444D1">
        <w:rPr>
          <w:rFonts w:ascii="Times New Roman" w:eastAsia="Times New Roman" w:hAnsi="Times New Roman" w:cs="Times New Roman"/>
          <w:b/>
          <w:bCs/>
          <w:kern w:val="0"/>
          <w14:ligatures w14:val="none"/>
        </w:rPr>
        <w:t>dos</w:t>
      </w:r>
      <w:r w:rsidRPr="000444D1">
        <w:rPr>
          <w:rFonts w:ascii="Times New Roman" w:eastAsia="Times New Roman" w:hAnsi="Times New Roman" w:cs="Times New Roman"/>
          <w:kern w:val="0"/>
          <w14:ligatures w14:val="none"/>
        </w:rPr>
        <w:t xml:space="preserve"> adaptadores distintos. El orquestador de saga depende de la interfaz y desconoce cuál de los dos cores atiende cada operación: la resolución la aporta el catálogo de productos en tiempo de ejecución. Es la materialización de LSP y el punto exacto donde la estrategia multicore deja de ser un diagrama.</w:t>
      </w:r>
    </w:p>
    <w:p w14:paraId="46BC8A8E" w14:textId="77777777" w:rsidR="000444D1" w:rsidRPr="000444D1" w:rsidRDefault="000444D1" w:rsidP="00C6468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ConsultarEstadoAsync</w:t>
      </w:r>
      <w:r w:rsidRPr="000444D1">
        <w:rPr>
          <w:rFonts w:ascii="Times New Roman" w:eastAsia="Times New Roman" w:hAnsi="Times New Roman" w:cs="Times New Roman"/>
          <w:kern w:val="0"/>
          <w14:ligatures w14:val="none"/>
        </w:rPr>
        <w:t xml:space="preserve"> existe por una razón concreta: es el método que consume el proceso de reconciliación cuando una orden queda en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(sección 9.1). Sin él, el estado desconocido no tendría salida.</w:t>
      </w:r>
    </w:p>
    <w:p w14:paraId="4A1C552F" w14:textId="77777777" w:rsidR="000444D1" w:rsidRPr="000444D1" w:rsidRDefault="000444D1" w:rsidP="00C6468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Los puertos están </w:t>
      </w:r>
      <w:r w:rsidRPr="000444D1">
        <w:rPr>
          <w:rFonts w:ascii="Times New Roman" w:eastAsia="Times New Roman" w:hAnsi="Times New Roman" w:cs="Times New Roman"/>
          <w:b/>
          <w:bCs/>
          <w:kern w:val="0"/>
          <w14:ligatures w14:val="none"/>
        </w:rPr>
        <w:t>segregados por capacidad, no agrupados por sistema</w:t>
      </w:r>
      <w:r w:rsidRPr="000444D1">
        <w:rPr>
          <w:rFonts w:ascii="Times New Roman" w:eastAsia="Times New Roman" w:hAnsi="Times New Roman" w:cs="Times New Roman"/>
          <w:kern w:val="0"/>
          <w14:ligatures w14:val="none"/>
        </w:rPr>
        <w:t xml:space="preserve">. No existe un </w:t>
      </w:r>
      <w:r w:rsidRPr="000444D1">
        <w:rPr>
          <w:rFonts w:ascii="Courier New" w:eastAsia="Times New Roman" w:hAnsi="Courier New" w:cs="Courier New"/>
          <w:kern w:val="0"/>
          <w:sz w:val="20"/>
          <w:szCs w:val="20"/>
          <w14:ligatures w14:val="none"/>
        </w:rPr>
        <w:t>ICoreBancarioPort</w:t>
      </w:r>
      <w:r w:rsidRPr="000444D1">
        <w:rPr>
          <w:rFonts w:ascii="Times New Roman" w:eastAsia="Times New Roman" w:hAnsi="Times New Roman" w:cs="Times New Roman"/>
          <w:kern w:val="0"/>
          <w14:ligatures w14:val="none"/>
        </w:rPr>
        <w:t xml:space="preserve"> que reúna pagos, clientes y posición: cada consumidor depende únicamente de lo que usa. Un cambio en el contrato de datos de cliente no recompila ni redespliega el orquestador de pagos.</w:t>
      </w:r>
    </w:p>
    <w:p w14:paraId="3BFCBF9F" w14:textId="77777777" w:rsidR="000444D1" w:rsidRPr="000444D1" w:rsidRDefault="000444D1" w:rsidP="00C6468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Ningún puerto expone tipos del sistema legado. </w:t>
      </w:r>
      <w:r w:rsidRPr="000444D1">
        <w:rPr>
          <w:rFonts w:ascii="Courier New" w:eastAsia="Times New Roman" w:hAnsi="Courier New" w:cs="Courier New"/>
          <w:kern w:val="0"/>
          <w:sz w:val="20"/>
          <w:szCs w:val="20"/>
          <w14:ligatures w14:val="none"/>
        </w:rPr>
        <w:t>ClienteCanonico</w:t>
      </w:r>
      <w:r w:rsidRPr="000444D1">
        <w:rPr>
          <w:rFonts w:ascii="Times New Roman" w:eastAsia="Times New Roman" w:hAnsi="Times New Roman" w:cs="Times New Roman"/>
          <w:kern w:val="0"/>
          <w14:ligatures w14:val="none"/>
        </w:rPr>
        <w:t xml:space="preserve"> y </w:t>
      </w:r>
      <w:r w:rsidRPr="000444D1">
        <w:rPr>
          <w:rFonts w:ascii="Courier New" w:eastAsia="Times New Roman" w:hAnsi="Courier New" w:cs="Courier New"/>
          <w:kern w:val="0"/>
          <w:sz w:val="20"/>
          <w:szCs w:val="20"/>
          <w14:ligatures w14:val="none"/>
        </w:rPr>
        <w:t>SolicitudDebito</w:t>
      </w:r>
      <w:r w:rsidRPr="000444D1">
        <w:rPr>
          <w:rFonts w:ascii="Times New Roman" w:eastAsia="Times New Roman" w:hAnsi="Times New Roman" w:cs="Times New Roman"/>
          <w:kern w:val="0"/>
          <w14:ligatures w14:val="none"/>
        </w:rPr>
        <w:t xml:space="preserve"> pertenecen al modelo canónico; la traducción vive en el mapeador del ACL (sección 8.2).</w:t>
      </w:r>
    </w:p>
    <w:p w14:paraId="6A4FFE8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lastRenderedPageBreak/>
        <w:t>12.6 Sobre común de eventos</w:t>
      </w:r>
    </w:p>
    <w:p w14:paraId="19E4F4C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evento publicado en el bus comparte esta envoltura. Los campos no son decorativos: cada uno sostiene una capacidad operativa concreta del sistema de eventos.</w:t>
      </w:r>
    </w:p>
    <w:p w14:paraId="7F8F982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p w14:paraId="42CC5DB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"idEvento": "0f3c1b2a-9d4e-4f21-a8c7-1b5e6d7f8a90",</w:t>
      </w:r>
    </w:p>
    <w:p w14:paraId="3535129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"tipo": "pago.ejecutado",</w:t>
      </w:r>
    </w:p>
    <w:p w14:paraId="50164EF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"version": "1.2",</w:t>
      </w:r>
    </w:p>
    <w:p w14:paraId="02E14BF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"ocurridoEn": "2026-07-25T14:32:07.412Z",</w:t>
      </w:r>
    </w:p>
    <w:p w14:paraId="182B95C7"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"publicadoEn": "2026-07-25T14:32:07.489Z",</w:t>
      </w:r>
    </w:p>
    <w:p w14:paraId="5B1DA75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"productor": "ordenes-pago",</w:t>
      </w:r>
    </w:p>
    <w:p w14:paraId="1BAABB3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"claveParticion": "cli-88213",</w:t>
      </w:r>
    </w:p>
    <w:p w14:paraId="7FDCB5F8"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"idCorrelacion": "00-4bf92f3577b34da6a3ce929d0e0e4736-00f067aa0ba902b7-01",</w:t>
      </w:r>
    </w:p>
    <w:p w14:paraId="513DE381"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"claveNegocio": "ORD-2026-0072311",</w:t>
      </w:r>
    </w:p>
    <w:p w14:paraId="4E4DA1C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"datos": { }</w:t>
      </w:r>
    </w:p>
    <w:p w14:paraId="134542C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7146"/>
      </w:tblGrid>
      <w:tr w:rsidR="000444D1" w:rsidRPr="000444D1" w14:paraId="63384376" w14:textId="77777777">
        <w:trPr>
          <w:tblHeader/>
          <w:tblCellSpacing w:w="15" w:type="dxa"/>
        </w:trPr>
        <w:tc>
          <w:tcPr>
            <w:tcW w:w="0" w:type="auto"/>
            <w:vAlign w:val="center"/>
            <w:hideMark/>
          </w:tcPr>
          <w:p w14:paraId="632008E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Campo</w:t>
            </w:r>
          </w:p>
        </w:tc>
        <w:tc>
          <w:tcPr>
            <w:tcW w:w="0" w:type="auto"/>
            <w:vAlign w:val="center"/>
            <w:hideMark/>
          </w:tcPr>
          <w:p w14:paraId="5F01CD9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Capacidad que sostiene</w:t>
            </w:r>
          </w:p>
        </w:tc>
      </w:tr>
      <w:tr w:rsidR="000444D1" w:rsidRPr="000444D1" w14:paraId="2B42312C" w14:textId="77777777">
        <w:trPr>
          <w:tblCellSpacing w:w="15" w:type="dxa"/>
        </w:trPr>
        <w:tc>
          <w:tcPr>
            <w:tcW w:w="0" w:type="auto"/>
            <w:vAlign w:val="center"/>
            <w:hideMark/>
          </w:tcPr>
          <w:p w14:paraId="0080F5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idEvento</w:t>
            </w:r>
          </w:p>
        </w:tc>
        <w:tc>
          <w:tcPr>
            <w:tcW w:w="0" w:type="auto"/>
            <w:vAlign w:val="center"/>
            <w:hideMark/>
          </w:tcPr>
          <w:p w14:paraId="6E576E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Deduplicación en el consumidor: idempotencia frente a entrega repetida</w:t>
            </w:r>
          </w:p>
        </w:tc>
      </w:tr>
      <w:tr w:rsidR="000444D1" w:rsidRPr="000444D1" w14:paraId="1D93BC83" w14:textId="77777777">
        <w:trPr>
          <w:tblCellSpacing w:w="15" w:type="dxa"/>
        </w:trPr>
        <w:tc>
          <w:tcPr>
            <w:tcW w:w="0" w:type="auto"/>
            <w:vAlign w:val="center"/>
            <w:hideMark/>
          </w:tcPr>
          <w:p w14:paraId="256538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tipo</w:t>
            </w:r>
            <w:r w:rsidRPr="000444D1">
              <w:rPr>
                <w:rFonts w:ascii="Times New Roman" w:eastAsia="Times New Roman" w:hAnsi="Times New Roman" w:cs="Times New Roman"/>
                <w:kern w:val="0"/>
                <w14:ligatures w14:val="none"/>
              </w:rPr>
              <w:t xml:space="preserve"> + </w:t>
            </w:r>
            <w:r w:rsidRPr="000444D1">
              <w:rPr>
                <w:rFonts w:ascii="Courier New" w:eastAsia="Times New Roman" w:hAnsi="Courier New" w:cs="Courier New"/>
                <w:kern w:val="0"/>
                <w:sz w:val="20"/>
                <w:szCs w:val="20"/>
                <w14:ligatures w14:val="none"/>
              </w:rPr>
              <w:t>version</w:t>
            </w:r>
          </w:p>
        </w:tc>
        <w:tc>
          <w:tcPr>
            <w:tcW w:w="0" w:type="auto"/>
            <w:vAlign w:val="center"/>
            <w:hideMark/>
          </w:tcPr>
          <w:p w14:paraId="373C40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Versionamiento y enrutamiento por tipo</w:t>
            </w:r>
          </w:p>
        </w:tc>
      </w:tr>
      <w:tr w:rsidR="000444D1" w:rsidRPr="000444D1" w14:paraId="6BE2A404" w14:textId="77777777">
        <w:trPr>
          <w:tblCellSpacing w:w="15" w:type="dxa"/>
        </w:trPr>
        <w:tc>
          <w:tcPr>
            <w:tcW w:w="0" w:type="auto"/>
            <w:vAlign w:val="center"/>
            <w:hideMark/>
          </w:tcPr>
          <w:p w14:paraId="47B39D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ocurridoEn</w:t>
            </w:r>
            <w:r w:rsidRPr="000444D1">
              <w:rPr>
                <w:rFonts w:ascii="Times New Roman" w:eastAsia="Times New Roman" w:hAnsi="Times New Roman" w:cs="Times New Roman"/>
                <w:kern w:val="0"/>
                <w14:ligatures w14:val="none"/>
              </w:rPr>
              <w:t xml:space="preserve"> vs </w:t>
            </w:r>
            <w:r w:rsidRPr="000444D1">
              <w:rPr>
                <w:rFonts w:ascii="Courier New" w:eastAsia="Times New Roman" w:hAnsi="Courier New" w:cs="Courier New"/>
                <w:kern w:val="0"/>
                <w:sz w:val="20"/>
                <w:szCs w:val="20"/>
                <w14:ligatures w14:val="none"/>
              </w:rPr>
              <w:t>publicadoEn</w:t>
            </w:r>
          </w:p>
        </w:tc>
        <w:tc>
          <w:tcPr>
            <w:tcW w:w="0" w:type="auto"/>
            <w:vAlign w:val="center"/>
            <w:hideMark/>
          </w:tcPr>
          <w:p w14:paraId="509E81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Distingue el instante del hecho de negocio del instante de publicación. Es lo que permite reconstruir el orden real cuando el despachador outbox publica con retraso</w:t>
            </w:r>
          </w:p>
        </w:tc>
      </w:tr>
      <w:tr w:rsidR="000444D1" w:rsidRPr="000444D1" w14:paraId="765593A5" w14:textId="77777777">
        <w:trPr>
          <w:tblCellSpacing w:w="15" w:type="dxa"/>
        </w:trPr>
        <w:tc>
          <w:tcPr>
            <w:tcW w:w="0" w:type="auto"/>
            <w:vAlign w:val="center"/>
            <w:hideMark/>
          </w:tcPr>
          <w:p w14:paraId="70BB0E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claveParticion</w:t>
            </w:r>
          </w:p>
        </w:tc>
        <w:tc>
          <w:tcPr>
            <w:tcW w:w="0" w:type="auto"/>
            <w:vAlign w:val="center"/>
            <w:hideMark/>
          </w:tcPr>
          <w:p w14:paraId="531C0E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Ordenamiento garantizado </w:t>
            </w:r>
            <w:r w:rsidRPr="000444D1">
              <w:rPr>
                <w:rFonts w:ascii="Times New Roman" w:eastAsia="Times New Roman" w:hAnsi="Times New Roman" w:cs="Times New Roman"/>
                <w:b/>
                <w:bCs/>
                <w:kern w:val="0"/>
                <w14:ligatures w14:val="none"/>
              </w:rPr>
              <w:t>por cliente</w:t>
            </w:r>
            <w:r w:rsidRPr="000444D1">
              <w:rPr>
                <w:rFonts w:ascii="Times New Roman" w:eastAsia="Times New Roman" w:hAnsi="Times New Roman" w:cs="Times New Roman"/>
                <w:kern w:val="0"/>
                <w14:ligatures w14:val="none"/>
              </w:rPr>
              <w:t>, no global</w:t>
            </w:r>
          </w:p>
        </w:tc>
      </w:tr>
      <w:tr w:rsidR="000444D1" w:rsidRPr="000444D1" w14:paraId="2283FC68" w14:textId="77777777">
        <w:trPr>
          <w:tblCellSpacing w:w="15" w:type="dxa"/>
        </w:trPr>
        <w:tc>
          <w:tcPr>
            <w:tcW w:w="0" w:type="auto"/>
            <w:vAlign w:val="center"/>
            <w:hideMark/>
          </w:tcPr>
          <w:p w14:paraId="4C0E14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idCorrelacion</w:t>
            </w:r>
          </w:p>
        </w:tc>
        <w:tc>
          <w:tcPr>
            <w:tcW w:w="0" w:type="auto"/>
            <w:vAlign w:val="center"/>
            <w:hideMark/>
          </w:tcPr>
          <w:p w14:paraId="53348FF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Trazabilidad extremo a extremo (formato W3C Trace Context)</w:t>
            </w:r>
          </w:p>
        </w:tc>
      </w:tr>
      <w:tr w:rsidR="000444D1" w:rsidRPr="000444D1" w14:paraId="476BA512" w14:textId="77777777">
        <w:trPr>
          <w:tblCellSpacing w:w="15" w:type="dxa"/>
        </w:trPr>
        <w:tc>
          <w:tcPr>
            <w:tcW w:w="0" w:type="auto"/>
            <w:vAlign w:val="center"/>
            <w:hideMark/>
          </w:tcPr>
          <w:p w14:paraId="3C76D70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claveNegocio</w:t>
            </w:r>
          </w:p>
        </w:tc>
        <w:tc>
          <w:tcPr>
            <w:tcW w:w="0" w:type="auto"/>
            <w:vAlign w:val="center"/>
            <w:hideMark/>
          </w:tcPr>
          <w:p w14:paraId="362513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Deduplicación entre las dos fuentes del ADR-004: el mismo hecho reportado por el ACL y por el CDC comparte clave de negocio y distinto </w:t>
            </w:r>
            <w:r w:rsidRPr="000444D1">
              <w:rPr>
                <w:rFonts w:ascii="Courier New" w:eastAsia="Times New Roman" w:hAnsi="Courier New" w:cs="Courier New"/>
                <w:kern w:val="0"/>
                <w:sz w:val="20"/>
                <w:szCs w:val="20"/>
                <w14:ligatures w14:val="none"/>
              </w:rPr>
              <w:t>idEvento</w:t>
            </w:r>
          </w:p>
        </w:tc>
      </w:tr>
    </w:tbl>
    <w:p w14:paraId="07A87AC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b/>
          <w:bCs/>
          <w:kern w:val="0"/>
          <w:sz w:val="20"/>
          <w:szCs w:val="20"/>
          <w14:ligatures w14:val="none"/>
        </w:rPr>
        <w:t>claveNegocio</w:t>
      </w:r>
      <w:r w:rsidRPr="000444D1">
        <w:rPr>
          <w:rFonts w:ascii="Times New Roman" w:eastAsia="Times New Roman" w:hAnsi="Times New Roman" w:cs="Times New Roman"/>
          <w:b/>
          <w:bCs/>
          <w:kern w:val="0"/>
          <w14:ligatures w14:val="none"/>
        </w:rPr>
        <w:t xml:space="preserve"> es el campo que resuelve el costo aceptado en el ADR-004.</w:t>
      </w:r>
      <w:r w:rsidRPr="000444D1">
        <w:rPr>
          <w:rFonts w:ascii="Times New Roman" w:eastAsia="Times New Roman" w:hAnsi="Times New Roman" w:cs="Times New Roman"/>
          <w:kern w:val="0"/>
          <w14:ligatures w14:val="none"/>
        </w:rPr>
        <w:t xml:space="preserve"> Al existir dos mecanismos de ingesta, un mismo hecho puede llegar dos veces por caminos distintos. La deduplicación no puede basarse en </w:t>
      </w:r>
      <w:r w:rsidRPr="000444D1">
        <w:rPr>
          <w:rFonts w:ascii="Courier New" w:eastAsia="Times New Roman" w:hAnsi="Courier New" w:cs="Courier New"/>
          <w:kern w:val="0"/>
          <w:sz w:val="20"/>
          <w:szCs w:val="20"/>
          <w14:ligatures w14:val="none"/>
        </w:rPr>
        <w:t>idEvento</w:t>
      </w:r>
      <w:r w:rsidRPr="000444D1">
        <w:rPr>
          <w:rFonts w:ascii="Times New Roman" w:eastAsia="Times New Roman" w:hAnsi="Times New Roman" w:cs="Times New Roman"/>
          <w:kern w:val="0"/>
          <w14:ligatures w14:val="none"/>
        </w:rPr>
        <w:t>, que difiere; se basa en la clave de negocio, que es la misma. Sin este campo, el doble mecanismo produciría duplicados en la proyección y en la auditoría.</w:t>
      </w:r>
    </w:p>
    <w:p w14:paraId="657A286F"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12.7 Catálogo de eventos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0"/>
        <w:gridCol w:w="2204"/>
        <w:gridCol w:w="1630"/>
        <w:gridCol w:w="2596"/>
      </w:tblGrid>
      <w:tr w:rsidR="000444D1" w:rsidRPr="000444D1" w14:paraId="6CB4D14F" w14:textId="77777777">
        <w:trPr>
          <w:tblHeader/>
          <w:tblCellSpacing w:w="15" w:type="dxa"/>
        </w:trPr>
        <w:tc>
          <w:tcPr>
            <w:tcW w:w="0" w:type="auto"/>
            <w:vAlign w:val="center"/>
            <w:hideMark/>
          </w:tcPr>
          <w:p w14:paraId="1A6E20D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Evento</w:t>
            </w:r>
          </w:p>
        </w:tc>
        <w:tc>
          <w:tcPr>
            <w:tcW w:w="0" w:type="auto"/>
            <w:vAlign w:val="center"/>
            <w:hideMark/>
          </w:tcPr>
          <w:p w14:paraId="0DEF7F6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Productor</w:t>
            </w:r>
          </w:p>
        </w:tc>
        <w:tc>
          <w:tcPr>
            <w:tcW w:w="0" w:type="auto"/>
            <w:vAlign w:val="center"/>
            <w:hideMark/>
          </w:tcPr>
          <w:p w14:paraId="37F73FF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Consumidores</w:t>
            </w:r>
          </w:p>
        </w:tc>
        <w:tc>
          <w:tcPr>
            <w:tcW w:w="0" w:type="auto"/>
            <w:vAlign w:val="center"/>
            <w:hideMark/>
          </w:tcPr>
          <w:p w14:paraId="235E1E1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Propósito</w:t>
            </w:r>
          </w:p>
        </w:tc>
      </w:tr>
      <w:tr w:rsidR="000444D1" w:rsidRPr="000444D1" w14:paraId="2706F15C" w14:textId="77777777">
        <w:trPr>
          <w:tblCellSpacing w:w="15" w:type="dxa"/>
        </w:trPr>
        <w:tc>
          <w:tcPr>
            <w:tcW w:w="0" w:type="auto"/>
            <w:vAlign w:val="center"/>
            <w:hideMark/>
          </w:tcPr>
          <w:p w14:paraId="6FCEC1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pago.ejecutado</w:t>
            </w:r>
          </w:p>
        </w:tc>
        <w:tc>
          <w:tcPr>
            <w:tcW w:w="0" w:type="auto"/>
            <w:vAlign w:val="center"/>
            <w:hideMark/>
          </w:tcPr>
          <w:p w14:paraId="69D10B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13B610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D8, D6, D5</w:t>
            </w:r>
          </w:p>
        </w:tc>
        <w:tc>
          <w:tcPr>
            <w:tcW w:w="0" w:type="auto"/>
            <w:vAlign w:val="center"/>
            <w:hideMark/>
          </w:tcPr>
          <w:p w14:paraId="4A9DE9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Pago confirmado por el core propietario</w:t>
            </w:r>
          </w:p>
        </w:tc>
      </w:tr>
      <w:tr w:rsidR="000444D1" w:rsidRPr="000444D1" w14:paraId="625E5D1F" w14:textId="77777777">
        <w:trPr>
          <w:tblCellSpacing w:w="15" w:type="dxa"/>
        </w:trPr>
        <w:tc>
          <w:tcPr>
            <w:tcW w:w="0" w:type="auto"/>
            <w:vAlign w:val="center"/>
            <w:hideMark/>
          </w:tcPr>
          <w:p w14:paraId="50662EF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pago.compensado</w:t>
            </w:r>
          </w:p>
        </w:tc>
        <w:tc>
          <w:tcPr>
            <w:tcW w:w="0" w:type="auto"/>
            <w:vAlign w:val="center"/>
            <w:hideMark/>
          </w:tcPr>
          <w:p w14:paraId="7B256E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6601E0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D8, D6</w:t>
            </w:r>
          </w:p>
        </w:tc>
        <w:tc>
          <w:tcPr>
            <w:tcW w:w="0" w:type="auto"/>
            <w:vAlign w:val="center"/>
            <w:hideMark/>
          </w:tcPr>
          <w:p w14:paraId="710831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Reversión ejecutada tras fallo de saga</w:t>
            </w:r>
          </w:p>
        </w:tc>
      </w:tr>
      <w:tr w:rsidR="000444D1" w:rsidRPr="000444D1" w14:paraId="6B34194E" w14:textId="77777777">
        <w:trPr>
          <w:tblCellSpacing w:w="15" w:type="dxa"/>
        </w:trPr>
        <w:tc>
          <w:tcPr>
            <w:tcW w:w="0" w:type="auto"/>
            <w:vAlign w:val="center"/>
            <w:hideMark/>
          </w:tcPr>
          <w:p w14:paraId="592765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pago.en-verificacion</w:t>
            </w:r>
          </w:p>
        </w:tc>
        <w:tc>
          <w:tcPr>
            <w:tcW w:w="0" w:type="auto"/>
            <w:vAlign w:val="center"/>
            <w:hideMark/>
          </w:tcPr>
          <w:p w14:paraId="57726C2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5BAC54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reconciliación</w:t>
            </w:r>
          </w:p>
        </w:tc>
        <w:tc>
          <w:tcPr>
            <w:tcW w:w="0" w:type="auto"/>
            <w:vAlign w:val="center"/>
            <w:hideMark/>
          </w:tcPr>
          <w:p w14:paraId="7D2763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Desenlace desconocido pendiente de resolución</w:t>
            </w:r>
          </w:p>
        </w:tc>
      </w:tr>
      <w:tr w:rsidR="000444D1" w:rsidRPr="000444D1" w14:paraId="39EFD455" w14:textId="77777777">
        <w:trPr>
          <w:tblCellSpacing w:w="15" w:type="dxa"/>
        </w:trPr>
        <w:tc>
          <w:tcPr>
            <w:tcW w:w="0" w:type="auto"/>
            <w:vAlign w:val="center"/>
            <w:hideMark/>
          </w:tcPr>
          <w:p w14:paraId="48BBC6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lastRenderedPageBreak/>
              <w:t>cuenta.movimiento-registrado</w:t>
            </w:r>
          </w:p>
        </w:tc>
        <w:tc>
          <w:tcPr>
            <w:tcW w:w="0" w:type="auto"/>
            <w:vAlign w:val="center"/>
            <w:hideMark/>
          </w:tcPr>
          <w:p w14:paraId="66B2CF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 / CDC del core tradicional</w:t>
            </w:r>
          </w:p>
        </w:tc>
        <w:tc>
          <w:tcPr>
            <w:tcW w:w="0" w:type="auto"/>
            <w:vAlign w:val="center"/>
            <w:hideMark/>
          </w:tcPr>
          <w:p w14:paraId="74D28B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D8, D5, D6</w:t>
            </w:r>
          </w:p>
        </w:tc>
        <w:tc>
          <w:tcPr>
            <w:tcW w:w="0" w:type="auto"/>
            <w:vAlign w:val="center"/>
            <w:hideMark/>
          </w:tcPr>
          <w:p w14:paraId="4C2B73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Movimiento sobre cuenta del core tradicional, con independencia del canal que lo originó</w:t>
            </w:r>
          </w:p>
        </w:tc>
      </w:tr>
      <w:tr w:rsidR="000444D1" w:rsidRPr="000444D1" w14:paraId="54DEDE84" w14:textId="77777777">
        <w:trPr>
          <w:tblCellSpacing w:w="15" w:type="dxa"/>
        </w:trPr>
        <w:tc>
          <w:tcPr>
            <w:tcW w:w="0" w:type="auto"/>
            <w:vAlign w:val="center"/>
            <w:hideMark/>
          </w:tcPr>
          <w:p w14:paraId="40B182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cliente.datos-actualizados</w:t>
            </w:r>
          </w:p>
        </w:tc>
        <w:tc>
          <w:tcPr>
            <w:tcW w:w="0" w:type="auto"/>
            <w:vAlign w:val="center"/>
            <w:hideMark/>
          </w:tcPr>
          <w:p w14:paraId="74D7A1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 vía D1</w:t>
            </w:r>
          </w:p>
        </w:tc>
        <w:tc>
          <w:tcPr>
            <w:tcW w:w="0" w:type="auto"/>
            <w:vAlign w:val="center"/>
            <w:hideMark/>
          </w:tcPr>
          <w:p w14:paraId="0F4AC9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D7, D9</w:t>
            </w:r>
          </w:p>
        </w:tc>
        <w:tc>
          <w:tcPr>
            <w:tcW w:w="0" w:type="auto"/>
            <w:vAlign w:val="center"/>
            <w:hideMark/>
          </w:tcPr>
          <w:p w14:paraId="4319EE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Cambio en datos maestros de cliente</w:t>
            </w:r>
          </w:p>
        </w:tc>
      </w:tr>
      <w:tr w:rsidR="000444D1" w:rsidRPr="000444D1" w14:paraId="4B22581C" w14:textId="77777777">
        <w:trPr>
          <w:tblCellSpacing w:w="15" w:type="dxa"/>
        </w:trPr>
        <w:tc>
          <w:tcPr>
            <w:tcW w:w="0" w:type="auto"/>
            <w:vAlign w:val="center"/>
            <w:hideMark/>
          </w:tcPr>
          <w:p w14:paraId="050B55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consentimiento.revocado</w:t>
            </w:r>
          </w:p>
        </w:tc>
        <w:tc>
          <w:tcPr>
            <w:tcW w:w="0" w:type="auto"/>
            <w:vAlign w:val="center"/>
            <w:hideMark/>
          </w:tcPr>
          <w:p w14:paraId="1ECDB1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Consentimientos</w:t>
            </w:r>
          </w:p>
        </w:tc>
        <w:tc>
          <w:tcPr>
            <w:tcW w:w="0" w:type="auto"/>
            <w:vAlign w:val="center"/>
            <w:hideMark/>
          </w:tcPr>
          <w:p w14:paraId="541B6A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 D8</w:t>
            </w:r>
          </w:p>
        </w:tc>
        <w:tc>
          <w:tcPr>
            <w:tcW w:w="0" w:type="auto"/>
            <w:vAlign w:val="center"/>
            <w:hideMark/>
          </w:tcPr>
          <w:p w14:paraId="3ADCFE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Revocación por el titular; invalida accesos en curso</w:t>
            </w:r>
          </w:p>
        </w:tc>
      </w:tr>
    </w:tbl>
    <w:p w14:paraId="7F9B0548"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 xml:space="preserve">Ejemplo — </w:t>
      </w:r>
      <w:r w:rsidRPr="000444D1">
        <w:rPr>
          <w:rFonts w:ascii="Courier New" w:eastAsia="Times New Roman" w:hAnsi="Courier New" w:cs="Courier New"/>
          <w:b/>
          <w:bCs/>
          <w:kern w:val="0"/>
          <w:sz w:val="20"/>
          <w:szCs w:val="20"/>
          <w14:ligatures w14:val="none"/>
        </w:rPr>
        <w:t>pago.ejecutado</w:t>
      </w:r>
    </w:p>
    <w:p w14:paraId="7926968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asyncapi: 3.0.0</w:t>
      </w:r>
    </w:p>
    <w:p w14:paraId="586AF272"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channels:</w:t>
      </w:r>
    </w:p>
    <w:p w14:paraId="19E3DB0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pagos:</w:t>
      </w:r>
    </w:p>
    <w:p w14:paraId="5557612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address: banco.pagos.v1</w:t>
      </w:r>
    </w:p>
    <w:p w14:paraId="14380B4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messages:</w:t>
      </w:r>
    </w:p>
    <w:p w14:paraId="4515C6BC"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pagoEjecutado:</w:t>
      </w:r>
    </w:p>
    <w:p w14:paraId="6F76049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name: pago.ejecutado</w:t>
      </w:r>
    </w:p>
    <w:p w14:paraId="1D9C17F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payload:</w:t>
      </w:r>
    </w:p>
    <w:p w14:paraId="084F134E"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object</w:t>
      </w:r>
    </w:p>
    <w:p w14:paraId="5CA444E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[idOrden, cuentaOrigen, monto, moneda, coreEjecutor]</w:t>
      </w:r>
    </w:p>
    <w:p w14:paraId="24F3C97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properties:</w:t>
      </w:r>
    </w:p>
    <w:p w14:paraId="37842CD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idOrden:       { type: string, format: uuid }</w:t>
      </w:r>
    </w:p>
    <w:p w14:paraId="64B871A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cuentaOrigen:  { type: string }</w:t>
      </w:r>
    </w:p>
    <w:p w14:paraId="12EC9C5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cuentaDestino: { type: string }</w:t>
      </w:r>
    </w:p>
    <w:p w14:paraId="1A3751F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monto:         { type: string }</w:t>
      </w:r>
    </w:p>
    <w:p w14:paraId="57500A5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moneda:        { type: string }</w:t>
      </w:r>
    </w:p>
    <w:p w14:paraId="34AA238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coreEjecutor:  { type: string, enum: [tradicional, digital] }</w:t>
      </w:r>
    </w:p>
    <w:p w14:paraId="7E22673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veredictoFraude:</w:t>
      </w:r>
    </w:p>
    <w:p w14:paraId="08DE42AF"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string</w:t>
      </w:r>
    </w:p>
    <w:p w14:paraId="51B0F2B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enum: [aprobado, aprobado_por_degradacion]</w:t>
      </w:r>
    </w:p>
    <w:p w14:paraId="0C5D1B3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operations:</w:t>
      </w:r>
    </w:p>
    <w:p w14:paraId="6AEA1606"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publicarPagoEjecutado:</w:t>
      </w:r>
    </w:p>
    <w:p w14:paraId="315BC67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action: send</w:t>
      </w:r>
    </w:p>
    <w:p w14:paraId="28DA68E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channel: { $ref: "#/channels/pagos" }</w:t>
      </w:r>
    </w:p>
    <w:p w14:paraId="5DF62D7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campo </w:t>
      </w:r>
      <w:r w:rsidRPr="000444D1">
        <w:rPr>
          <w:rFonts w:ascii="Courier New" w:eastAsia="Times New Roman" w:hAnsi="Courier New" w:cs="Courier New"/>
          <w:kern w:val="0"/>
          <w:sz w:val="20"/>
          <w:szCs w:val="20"/>
          <w14:ligatures w14:val="none"/>
        </w:rPr>
        <w:t>veredictoFraude</w:t>
      </w:r>
      <w:r w:rsidRPr="000444D1">
        <w:rPr>
          <w:rFonts w:ascii="Times New Roman" w:eastAsia="Times New Roman" w:hAnsi="Times New Roman" w:cs="Times New Roman"/>
          <w:kern w:val="0"/>
          <w14:ligatures w14:val="none"/>
        </w:rPr>
        <w:t xml:space="preserve"> distingue la aprobación normal de la aprobación por degradación del ADR-005. Es lo que permite al sistema de riesgos y a auditoría identificar después qué operaciones se autorizaron sin evaluación efectiva, sin necesidad de correlacionar con los registros del motor de fraude.</w:t>
      </w:r>
    </w:p>
    <w:p w14:paraId="483A409C"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 xml:space="preserve">Ejemplo — </w:t>
      </w:r>
      <w:r w:rsidRPr="000444D1">
        <w:rPr>
          <w:rFonts w:ascii="Courier New" w:eastAsia="Times New Roman" w:hAnsi="Courier New" w:cs="Courier New"/>
          <w:b/>
          <w:bCs/>
          <w:kern w:val="0"/>
          <w:sz w:val="20"/>
          <w:szCs w:val="20"/>
          <w14:ligatures w14:val="none"/>
        </w:rPr>
        <w:t>cuenta.movimiento-registrado</w:t>
      </w:r>
    </w:p>
    <w:p w14:paraId="7DCD8479"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payload:</w:t>
      </w:r>
    </w:p>
    <w:p w14:paraId="5060141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type: object</w:t>
      </w:r>
    </w:p>
    <w:p w14:paraId="10EE7844"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required: [idCuenta, tipoMovimiento, monto, moneda, origenCaptura]</w:t>
      </w:r>
    </w:p>
    <w:p w14:paraId="27888300"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properties:</w:t>
      </w:r>
    </w:p>
    <w:p w14:paraId="3B16569D"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idCuenta:       { type: string }</w:t>
      </w:r>
    </w:p>
    <w:p w14:paraId="6305A70A"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tipoMovimiento: { type: string, enum: [debito, credito] }</w:t>
      </w:r>
    </w:p>
    <w:p w14:paraId="6AE61AF3"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monto:          { type: string }</w:t>
      </w:r>
    </w:p>
    <w:p w14:paraId="18A4C0D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lastRenderedPageBreak/>
        <w:t xml:space="preserve">            moneda:         { type: string }</w:t>
      </w:r>
    </w:p>
    <w:p w14:paraId="03867C15"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canalOrigen:    { type: string, enum: [digital, agencia, cajero, batch, back_office] }</w:t>
      </w:r>
    </w:p>
    <w:p w14:paraId="5952D6CB" w14:textId="77777777" w:rsidR="000444D1" w:rsidRPr="000444D1" w:rsidRDefault="000444D1" w:rsidP="0004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444D1">
        <w:rPr>
          <w:rFonts w:ascii="Courier New" w:eastAsia="Times New Roman" w:hAnsi="Courier New" w:cs="Courier New"/>
          <w:kern w:val="0"/>
          <w:sz w:val="20"/>
          <w:szCs w:val="20"/>
          <w14:ligatures w14:val="none"/>
        </w:rPr>
        <w:t xml:space="preserve">            origenCaptura:  { type: string, enum: [acl, cdc] }</w:t>
      </w:r>
    </w:p>
    <w:p w14:paraId="5A07072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origenCaptura</w:t>
      </w:r>
      <w:r w:rsidRPr="000444D1">
        <w:rPr>
          <w:rFonts w:ascii="Times New Roman" w:eastAsia="Times New Roman" w:hAnsi="Times New Roman" w:cs="Times New Roman"/>
          <w:kern w:val="0"/>
          <w14:ligatures w14:val="none"/>
        </w:rPr>
        <w:t xml:space="preserve"> declara cuál de los dos mecanismos del ADR-004 produjo el evento. Es un dato operativo: permite medir la cobertura de cada mecanismo y detectar si el CDC está reportando hechos que el ACL debería haber emitido, lo que indicaría una avería en la emisión de eventos.</w:t>
      </w:r>
    </w:p>
    <w:p w14:paraId="5AAB5CF5"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12.8 Entrega, orden e idempotencia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2922"/>
        <w:gridCol w:w="4530"/>
      </w:tblGrid>
      <w:tr w:rsidR="000444D1" w:rsidRPr="000444D1" w14:paraId="759CFA61" w14:textId="77777777">
        <w:trPr>
          <w:tblHeader/>
          <w:tblCellSpacing w:w="15" w:type="dxa"/>
        </w:trPr>
        <w:tc>
          <w:tcPr>
            <w:tcW w:w="0" w:type="auto"/>
            <w:vAlign w:val="center"/>
            <w:hideMark/>
          </w:tcPr>
          <w:p w14:paraId="7B19F66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Aspecto</w:t>
            </w:r>
          </w:p>
        </w:tc>
        <w:tc>
          <w:tcPr>
            <w:tcW w:w="0" w:type="auto"/>
            <w:vAlign w:val="center"/>
            <w:hideMark/>
          </w:tcPr>
          <w:p w14:paraId="2E0E874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Decisión</w:t>
            </w:r>
          </w:p>
        </w:tc>
        <w:tc>
          <w:tcPr>
            <w:tcW w:w="0" w:type="auto"/>
            <w:vAlign w:val="center"/>
            <w:hideMark/>
          </w:tcPr>
          <w:p w14:paraId="7E67F7D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Fundamento</w:t>
            </w:r>
          </w:p>
        </w:tc>
      </w:tr>
      <w:tr w:rsidR="000444D1" w:rsidRPr="000444D1" w14:paraId="331AE5A1" w14:textId="77777777">
        <w:trPr>
          <w:tblCellSpacing w:w="15" w:type="dxa"/>
        </w:trPr>
        <w:tc>
          <w:tcPr>
            <w:tcW w:w="0" w:type="auto"/>
            <w:vAlign w:val="center"/>
            <w:hideMark/>
          </w:tcPr>
          <w:p w14:paraId="223E49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Garantía de entrega</w:t>
            </w:r>
          </w:p>
        </w:tc>
        <w:tc>
          <w:tcPr>
            <w:tcW w:w="0" w:type="auto"/>
            <w:vAlign w:val="center"/>
            <w:hideMark/>
          </w:tcPr>
          <w:p w14:paraId="4A8F2F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 menos una vez</w:t>
            </w:r>
          </w:p>
        </w:tc>
        <w:tc>
          <w:tcPr>
            <w:tcW w:w="0" w:type="auto"/>
            <w:vAlign w:val="center"/>
            <w:hideMark/>
          </w:tcPr>
          <w:p w14:paraId="720E8B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Combinada con outbox, evita la pérdida. Exigir exactamente-una-vez de extremo a extremo obligaría a coordinación distribuida sin beneficio real, dado que los consumidores ya son idempotentes</w:t>
            </w:r>
          </w:p>
        </w:tc>
      </w:tr>
      <w:tr w:rsidR="000444D1" w:rsidRPr="000444D1" w14:paraId="425525A4" w14:textId="77777777">
        <w:trPr>
          <w:tblCellSpacing w:w="15" w:type="dxa"/>
        </w:trPr>
        <w:tc>
          <w:tcPr>
            <w:tcW w:w="0" w:type="auto"/>
            <w:vAlign w:val="center"/>
            <w:hideMark/>
          </w:tcPr>
          <w:p w14:paraId="29E825E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Idempotencia en el consumidor</w:t>
            </w:r>
          </w:p>
        </w:tc>
        <w:tc>
          <w:tcPr>
            <w:tcW w:w="0" w:type="auto"/>
            <w:vAlign w:val="center"/>
            <w:hideMark/>
          </w:tcPr>
          <w:p w14:paraId="4A0410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Obligatoria, por </w:t>
            </w:r>
            <w:r w:rsidRPr="000444D1">
              <w:rPr>
                <w:rFonts w:ascii="Courier New" w:eastAsia="Times New Roman" w:hAnsi="Courier New" w:cs="Courier New"/>
                <w:kern w:val="0"/>
                <w:sz w:val="20"/>
                <w:szCs w:val="20"/>
                <w14:ligatures w14:val="none"/>
              </w:rPr>
              <w:t>idEvento</w:t>
            </w:r>
            <w:r w:rsidRPr="000444D1">
              <w:rPr>
                <w:rFonts w:ascii="Times New Roman" w:eastAsia="Times New Roman" w:hAnsi="Times New Roman" w:cs="Times New Roman"/>
                <w:kern w:val="0"/>
                <w14:ligatures w14:val="none"/>
              </w:rPr>
              <w:t xml:space="preserve"> y por </w:t>
            </w:r>
            <w:r w:rsidRPr="000444D1">
              <w:rPr>
                <w:rFonts w:ascii="Courier New" w:eastAsia="Times New Roman" w:hAnsi="Courier New" w:cs="Courier New"/>
                <w:kern w:val="0"/>
                <w:sz w:val="20"/>
                <w:szCs w:val="20"/>
                <w14:ligatures w14:val="none"/>
              </w:rPr>
              <w:t>claveNegocio</w:t>
            </w:r>
          </w:p>
        </w:tc>
        <w:tc>
          <w:tcPr>
            <w:tcW w:w="0" w:type="auto"/>
            <w:vAlign w:val="center"/>
            <w:hideMark/>
          </w:tcPr>
          <w:p w14:paraId="18F9CD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Absorbe la reentrega y la duplicación entre mecanismos de ingesta</w:t>
            </w:r>
          </w:p>
        </w:tc>
      </w:tr>
      <w:tr w:rsidR="000444D1" w:rsidRPr="000444D1" w14:paraId="70F204D5" w14:textId="77777777">
        <w:trPr>
          <w:tblCellSpacing w:w="15" w:type="dxa"/>
        </w:trPr>
        <w:tc>
          <w:tcPr>
            <w:tcW w:w="0" w:type="auto"/>
            <w:vAlign w:val="center"/>
            <w:hideMark/>
          </w:tcPr>
          <w:p w14:paraId="5791E7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Orden</w:t>
            </w:r>
          </w:p>
        </w:tc>
        <w:tc>
          <w:tcPr>
            <w:tcW w:w="0" w:type="auto"/>
            <w:vAlign w:val="center"/>
            <w:hideMark/>
          </w:tcPr>
          <w:p w14:paraId="1372F0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Garantizado por partición, con </w:t>
            </w:r>
            <w:r w:rsidRPr="000444D1">
              <w:rPr>
                <w:rFonts w:ascii="Courier New" w:eastAsia="Times New Roman" w:hAnsi="Courier New" w:cs="Courier New"/>
                <w:kern w:val="0"/>
                <w:sz w:val="20"/>
                <w:szCs w:val="20"/>
                <w14:ligatures w14:val="none"/>
              </w:rPr>
              <w:t>claveParticion</w:t>
            </w:r>
            <w:r w:rsidRPr="000444D1">
              <w:rPr>
                <w:rFonts w:ascii="Times New Roman" w:eastAsia="Times New Roman" w:hAnsi="Times New Roman" w:cs="Times New Roman"/>
                <w:kern w:val="0"/>
                <w14:ligatures w14:val="none"/>
              </w:rPr>
              <w:t xml:space="preserve"> = identificador de cliente</w:t>
            </w:r>
          </w:p>
        </w:tc>
        <w:tc>
          <w:tcPr>
            <w:tcW w:w="0" w:type="auto"/>
            <w:vAlign w:val="center"/>
            <w:hideMark/>
          </w:tcPr>
          <w:p w14:paraId="3B8178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orden global no es necesario: las invariantes de negocio son por cliente. Exigir orden global limitaría el paralelismo sin beneficio</w:t>
            </w:r>
          </w:p>
        </w:tc>
      </w:tr>
      <w:tr w:rsidR="000444D1" w:rsidRPr="000444D1" w14:paraId="2EE89D8A" w14:textId="77777777">
        <w:trPr>
          <w:tblCellSpacing w:w="15" w:type="dxa"/>
        </w:trPr>
        <w:tc>
          <w:tcPr>
            <w:tcW w:w="0" w:type="auto"/>
            <w:vAlign w:val="center"/>
            <w:hideMark/>
          </w:tcPr>
          <w:p w14:paraId="0FB042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Reintentos</w:t>
            </w:r>
          </w:p>
        </w:tc>
        <w:tc>
          <w:tcPr>
            <w:tcW w:w="0" w:type="auto"/>
            <w:vAlign w:val="center"/>
            <w:hideMark/>
          </w:tcPr>
          <w:p w14:paraId="77FFDA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Retroceso exponencial con dispersión aleatoria, tope de 5 intentos</w:t>
            </w:r>
          </w:p>
        </w:tc>
        <w:tc>
          <w:tcPr>
            <w:tcW w:w="0" w:type="auto"/>
            <w:vAlign w:val="center"/>
            <w:hideMark/>
          </w:tcPr>
          <w:p w14:paraId="2D6FA3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dispersión evita que múltiples consumidores reintenten sincronizadamente tras una caída</w:t>
            </w:r>
          </w:p>
        </w:tc>
      </w:tr>
      <w:tr w:rsidR="000444D1" w:rsidRPr="000444D1" w14:paraId="1BF85D50" w14:textId="77777777">
        <w:trPr>
          <w:tblCellSpacing w:w="15" w:type="dxa"/>
        </w:trPr>
        <w:tc>
          <w:tcPr>
            <w:tcW w:w="0" w:type="auto"/>
            <w:vAlign w:val="center"/>
            <w:hideMark/>
          </w:tcPr>
          <w:p w14:paraId="2CF08C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Cola de fallidos (DLQ)</w:t>
            </w:r>
          </w:p>
        </w:tc>
        <w:tc>
          <w:tcPr>
            <w:tcW w:w="0" w:type="auto"/>
            <w:vAlign w:val="center"/>
            <w:hideMark/>
          </w:tcPr>
          <w:p w14:paraId="235859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por consumidor y tipo de evento, nunca compartida</w:t>
            </w:r>
          </w:p>
        </w:tc>
        <w:tc>
          <w:tcPr>
            <w:tcW w:w="0" w:type="auto"/>
            <w:vAlign w:val="center"/>
            <w:hideMark/>
          </w:tcPr>
          <w:p w14:paraId="0F6475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DLQ compartida impide reprocesar selectivamente y diluye la responsabilidad del equipo propietario</w:t>
            </w:r>
          </w:p>
        </w:tc>
      </w:tr>
      <w:tr w:rsidR="000444D1" w:rsidRPr="000444D1" w14:paraId="038AC211" w14:textId="77777777">
        <w:trPr>
          <w:tblCellSpacing w:w="15" w:type="dxa"/>
        </w:trPr>
        <w:tc>
          <w:tcPr>
            <w:tcW w:w="0" w:type="auto"/>
            <w:vAlign w:val="center"/>
            <w:hideMark/>
          </w:tcPr>
          <w:p w14:paraId="222093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Reproceso</w:t>
            </w:r>
          </w:p>
        </w:tc>
        <w:tc>
          <w:tcPr>
            <w:tcW w:w="0" w:type="auto"/>
            <w:vAlign w:val="center"/>
            <w:hideMark/>
          </w:tcPr>
          <w:p w14:paraId="56CEA7A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Desde la DLQ, tras corrección; los consumidores idempotentes lo toleran sin efectos duplicados</w:t>
            </w:r>
          </w:p>
        </w:tc>
        <w:tc>
          <w:tcPr>
            <w:tcW w:w="0" w:type="auto"/>
            <w:vAlign w:val="center"/>
            <w:hideMark/>
          </w:tcPr>
          <w:p w14:paraId="510338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r>
      <w:tr w:rsidR="000444D1" w:rsidRPr="000444D1" w14:paraId="5F7D59C2" w14:textId="77777777">
        <w:trPr>
          <w:tblCellSpacing w:w="15" w:type="dxa"/>
        </w:trPr>
        <w:tc>
          <w:tcPr>
            <w:tcW w:w="0" w:type="auto"/>
            <w:vAlign w:val="center"/>
            <w:hideMark/>
          </w:tcPr>
          <w:p w14:paraId="7D43AA2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Envenenamiento</w:t>
            </w:r>
          </w:p>
        </w:tc>
        <w:tc>
          <w:tcPr>
            <w:tcW w:w="0" w:type="auto"/>
            <w:vAlign w:val="center"/>
            <w:hideMark/>
          </w:tcPr>
          <w:p w14:paraId="27E308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Un mensaje que agota reintentos va a la DLQ y </w:t>
            </w:r>
            <w:r w:rsidRPr="000444D1">
              <w:rPr>
                <w:rFonts w:ascii="Times New Roman" w:eastAsia="Times New Roman" w:hAnsi="Times New Roman" w:cs="Times New Roman"/>
                <w:b/>
                <w:bCs/>
                <w:kern w:val="0"/>
                <w14:ligatures w14:val="none"/>
              </w:rPr>
              <w:t>no bloquea</w:t>
            </w:r>
            <w:r w:rsidRPr="000444D1">
              <w:rPr>
                <w:rFonts w:ascii="Times New Roman" w:eastAsia="Times New Roman" w:hAnsi="Times New Roman" w:cs="Times New Roman"/>
                <w:kern w:val="0"/>
                <w14:ligatures w14:val="none"/>
              </w:rPr>
              <w:t xml:space="preserve"> su partición</w:t>
            </w:r>
          </w:p>
        </w:tc>
        <w:tc>
          <w:tcPr>
            <w:tcW w:w="0" w:type="auto"/>
            <w:vAlign w:val="center"/>
            <w:hideMark/>
          </w:tcPr>
          <w:p w14:paraId="4BBAFC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esta regla, un solo mensaje defectuoso detendría todos los eventos de ese cliente</w:t>
            </w:r>
          </w:p>
        </w:tc>
      </w:tr>
    </w:tbl>
    <w:p w14:paraId="66E9558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12.9 Versionamiento de eventos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gridCol w:w="5694"/>
      </w:tblGrid>
      <w:tr w:rsidR="000444D1" w:rsidRPr="000444D1" w14:paraId="300260EE" w14:textId="77777777">
        <w:trPr>
          <w:tblHeader/>
          <w:tblCellSpacing w:w="15" w:type="dxa"/>
        </w:trPr>
        <w:tc>
          <w:tcPr>
            <w:tcW w:w="0" w:type="auto"/>
            <w:vAlign w:val="center"/>
            <w:hideMark/>
          </w:tcPr>
          <w:p w14:paraId="2083AF2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 de cambio</w:t>
            </w:r>
          </w:p>
        </w:tc>
        <w:tc>
          <w:tcPr>
            <w:tcW w:w="0" w:type="auto"/>
            <w:vAlign w:val="center"/>
            <w:hideMark/>
          </w:tcPr>
          <w:p w14:paraId="76E450F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w:t>
            </w:r>
          </w:p>
        </w:tc>
      </w:tr>
      <w:tr w:rsidR="000444D1" w:rsidRPr="000444D1" w14:paraId="08A3E2DD" w14:textId="77777777">
        <w:trPr>
          <w:tblCellSpacing w:w="15" w:type="dxa"/>
        </w:trPr>
        <w:tc>
          <w:tcPr>
            <w:tcW w:w="0" w:type="auto"/>
            <w:vAlign w:val="center"/>
            <w:hideMark/>
          </w:tcPr>
          <w:p w14:paraId="664D5E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Añadir campo opcional</w:t>
            </w:r>
          </w:p>
        </w:tc>
        <w:tc>
          <w:tcPr>
            <w:tcW w:w="0" w:type="auto"/>
            <w:vAlign w:val="center"/>
            <w:hideMark/>
          </w:tcPr>
          <w:p w14:paraId="412D79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Incremento de versión menor. Los consumidores existentes lo ignoran</w:t>
            </w:r>
          </w:p>
        </w:tc>
      </w:tr>
      <w:tr w:rsidR="000444D1" w:rsidRPr="000444D1" w14:paraId="12D7F997" w14:textId="77777777">
        <w:trPr>
          <w:tblCellSpacing w:w="15" w:type="dxa"/>
        </w:trPr>
        <w:tc>
          <w:tcPr>
            <w:tcW w:w="0" w:type="auto"/>
            <w:vAlign w:val="center"/>
            <w:hideMark/>
          </w:tcPr>
          <w:p w14:paraId="1242E9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Añadir campo obligatorio, eliminar o cambiar el significado de un campo</w:t>
            </w:r>
          </w:p>
        </w:tc>
        <w:tc>
          <w:tcPr>
            <w:tcW w:w="0" w:type="auto"/>
            <w:vAlign w:val="center"/>
            <w:hideMark/>
          </w:tcPr>
          <w:p w14:paraId="2BFC8DC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Nuevo tipo de evento con versión mayor, publicado </w:t>
            </w:r>
            <w:r w:rsidRPr="000444D1">
              <w:rPr>
                <w:rFonts w:ascii="Times New Roman" w:eastAsia="Times New Roman" w:hAnsi="Times New Roman" w:cs="Times New Roman"/>
                <w:b/>
                <w:bCs/>
                <w:kern w:val="0"/>
                <w14:ligatures w14:val="none"/>
              </w:rPr>
              <w:t>en paralelo</w:t>
            </w:r>
            <w:r w:rsidRPr="000444D1">
              <w:rPr>
                <w:rFonts w:ascii="Times New Roman" w:eastAsia="Times New Roman" w:hAnsi="Times New Roman" w:cs="Times New Roman"/>
                <w:kern w:val="0"/>
                <w14:ligatures w14:val="none"/>
              </w:rPr>
              <w:t xml:space="preserve"> al anterior</w:t>
            </w:r>
          </w:p>
        </w:tc>
      </w:tr>
      <w:tr w:rsidR="000444D1" w:rsidRPr="000444D1" w14:paraId="56CECC9F" w14:textId="77777777">
        <w:trPr>
          <w:tblCellSpacing w:w="15" w:type="dxa"/>
        </w:trPr>
        <w:tc>
          <w:tcPr>
            <w:tcW w:w="0" w:type="auto"/>
            <w:vAlign w:val="center"/>
            <w:hideMark/>
          </w:tcPr>
          <w:p w14:paraId="028ED7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Retirada de la versión anterior</w:t>
            </w:r>
          </w:p>
        </w:tc>
        <w:tc>
          <w:tcPr>
            <w:tcW w:w="0" w:type="auto"/>
            <w:vAlign w:val="center"/>
            <w:hideMark/>
          </w:tcPr>
          <w:p w14:paraId="3CF67A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Solo cuando la telemetría del bus confirma que ningún consumidor la consume, con el periodo de gracia de la sección 16</w:t>
            </w:r>
          </w:p>
        </w:tc>
      </w:tr>
    </w:tbl>
    <w:p w14:paraId="568CD03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regla operativa es que </w:t>
      </w:r>
      <w:r w:rsidRPr="000444D1">
        <w:rPr>
          <w:rFonts w:ascii="Times New Roman" w:eastAsia="Times New Roman" w:hAnsi="Times New Roman" w:cs="Times New Roman"/>
          <w:b/>
          <w:bCs/>
          <w:kern w:val="0"/>
          <w14:ligatures w14:val="none"/>
        </w:rPr>
        <w:t>el productor nunca rompe a un consumidor</w:t>
      </w:r>
      <w:r w:rsidRPr="000444D1">
        <w:rPr>
          <w:rFonts w:ascii="Times New Roman" w:eastAsia="Times New Roman" w:hAnsi="Times New Roman" w:cs="Times New Roman"/>
          <w:kern w:val="0"/>
          <w14:ligatures w14:val="none"/>
        </w:rPr>
        <w:t>: durante la transición se publican ambas versiones y el costo de la duplicación temporal se asume conscientemente, porque es menor que el de coordinar despliegues entre equipos. Esta es la aplicación del principio de abierto/ cerrado al nivel de contratos de evento.</w:t>
      </w:r>
    </w:p>
    <w:p w14:paraId="731BDF3C"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738BAC75">
          <v:rect id="Horizontal Line 508"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4FEF2B"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13. Seguridad, cumplimiento normativo y LOPDP</w:t>
      </w:r>
    </w:p>
    <w:p w14:paraId="08970D8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estructura de esta sección obedece a un criterio: no basta con enumerar controles, hay que precisar </w:t>
      </w:r>
      <w:r w:rsidRPr="000444D1">
        <w:rPr>
          <w:rFonts w:ascii="Times New Roman" w:eastAsia="Times New Roman" w:hAnsi="Times New Roman" w:cs="Times New Roman"/>
          <w:b/>
          <w:bCs/>
          <w:kern w:val="0"/>
          <w14:ligatures w14:val="none"/>
        </w:rPr>
        <w:t>dónde están presentes en la solución</w:t>
      </w:r>
      <w:r w:rsidRPr="000444D1">
        <w:rPr>
          <w:rFonts w:ascii="Times New Roman" w:eastAsia="Times New Roman" w:hAnsi="Times New Roman" w:cs="Times New Roman"/>
          <w:kern w:val="0"/>
          <w14:ligatures w14:val="none"/>
        </w:rPr>
        <w:t>. Por eso cada control declarado aquí lleva asociado el componente concreto de las secciones 7 y 8 en el que reside. Un control sin ubicación es una intención, no un control.</w:t>
      </w:r>
    </w:p>
    <w:p w14:paraId="25EEC3C5"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13.1 Marco normativo aplicable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4"/>
        <w:gridCol w:w="6066"/>
      </w:tblGrid>
      <w:tr w:rsidR="000444D1" w:rsidRPr="000444D1" w14:paraId="30B785A4" w14:textId="77777777">
        <w:trPr>
          <w:tblHeader/>
          <w:tblCellSpacing w:w="15" w:type="dxa"/>
        </w:trPr>
        <w:tc>
          <w:tcPr>
            <w:tcW w:w="0" w:type="auto"/>
            <w:vAlign w:val="center"/>
            <w:hideMark/>
          </w:tcPr>
          <w:p w14:paraId="53D91A3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Marco</w:t>
            </w:r>
          </w:p>
        </w:tc>
        <w:tc>
          <w:tcPr>
            <w:tcW w:w="0" w:type="auto"/>
            <w:vAlign w:val="center"/>
            <w:hideMark/>
          </w:tcPr>
          <w:p w14:paraId="4AD0361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Alcance en este diseño</w:t>
            </w:r>
          </w:p>
        </w:tc>
      </w:tr>
      <w:tr w:rsidR="000444D1" w:rsidRPr="000444D1" w14:paraId="0DE56E78" w14:textId="77777777">
        <w:trPr>
          <w:tblCellSpacing w:w="15" w:type="dxa"/>
        </w:trPr>
        <w:tc>
          <w:tcPr>
            <w:tcW w:w="0" w:type="auto"/>
            <w:vAlign w:val="center"/>
            <w:hideMark/>
          </w:tcPr>
          <w:p w14:paraId="0B8EBF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LOPDP</w:t>
            </w:r>
            <w:r w:rsidRPr="000444D1">
              <w:rPr>
                <w:rFonts w:ascii="Times New Roman" w:eastAsia="Times New Roman" w:hAnsi="Times New Roman" w:cs="Times New Roman"/>
                <w:kern w:val="0"/>
                <w14:ligatures w14:val="none"/>
              </w:rPr>
              <w:t xml:space="preserve"> — Ley Orgánica de Protección de Datos Personales (Ecuador)</w:t>
            </w:r>
          </w:p>
        </w:tc>
        <w:tc>
          <w:tcPr>
            <w:tcW w:w="0" w:type="auto"/>
            <w:vAlign w:val="center"/>
            <w:hideMark/>
          </w:tcPr>
          <w:p w14:paraId="7E513E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tratamiento de datos de clientes y de terceros vinculados. Determina bases de licitud, derechos del titular y obligaciones del responsable</w:t>
            </w:r>
          </w:p>
        </w:tc>
      </w:tr>
      <w:tr w:rsidR="000444D1" w:rsidRPr="000444D1" w14:paraId="294437D9" w14:textId="77777777">
        <w:trPr>
          <w:tblCellSpacing w:w="15" w:type="dxa"/>
        </w:trPr>
        <w:tc>
          <w:tcPr>
            <w:tcW w:w="0" w:type="auto"/>
            <w:vAlign w:val="center"/>
            <w:hideMark/>
          </w:tcPr>
          <w:p w14:paraId="35CB9E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Normativa del organismo de supervisión bancaria</w:t>
            </w:r>
          </w:p>
        </w:tc>
        <w:tc>
          <w:tcPr>
            <w:tcW w:w="0" w:type="auto"/>
            <w:vAlign w:val="center"/>
            <w:hideMark/>
          </w:tcPr>
          <w:p w14:paraId="5F85C0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Continuidad del negocio, trazabilidad de operaciones, reportería regulatoria, gestión de riesgo operativo y tecnológico</w:t>
            </w:r>
          </w:p>
        </w:tc>
      </w:tr>
      <w:tr w:rsidR="000444D1" w:rsidRPr="000444D1" w14:paraId="08657918" w14:textId="77777777">
        <w:trPr>
          <w:tblCellSpacing w:w="15" w:type="dxa"/>
        </w:trPr>
        <w:tc>
          <w:tcPr>
            <w:tcW w:w="0" w:type="auto"/>
            <w:vAlign w:val="center"/>
            <w:hideMark/>
          </w:tcPr>
          <w:p w14:paraId="391F52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Normativa de banca abierta / Open Finance</w:t>
            </w:r>
          </w:p>
        </w:tc>
        <w:tc>
          <w:tcPr>
            <w:tcW w:w="0" w:type="auto"/>
            <w:vAlign w:val="center"/>
            <w:hideMark/>
          </w:tcPr>
          <w:p w14:paraId="01B499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 explícito, granular y revocable; perfil de seguridad de las APIs externas</w:t>
            </w:r>
          </w:p>
        </w:tc>
      </w:tr>
      <w:tr w:rsidR="000444D1" w:rsidRPr="000444D1" w14:paraId="1A70173A" w14:textId="77777777">
        <w:trPr>
          <w:tblCellSpacing w:w="15" w:type="dxa"/>
        </w:trPr>
        <w:tc>
          <w:tcPr>
            <w:tcW w:w="0" w:type="auto"/>
            <w:vAlign w:val="center"/>
            <w:hideMark/>
          </w:tcPr>
          <w:p w14:paraId="37E339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PCI DSS</w:t>
            </w:r>
          </w:p>
        </w:tc>
        <w:tc>
          <w:tcPr>
            <w:tcW w:w="0" w:type="auto"/>
            <w:vAlign w:val="center"/>
            <w:hideMark/>
          </w:tcPr>
          <w:p w14:paraId="231291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Aplicable al ámbito de tarjetas. El diseño reduce deliberadamente el alcance mediante tokenización (13.7)</w:t>
            </w:r>
          </w:p>
        </w:tc>
      </w:tr>
      <w:tr w:rsidR="000444D1" w:rsidRPr="000444D1" w14:paraId="16495BAF" w14:textId="77777777">
        <w:trPr>
          <w:tblCellSpacing w:w="15" w:type="dxa"/>
        </w:trPr>
        <w:tc>
          <w:tcPr>
            <w:tcW w:w="0" w:type="auto"/>
            <w:vAlign w:val="center"/>
            <w:hideMark/>
          </w:tcPr>
          <w:p w14:paraId="5937D6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ISO/IEC 27001 como marco de referencia</w:t>
            </w:r>
          </w:p>
        </w:tc>
        <w:tc>
          <w:tcPr>
            <w:tcW w:w="0" w:type="auto"/>
            <w:vAlign w:val="center"/>
            <w:hideMark/>
          </w:tcPr>
          <w:p w14:paraId="4E3D072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Estructura del sistema de gestión de seguridad; no es requisito normativo sino práctica adoptada</w:t>
            </w:r>
          </w:p>
        </w:tc>
      </w:tr>
    </w:tbl>
    <w:p w14:paraId="174F189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13.2 Principios de la LOPDP y su materialización</w:t>
      </w:r>
    </w:p>
    <w:p w14:paraId="506F7F1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ley enuncia principios que rigen todo tratamiento. La tabla los recorre y señala el elemento del diseño que los hace efectivos. Los principios sin correlato arquitectónico se declaran como organizacionales, en lugar de forzar una atribución técnica.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6"/>
        <w:gridCol w:w="6754"/>
      </w:tblGrid>
      <w:tr w:rsidR="000444D1" w:rsidRPr="000444D1" w14:paraId="0CB9D7E7" w14:textId="77777777">
        <w:trPr>
          <w:tblHeader/>
          <w:tblCellSpacing w:w="15" w:type="dxa"/>
        </w:trPr>
        <w:tc>
          <w:tcPr>
            <w:tcW w:w="0" w:type="auto"/>
            <w:vAlign w:val="center"/>
            <w:hideMark/>
          </w:tcPr>
          <w:p w14:paraId="606CA46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Principio</w:t>
            </w:r>
          </w:p>
        </w:tc>
        <w:tc>
          <w:tcPr>
            <w:tcW w:w="0" w:type="auto"/>
            <w:vAlign w:val="center"/>
            <w:hideMark/>
          </w:tcPr>
          <w:p w14:paraId="42ECAD1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Materialización en el diseño</w:t>
            </w:r>
          </w:p>
        </w:tc>
      </w:tr>
      <w:tr w:rsidR="000444D1" w:rsidRPr="000444D1" w14:paraId="7507392C" w14:textId="77777777">
        <w:trPr>
          <w:tblCellSpacing w:w="15" w:type="dxa"/>
        </w:trPr>
        <w:tc>
          <w:tcPr>
            <w:tcW w:w="0" w:type="auto"/>
            <w:vAlign w:val="center"/>
            <w:hideMark/>
          </w:tcPr>
          <w:p w14:paraId="509C6C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Juridicidad</w:t>
            </w:r>
          </w:p>
        </w:tc>
        <w:tc>
          <w:tcPr>
            <w:tcW w:w="0" w:type="auto"/>
            <w:vAlign w:val="center"/>
            <w:hideMark/>
          </w:tcPr>
          <w:p w14:paraId="1BF730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operación de tratamiento se ampara en una base de licitud declarada en 13.3</w:t>
            </w:r>
          </w:p>
        </w:tc>
      </w:tr>
      <w:tr w:rsidR="000444D1" w:rsidRPr="000444D1" w14:paraId="2F6C7A83" w14:textId="77777777">
        <w:trPr>
          <w:tblCellSpacing w:w="15" w:type="dxa"/>
        </w:trPr>
        <w:tc>
          <w:tcPr>
            <w:tcW w:w="0" w:type="auto"/>
            <w:vAlign w:val="center"/>
            <w:hideMark/>
          </w:tcPr>
          <w:p w14:paraId="312941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Lealtad y transparencia</w:t>
            </w:r>
          </w:p>
        </w:tc>
        <w:tc>
          <w:tcPr>
            <w:tcW w:w="0" w:type="auto"/>
            <w:vAlign w:val="center"/>
            <w:hideMark/>
          </w:tcPr>
          <w:p w14:paraId="16C570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registro de consentimientos (D7) conserva el texto y la versión del aviso presentado al titular en el momento de otorgarlo</w:t>
            </w:r>
          </w:p>
        </w:tc>
      </w:tr>
      <w:tr w:rsidR="000444D1" w:rsidRPr="000444D1" w14:paraId="05FD27F3" w14:textId="77777777">
        <w:trPr>
          <w:tblCellSpacing w:w="15" w:type="dxa"/>
        </w:trPr>
        <w:tc>
          <w:tcPr>
            <w:tcW w:w="0" w:type="auto"/>
            <w:vAlign w:val="center"/>
            <w:hideMark/>
          </w:tcPr>
          <w:p w14:paraId="6FA4AE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Finalidad</w:t>
            </w:r>
          </w:p>
        </w:tc>
        <w:tc>
          <w:tcPr>
            <w:tcW w:w="0" w:type="auto"/>
            <w:vAlign w:val="center"/>
            <w:hideMark/>
          </w:tcPr>
          <w:p w14:paraId="1BB83C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alcance del consentimiento (</w:t>
            </w:r>
            <w:r w:rsidRPr="000444D1">
              <w:rPr>
                <w:rFonts w:ascii="Courier New" w:eastAsia="Times New Roman" w:hAnsi="Courier New" w:cs="Courier New"/>
                <w:kern w:val="0"/>
                <w:sz w:val="20"/>
                <w:szCs w:val="20"/>
                <w14:ligatures w14:val="none"/>
              </w:rPr>
              <w:t>alcanceRevocado</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scopes</w:t>
            </w:r>
            <w:r w:rsidRPr="000444D1">
              <w:rPr>
                <w:rFonts w:ascii="Times New Roman" w:eastAsia="Times New Roman" w:hAnsi="Times New Roman" w:cs="Times New Roman"/>
                <w:kern w:val="0"/>
                <w14:ligatures w14:val="none"/>
              </w:rPr>
              <w:t xml:space="preserve"> OAuth) delimita para qué puede usarse cada dato; el gateway externo lo verifica en cada petición</w:t>
            </w:r>
          </w:p>
        </w:tc>
      </w:tr>
      <w:tr w:rsidR="000444D1" w:rsidRPr="000444D1" w14:paraId="1795ACF3" w14:textId="77777777">
        <w:trPr>
          <w:tblCellSpacing w:w="15" w:type="dxa"/>
        </w:trPr>
        <w:tc>
          <w:tcPr>
            <w:tcW w:w="0" w:type="auto"/>
            <w:vAlign w:val="center"/>
            <w:hideMark/>
          </w:tcPr>
          <w:p w14:paraId="5BF239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Pertinencia y minimización</w:t>
            </w:r>
          </w:p>
        </w:tc>
        <w:tc>
          <w:tcPr>
            <w:tcW w:w="0" w:type="auto"/>
            <w:vAlign w:val="center"/>
            <w:hideMark/>
          </w:tcPr>
          <w:p w14:paraId="76A79F4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API externa devuelve un subconjunto estricto de campos frente a la interna equivalente (sección 12.4). Los payloads de eventos transportan identificadores, no perfiles completos</w:t>
            </w:r>
          </w:p>
        </w:tc>
      </w:tr>
      <w:tr w:rsidR="000444D1" w:rsidRPr="000444D1" w14:paraId="27938F1D" w14:textId="77777777">
        <w:trPr>
          <w:tblCellSpacing w:w="15" w:type="dxa"/>
        </w:trPr>
        <w:tc>
          <w:tcPr>
            <w:tcW w:w="0" w:type="auto"/>
            <w:vAlign w:val="center"/>
            <w:hideMark/>
          </w:tcPr>
          <w:p w14:paraId="6418B7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Proporcionalidad</w:t>
            </w:r>
          </w:p>
        </w:tc>
        <w:tc>
          <w:tcPr>
            <w:tcW w:w="0" w:type="auto"/>
            <w:vAlign w:val="center"/>
            <w:hideMark/>
          </w:tcPr>
          <w:p w14:paraId="23419F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evaluación de fraude recibe el contexto de la operación, no el histórico completo del cliente</w:t>
            </w:r>
          </w:p>
        </w:tc>
      </w:tr>
      <w:tr w:rsidR="000444D1" w:rsidRPr="000444D1" w14:paraId="196987A2" w14:textId="77777777">
        <w:trPr>
          <w:tblCellSpacing w:w="15" w:type="dxa"/>
        </w:trPr>
        <w:tc>
          <w:tcPr>
            <w:tcW w:w="0" w:type="auto"/>
            <w:vAlign w:val="center"/>
            <w:hideMark/>
          </w:tcPr>
          <w:p w14:paraId="62E614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Confidencialidad</w:t>
            </w:r>
          </w:p>
        </w:tc>
        <w:tc>
          <w:tcPr>
            <w:tcW w:w="0" w:type="auto"/>
            <w:vAlign w:val="center"/>
            <w:hideMark/>
          </w:tcPr>
          <w:p w14:paraId="2FB3A26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Controles C-05 a C-09 de la tabla 13.6</w:t>
            </w:r>
          </w:p>
        </w:tc>
      </w:tr>
      <w:tr w:rsidR="000444D1" w:rsidRPr="000444D1" w14:paraId="260AC6BF" w14:textId="77777777">
        <w:trPr>
          <w:tblCellSpacing w:w="15" w:type="dxa"/>
        </w:trPr>
        <w:tc>
          <w:tcPr>
            <w:tcW w:w="0" w:type="auto"/>
            <w:vAlign w:val="center"/>
            <w:hideMark/>
          </w:tcPr>
          <w:p w14:paraId="008519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Calidad y exactitud</w:t>
            </w:r>
          </w:p>
        </w:tc>
        <w:tc>
          <w:tcPr>
            <w:tcW w:w="0" w:type="auto"/>
            <w:vAlign w:val="center"/>
            <w:hideMark/>
          </w:tcPr>
          <w:p w14:paraId="0D26D6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único system of record por entidad (sección 5.3) elimina las copias divergentes, que son la causa habitual de datos inexactos</w:t>
            </w:r>
          </w:p>
        </w:tc>
      </w:tr>
      <w:tr w:rsidR="000444D1" w:rsidRPr="000444D1" w14:paraId="54FD9719" w14:textId="77777777">
        <w:trPr>
          <w:tblCellSpacing w:w="15" w:type="dxa"/>
        </w:trPr>
        <w:tc>
          <w:tcPr>
            <w:tcW w:w="0" w:type="auto"/>
            <w:vAlign w:val="center"/>
            <w:hideMark/>
          </w:tcPr>
          <w:p w14:paraId="067757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Conservación</w:t>
            </w:r>
          </w:p>
        </w:tc>
        <w:tc>
          <w:tcPr>
            <w:tcW w:w="0" w:type="auto"/>
            <w:vAlign w:val="center"/>
            <w:hideMark/>
          </w:tcPr>
          <w:p w14:paraId="2B6B78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Política de retención diferenciada por tipo de dato (13.8)</w:t>
            </w:r>
          </w:p>
        </w:tc>
      </w:tr>
      <w:tr w:rsidR="000444D1" w:rsidRPr="000444D1" w14:paraId="3E3F528D" w14:textId="77777777">
        <w:trPr>
          <w:tblCellSpacing w:w="15" w:type="dxa"/>
        </w:trPr>
        <w:tc>
          <w:tcPr>
            <w:tcW w:w="0" w:type="auto"/>
            <w:vAlign w:val="center"/>
            <w:hideMark/>
          </w:tcPr>
          <w:p w14:paraId="1F9A8D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Seguridad de datos personales</w:t>
            </w:r>
          </w:p>
        </w:tc>
        <w:tc>
          <w:tcPr>
            <w:tcW w:w="0" w:type="auto"/>
            <w:vAlign w:val="center"/>
            <w:hideMark/>
          </w:tcPr>
          <w:p w14:paraId="07395A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Tabla completa de controles 13.6</w:t>
            </w:r>
          </w:p>
        </w:tc>
      </w:tr>
      <w:tr w:rsidR="000444D1" w:rsidRPr="000444D1" w14:paraId="6B69C889" w14:textId="77777777">
        <w:trPr>
          <w:tblCellSpacing w:w="15" w:type="dxa"/>
        </w:trPr>
        <w:tc>
          <w:tcPr>
            <w:tcW w:w="0" w:type="auto"/>
            <w:vAlign w:val="center"/>
            <w:hideMark/>
          </w:tcPr>
          <w:p w14:paraId="1E4EB1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Responsabilidad proactiva y demostrada</w:t>
            </w:r>
          </w:p>
        </w:tc>
        <w:tc>
          <w:tcPr>
            <w:tcW w:w="0" w:type="auto"/>
            <w:vAlign w:val="center"/>
            <w:hideMark/>
          </w:tcPr>
          <w:p w14:paraId="4C0809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actividades de tratamiento (13.9) y trazabilidad de accesos en D8: la demostración del cumplimiento es consultable, no declarativa</w:t>
            </w:r>
          </w:p>
        </w:tc>
      </w:tr>
    </w:tbl>
    <w:p w14:paraId="543F10C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Sobre el principio de calidad y exactitud.</w:t>
      </w:r>
      <w:r w:rsidRPr="000444D1">
        <w:rPr>
          <w:rFonts w:ascii="Times New Roman" w:eastAsia="Times New Roman" w:hAnsi="Times New Roman" w:cs="Times New Roman"/>
          <w:kern w:val="0"/>
          <w14:ligatures w14:val="none"/>
        </w:rPr>
        <w:t xml:space="preserve"> Merece atención porque es donde la arquitectura aporta más de lo evidente. La decisión del ADR-001 de no duplicar los datos maestros de cliente entre cores no se tomó por motivos de protección de datos, sino de consistencia; pero su efecto es directamente un cumplimiento del principio: no puede haber dos versiones divergentes de un dato personal si solo existe un propietario. Es un caso donde una decisión técnica satisface una obligación legal sin haber sido diseñada para ello, y conviene señalarlo explícitamente.</w:t>
      </w:r>
    </w:p>
    <w:p w14:paraId="12746B02"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13.3 Bases de licitud por tipo de tratamiento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4"/>
        <w:gridCol w:w="3776"/>
        <w:gridCol w:w="2080"/>
      </w:tblGrid>
      <w:tr w:rsidR="000444D1" w:rsidRPr="000444D1" w14:paraId="77C858D0" w14:textId="77777777">
        <w:trPr>
          <w:tblHeader/>
          <w:tblCellSpacing w:w="15" w:type="dxa"/>
        </w:trPr>
        <w:tc>
          <w:tcPr>
            <w:tcW w:w="0" w:type="auto"/>
            <w:vAlign w:val="center"/>
            <w:hideMark/>
          </w:tcPr>
          <w:p w14:paraId="1739D9B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w:t>
            </w:r>
          </w:p>
        </w:tc>
        <w:tc>
          <w:tcPr>
            <w:tcW w:w="0" w:type="auto"/>
            <w:vAlign w:val="center"/>
            <w:hideMark/>
          </w:tcPr>
          <w:p w14:paraId="2162C90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Base de licitud</w:t>
            </w:r>
          </w:p>
        </w:tc>
        <w:tc>
          <w:tcPr>
            <w:tcW w:w="0" w:type="auto"/>
            <w:vAlign w:val="center"/>
            <w:hideMark/>
          </w:tcPr>
          <w:p w14:paraId="65C5FEA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 que la registra</w:t>
            </w:r>
          </w:p>
        </w:tc>
      </w:tr>
      <w:tr w:rsidR="000444D1" w:rsidRPr="000444D1" w14:paraId="24183949" w14:textId="77777777">
        <w:trPr>
          <w:tblCellSpacing w:w="15" w:type="dxa"/>
        </w:trPr>
        <w:tc>
          <w:tcPr>
            <w:tcW w:w="0" w:type="auto"/>
            <w:vAlign w:val="center"/>
            <w:hideMark/>
          </w:tcPr>
          <w:p w14:paraId="5C040A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Ejecución de pagos y operaciones sobre productos contratados</w:t>
            </w:r>
          </w:p>
        </w:tc>
        <w:tc>
          <w:tcPr>
            <w:tcW w:w="0" w:type="auto"/>
            <w:vAlign w:val="center"/>
            <w:hideMark/>
          </w:tcPr>
          <w:p w14:paraId="2208B3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Ejecución de contrato</w:t>
            </w:r>
          </w:p>
        </w:tc>
        <w:tc>
          <w:tcPr>
            <w:tcW w:w="0" w:type="auto"/>
            <w:vAlign w:val="center"/>
            <w:hideMark/>
          </w:tcPr>
          <w:p w14:paraId="42ED490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cores</w:t>
            </w:r>
          </w:p>
        </w:tc>
      </w:tr>
      <w:tr w:rsidR="000444D1" w:rsidRPr="000444D1" w14:paraId="776F41B4" w14:textId="77777777">
        <w:trPr>
          <w:tblCellSpacing w:w="15" w:type="dxa"/>
        </w:trPr>
        <w:tc>
          <w:tcPr>
            <w:tcW w:w="0" w:type="auto"/>
            <w:vAlign w:val="center"/>
            <w:hideMark/>
          </w:tcPr>
          <w:p w14:paraId="505A7CE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de fraude sobre operaciones propias</w:t>
            </w:r>
          </w:p>
        </w:tc>
        <w:tc>
          <w:tcPr>
            <w:tcW w:w="0" w:type="auto"/>
            <w:vAlign w:val="center"/>
            <w:hideMark/>
          </w:tcPr>
          <w:p w14:paraId="3A75E2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Interés legítimo del responsable y obligación legal de prevención</w:t>
            </w:r>
          </w:p>
        </w:tc>
        <w:tc>
          <w:tcPr>
            <w:tcW w:w="0" w:type="auto"/>
            <w:vAlign w:val="center"/>
            <w:hideMark/>
          </w:tcPr>
          <w:p w14:paraId="5779D1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 con constancia en D8</w:t>
            </w:r>
          </w:p>
        </w:tc>
      </w:tr>
      <w:tr w:rsidR="000444D1" w:rsidRPr="000444D1" w14:paraId="1BA4D07F" w14:textId="77777777">
        <w:trPr>
          <w:tblCellSpacing w:w="15" w:type="dxa"/>
        </w:trPr>
        <w:tc>
          <w:tcPr>
            <w:tcW w:w="0" w:type="auto"/>
            <w:vAlign w:val="center"/>
            <w:hideMark/>
          </w:tcPr>
          <w:p w14:paraId="023889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Reportería regulatoria y prevención de lavado de activos</w:t>
            </w:r>
          </w:p>
        </w:tc>
        <w:tc>
          <w:tcPr>
            <w:tcW w:w="0" w:type="auto"/>
            <w:vAlign w:val="center"/>
            <w:hideMark/>
          </w:tcPr>
          <w:p w14:paraId="4E04CD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Cumplimiento de obligación legal</w:t>
            </w:r>
          </w:p>
        </w:tc>
        <w:tc>
          <w:tcPr>
            <w:tcW w:w="0" w:type="auto"/>
            <w:vAlign w:val="center"/>
            <w:hideMark/>
          </w:tcPr>
          <w:p w14:paraId="2943732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procesos de reportería</w:t>
            </w:r>
          </w:p>
        </w:tc>
      </w:tr>
      <w:tr w:rsidR="000444D1" w:rsidRPr="000444D1" w14:paraId="5C57DA75" w14:textId="77777777">
        <w:trPr>
          <w:tblCellSpacing w:w="15" w:type="dxa"/>
        </w:trPr>
        <w:tc>
          <w:tcPr>
            <w:tcW w:w="0" w:type="auto"/>
            <w:vAlign w:val="center"/>
            <w:hideMark/>
          </w:tcPr>
          <w:p w14:paraId="1CDF56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Cesión de datos a un tercero Open Finance</w:t>
            </w:r>
          </w:p>
        </w:tc>
        <w:tc>
          <w:tcPr>
            <w:tcW w:w="0" w:type="auto"/>
            <w:vAlign w:val="center"/>
            <w:hideMark/>
          </w:tcPr>
          <w:p w14:paraId="3EFCC5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Consentimiento</w:t>
            </w:r>
            <w:r w:rsidRPr="000444D1">
              <w:rPr>
                <w:rFonts w:ascii="Times New Roman" w:eastAsia="Times New Roman" w:hAnsi="Times New Roman" w:cs="Times New Roman"/>
                <w:kern w:val="0"/>
                <w14:ligatures w14:val="none"/>
              </w:rPr>
              <w:t xml:space="preserve"> explícito, granular y revocable</w:t>
            </w:r>
          </w:p>
        </w:tc>
        <w:tc>
          <w:tcPr>
            <w:tcW w:w="0" w:type="auto"/>
            <w:vAlign w:val="center"/>
            <w:hideMark/>
          </w:tcPr>
          <w:p w14:paraId="022B90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w:t>
            </w:r>
          </w:p>
        </w:tc>
      </w:tr>
      <w:tr w:rsidR="000444D1" w:rsidRPr="000444D1" w14:paraId="7539BBCC" w14:textId="77777777">
        <w:trPr>
          <w:tblCellSpacing w:w="15" w:type="dxa"/>
        </w:trPr>
        <w:tc>
          <w:tcPr>
            <w:tcW w:w="0" w:type="auto"/>
            <w:vAlign w:val="center"/>
            <w:hideMark/>
          </w:tcPr>
          <w:p w14:paraId="3164AB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Evaluación de riesgo crediticio para originación</w:t>
            </w:r>
          </w:p>
        </w:tc>
        <w:tc>
          <w:tcPr>
            <w:tcW w:w="0" w:type="auto"/>
            <w:vAlign w:val="center"/>
            <w:hideMark/>
          </w:tcPr>
          <w:p w14:paraId="7E0B75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Ejecución precontractual a solicitud del titular</w:t>
            </w:r>
          </w:p>
        </w:tc>
        <w:tc>
          <w:tcPr>
            <w:tcW w:w="0" w:type="auto"/>
            <w:vAlign w:val="center"/>
            <w:hideMark/>
          </w:tcPr>
          <w:p w14:paraId="189708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D6</w:t>
            </w:r>
          </w:p>
        </w:tc>
      </w:tr>
      <w:tr w:rsidR="000444D1" w:rsidRPr="000444D1" w14:paraId="0796A284" w14:textId="77777777">
        <w:trPr>
          <w:tblCellSpacing w:w="15" w:type="dxa"/>
        </w:trPr>
        <w:tc>
          <w:tcPr>
            <w:tcW w:w="0" w:type="auto"/>
            <w:vAlign w:val="center"/>
            <w:hideMark/>
          </w:tcPr>
          <w:p w14:paraId="42E66F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Analítica y mejora de modelos</w:t>
            </w:r>
          </w:p>
        </w:tc>
        <w:tc>
          <w:tcPr>
            <w:tcW w:w="0" w:type="auto"/>
            <w:vAlign w:val="center"/>
            <w:hideMark/>
          </w:tcPr>
          <w:p w14:paraId="1D582A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Interés legítimo, sobre datos seudonimizados</w:t>
            </w:r>
          </w:p>
        </w:tc>
        <w:tc>
          <w:tcPr>
            <w:tcW w:w="0" w:type="auto"/>
            <w:vAlign w:val="center"/>
            <w:hideMark/>
          </w:tcPr>
          <w:p w14:paraId="5A54F0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Canalización analítica</w:t>
            </w:r>
          </w:p>
        </w:tc>
      </w:tr>
    </w:tbl>
    <w:p w14:paraId="38E55D4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distinción importa en el diseño: </w:t>
      </w:r>
      <w:r w:rsidRPr="000444D1">
        <w:rPr>
          <w:rFonts w:ascii="Times New Roman" w:eastAsia="Times New Roman" w:hAnsi="Times New Roman" w:cs="Times New Roman"/>
          <w:b/>
          <w:bCs/>
          <w:kern w:val="0"/>
          <w14:ligatures w14:val="none"/>
        </w:rPr>
        <w:t>el único tratamiento que depende de consentimiento es la cesión a terceros</w:t>
      </w:r>
      <w:r w:rsidRPr="000444D1">
        <w:rPr>
          <w:rFonts w:ascii="Times New Roman" w:eastAsia="Times New Roman" w:hAnsi="Times New Roman" w:cs="Times New Roman"/>
          <w:kern w:val="0"/>
          <w14:ligatures w14:val="none"/>
        </w:rPr>
        <w:t>. Confundir esto y pedir consentimiento para ejecutar un pago sería un error jurídico y operativo, porque implicaría que el titular puede revocar la base que sostiene su propio contrato. Por eso D7 gobierna exclusivamente el ámbito Open Finance y no interviene en la operativa propia.</w:t>
      </w:r>
    </w:p>
    <w:p w14:paraId="5239010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13.4 Derechos del titular y su ejercicio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4605"/>
        <w:gridCol w:w="2437"/>
      </w:tblGrid>
      <w:tr w:rsidR="000444D1" w:rsidRPr="000444D1" w14:paraId="252124E4" w14:textId="77777777">
        <w:trPr>
          <w:tblHeader/>
          <w:tblCellSpacing w:w="15" w:type="dxa"/>
        </w:trPr>
        <w:tc>
          <w:tcPr>
            <w:tcW w:w="0" w:type="auto"/>
            <w:vAlign w:val="center"/>
            <w:hideMark/>
          </w:tcPr>
          <w:p w14:paraId="6FEA44C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Derecho</w:t>
            </w:r>
          </w:p>
        </w:tc>
        <w:tc>
          <w:tcPr>
            <w:tcW w:w="0" w:type="auto"/>
            <w:vAlign w:val="center"/>
            <w:hideMark/>
          </w:tcPr>
          <w:p w14:paraId="095CBC0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Cómo se satisface</w:t>
            </w:r>
          </w:p>
        </w:tc>
        <w:tc>
          <w:tcPr>
            <w:tcW w:w="0" w:type="auto"/>
            <w:vAlign w:val="center"/>
            <w:hideMark/>
          </w:tcPr>
          <w:p w14:paraId="45A6A55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r>
      <w:tr w:rsidR="000444D1" w:rsidRPr="000444D1" w14:paraId="5A997C49" w14:textId="77777777">
        <w:trPr>
          <w:tblCellSpacing w:w="15" w:type="dxa"/>
        </w:trPr>
        <w:tc>
          <w:tcPr>
            <w:tcW w:w="0" w:type="auto"/>
            <w:vAlign w:val="center"/>
            <w:hideMark/>
          </w:tcPr>
          <w:p w14:paraId="0390FA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Información</w:t>
            </w:r>
          </w:p>
        </w:tc>
        <w:tc>
          <w:tcPr>
            <w:tcW w:w="0" w:type="auto"/>
            <w:vAlign w:val="center"/>
            <w:hideMark/>
          </w:tcPr>
          <w:p w14:paraId="6BD75E8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Aviso de privacidad versionado, conservado con cada consentimiento</w:t>
            </w:r>
          </w:p>
        </w:tc>
        <w:tc>
          <w:tcPr>
            <w:tcW w:w="0" w:type="auto"/>
            <w:vAlign w:val="center"/>
            <w:hideMark/>
          </w:tcPr>
          <w:p w14:paraId="405366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w:t>
            </w:r>
          </w:p>
        </w:tc>
      </w:tr>
      <w:tr w:rsidR="000444D1" w:rsidRPr="000444D1" w14:paraId="0999372E" w14:textId="77777777">
        <w:trPr>
          <w:tblCellSpacing w:w="15" w:type="dxa"/>
        </w:trPr>
        <w:tc>
          <w:tcPr>
            <w:tcW w:w="0" w:type="auto"/>
            <w:vAlign w:val="center"/>
            <w:hideMark/>
          </w:tcPr>
          <w:p w14:paraId="4D41E0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Acceso</w:t>
            </w:r>
          </w:p>
        </w:tc>
        <w:tc>
          <w:tcPr>
            <w:tcW w:w="0" w:type="auto"/>
            <w:vAlign w:val="center"/>
            <w:hideMark/>
          </w:tcPr>
          <w:p w14:paraId="7353276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datos tratados y del registro de quién accedió a ellos, incluidos los terceros</w:t>
            </w:r>
          </w:p>
        </w:tc>
        <w:tc>
          <w:tcPr>
            <w:tcW w:w="0" w:type="auto"/>
            <w:vAlign w:val="center"/>
            <w:hideMark/>
          </w:tcPr>
          <w:p w14:paraId="581A72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y D8</w:t>
            </w:r>
          </w:p>
        </w:tc>
      </w:tr>
      <w:tr w:rsidR="000444D1" w:rsidRPr="000444D1" w14:paraId="16E0B16C" w14:textId="77777777">
        <w:trPr>
          <w:tblCellSpacing w:w="15" w:type="dxa"/>
        </w:trPr>
        <w:tc>
          <w:tcPr>
            <w:tcW w:w="0" w:type="auto"/>
            <w:vAlign w:val="center"/>
            <w:hideMark/>
          </w:tcPr>
          <w:p w14:paraId="55E695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Rectificación y actualización</w:t>
            </w:r>
          </w:p>
        </w:tc>
        <w:tc>
          <w:tcPr>
            <w:tcW w:w="0" w:type="auto"/>
            <w:vAlign w:val="center"/>
            <w:hideMark/>
          </w:tcPr>
          <w:p w14:paraId="09FCC6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Solicitud sobre el system of record correspondiente; se propaga por evento </w:t>
            </w:r>
            <w:r w:rsidRPr="000444D1">
              <w:rPr>
                <w:rFonts w:ascii="Courier New" w:eastAsia="Times New Roman" w:hAnsi="Courier New" w:cs="Courier New"/>
                <w:kern w:val="0"/>
                <w:sz w:val="20"/>
                <w:szCs w:val="20"/>
                <w14:ligatures w14:val="none"/>
              </w:rPr>
              <w:t>cliente.datos-actualizados</w:t>
            </w:r>
          </w:p>
        </w:tc>
        <w:tc>
          <w:tcPr>
            <w:tcW w:w="0" w:type="auto"/>
            <w:vAlign w:val="center"/>
            <w:hideMark/>
          </w:tcPr>
          <w:p w14:paraId="41528C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 y core propietario</w:t>
            </w:r>
          </w:p>
        </w:tc>
      </w:tr>
      <w:tr w:rsidR="000444D1" w:rsidRPr="000444D1" w14:paraId="560CA71D" w14:textId="77777777">
        <w:trPr>
          <w:tblCellSpacing w:w="15" w:type="dxa"/>
        </w:trPr>
        <w:tc>
          <w:tcPr>
            <w:tcW w:w="0" w:type="auto"/>
            <w:vAlign w:val="center"/>
            <w:hideMark/>
          </w:tcPr>
          <w:p w14:paraId="45032E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Eliminación</w:t>
            </w:r>
          </w:p>
        </w:tc>
        <w:tc>
          <w:tcPr>
            <w:tcW w:w="0" w:type="auto"/>
            <w:vAlign w:val="center"/>
            <w:hideMark/>
          </w:tcPr>
          <w:p w14:paraId="261F0C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Supresión sujeta a los plazos de retención regulatoria: los datos con obligación legal de conservación no se eliminan, se bloquean</w:t>
            </w:r>
          </w:p>
        </w:tc>
        <w:tc>
          <w:tcPr>
            <w:tcW w:w="0" w:type="auto"/>
            <w:vAlign w:val="center"/>
            <w:hideMark/>
          </w:tcPr>
          <w:p w14:paraId="10382C6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 D8</w:t>
            </w:r>
          </w:p>
        </w:tc>
      </w:tr>
      <w:tr w:rsidR="000444D1" w:rsidRPr="000444D1" w14:paraId="1A011F7E" w14:textId="77777777">
        <w:trPr>
          <w:tblCellSpacing w:w="15" w:type="dxa"/>
        </w:trPr>
        <w:tc>
          <w:tcPr>
            <w:tcW w:w="0" w:type="auto"/>
            <w:vAlign w:val="center"/>
            <w:hideMark/>
          </w:tcPr>
          <w:p w14:paraId="3E73DD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Oposición</w:t>
            </w:r>
          </w:p>
        </w:tc>
        <w:tc>
          <w:tcPr>
            <w:tcW w:w="0" w:type="auto"/>
            <w:vAlign w:val="center"/>
            <w:hideMark/>
          </w:tcPr>
          <w:p w14:paraId="7E0EDC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Cese del tratamiento basado en interés legítimo, cuando procede</w:t>
            </w:r>
          </w:p>
        </w:tc>
        <w:tc>
          <w:tcPr>
            <w:tcW w:w="0" w:type="auto"/>
            <w:vAlign w:val="center"/>
            <w:hideMark/>
          </w:tcPr>
          <w:p w14:paraId="1B3D4E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D6, canalización analítica</w:t>
            </w:r>
          </w:p>
        </w:tc>
      </w:tr>
      <w:tr w:rsidR="000444D1" w:rsidRPr="000444D1" w14:paraId="421056E6" w14:textId="77777777">
        <w:trPr>
          <w:tblCellSpacing w:w="15" w:type="dxa"/>
        </w:trPr>
        <w:tc>
          <w:tcPr>
            <w:tcW w:w="0" w:type="auto"/>
            <w:vAlign w:val="center"/>
            <w:hideMark/>
          </w:tcPr>
          <w:p w14:paraId="3821DE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Portabilidad</w:t>
            </w:r>
          </w:p>
        </w:tc>
        <w:tc>
          <w:tcPr>
            <w:tcW w:w="0" w:type="auto"/>
            <w:vAlign w:val="center"/>
            <w:hideMark/>
          </w:tcPr>
          <w:p w14:paraId="0671B56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Entrega en formato estructurado e interoperable</w:t>
            </w:r>
          </w:p>
        </w:tc>
        <w:tc>
          <w:tcPr>
            <w:tcW w:w="0" w:type="auto"/>
            <w:vAlign w:val="center"/>
            <w:hideMark/>
          </w:tcPr>
          <w:p w14:paraId="534967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reutilizando los esquemas de la API Open Finance</w:t>
            </w:r>
          </w:p>
        </w:tc>
      </w:tr>
      <w:tr w:rsidR="000444D1" w:rsidRPr="000444D1" w14:paraId="5EE5C8CF" w14:textId="77777777">
        <w:trPr>
          <w:tblCellSpacing w:w="15" w:type="dxa"/>
        </w:trPr>
        <w:tc>
          <w:tcPr>
            <w:tcW w:w="0" w:type="auto"/>
            <w:vAlign w:val="center"/>
            <w:hideMark/>
          </w:tcPr>
          <w:p w14:paraId="07E27AC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Suspensión del tratamiento</w:t>
            </w:r>
          </w:p>
        </w:tc>
        <w:tc>
          <w:tcPr>
            <w:tcW w:w="0" w:type="auto"/>
            <w:vAlign w:val="center"/>
            <w:hideMark/>
          </w:tcPr>
          <w:p w14:paraId="168D6A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Marca de suspensión propagada por evento a los consumidores</w:t>
            </w:r>
          </w:p>
        </w:tc>
        <w:tc>
          <w:tcPr>
            <w:tcW w:w="0" w:type="auto"/>
            <w:vAlign w:val="center"/>
            <w:hideMark/>
          </w:tcPr>
          <w:p w14:paraId="4A4BF4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w:t>
            </w:r>
          </w:p>
        </w:tc>
      </w:tr>
      <w:tr w:rsidR="000444D1" w:rsidRPr="000444D1" w14:paraId="276F59D7" w14:textId="77777777">
        <w:trPr>
          <w:tblCellSpacing w:w="15" w:type="dxa"/>
        </w:trPr>
        <w:tc>
          <w:tcPr>
            <w:tcW w:w="0" w:type="auto"/>
            <w:vAlign w:val="center"/>
            <w:hideMark/>
          </w:tcPr>
          <w:p w14:paraId="3055A8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 ser objeto de decisiones automatizadas</w:t>
            </w:r>
          </w:p>
        </w:tc>
        <w:tc>
          <w:tcPr>
            <w:tcW w:w="0" w:type="auto"/>
            <w:vAlign w:val="center"/>
            <w:hideMark/>
          </w:tcPr>
          <w:p w14:paraId="613502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 13.5</w:t>
            </w:r>
          </w:p>
        </w:tc>
        <w:tc>
          <w:tcPr>
            <w:tcW w:w="0" w:type="auto"/>
            <w:vAlign w:val="center"/>
            <w:hideMark/>
          </w:tcPr>
          <w:p w14:paraId="49A3AE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w:t>
            </w:r>
          </w:p>
        </w:tc>
      </w:tr>
    </w:tbl>
    <w:p w14:paraId="75D6508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La tensión entre eliminación y retención regulatoria es real y hay que declararla.</w:t>
      </w:r>
      <w:r w:rsidRPr="000444D1">
        <w:rPr>
          <w:rFonts w:ascii="Times New Roman" w:eastAsia="Times New Roman" w:hAnsi="Times New Roman" w:cs="Times New Roman"/>
          <w:kern w:val="0"/>
          <w14:ligatures w14:val="none"/>
        </w:rPr>
        <w:t xml:space="preserve"> El titular puede solicitar la eliminación de sus datos, y el banco tiene obligación de conservar registros de operaciones durante años. La resolución no es elegir una obligación sobre la otra, sino distinguir </w:t>
      </w:r>
      <w:r w:rsidRPr="000444D1">
        <w:rPr>
          <w:rFonts w:ascii="Times New Roman" w:eastAsia="Times New Roman" w:hAnsi="Times New Roman" w:cs="Times New Roman"/>
          <w:b/>
          <w:bCs/>
          <w:kern w:val="0"/>
          <w14:ligatures w14:val="none"/>
        </w:rPr>
        <w:t>eliminación</w:t>
      </w:r>
      <w:r w:rsidRPr="000444D1">
        <w:rPr>
          <w:rFonts w:ascii="Times New Roman" w:eastAsia="Times New Roman" w:hAnsi="Times New Roman" w:cs="Times New Roman"/>
          <w:kern w:val="0"/>
          <w14:ligatures w14:val="none"/>
        </w:rPr>
        <w:t xml:space="preserve"> de </w:t>
      </w:r>
      <w:r w:rsidRPr="000444D1">
        <w:rPr>
          <w:rFonts w:ascii="Times New Roman" w:eastAsia="Times New Roman" w:hAnsi="Times New Roman" w:cs="Times New Roman"/>
          <w:b/>
          <w:bCs/>
          <w:kern w:val="0"/>
          <w14:ligatures w14:val="none"/>
        </w:rPr>
        <w:t>bloqueo</w:t>
      </w:r>
      <w:r w:rsidRPr="000444D1">
        <w:rPr>
          <w:rFonts w:ascii="Times New Roman" w:eastAsia="Times New Roman" w:hAnsi="Times New Roman" w:cs="Times New Roman"/>
          <w:kern w:val="0"/>
          <w14:ligatures w14:val="none"/>
        </w:rPr>
        <w:t>: los datos sujetos a conservación legal dejan de ser accesibles para cualquier finalidad operativa y quedan reservados exclusivamente a requerimiento de autoridad. En el diseño, esto se implementa como un estado del dato en D1 que los consumidores respetan, no como un borrado físico en D8, cuyo almacén es de escritura única por diseño.</w:t>
      </w:r>
    </w:p>
    <w:p w14:paraId="39DCAA4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lastRenderedPageBreak/>
        <w:t>13.5 Decisiones automatizadas: el motor de fraude</w:t>
      </w:r>
    </w:p>
    <w:p w14:paraId="617C5DA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LOPDP reconoce al titular el derecho a no ser objeto de decisiones basadas únicamente en tratamientos automatizados que produzcan efectos jurídicos o le afecten significativamente. </w:t>
      </w:r>
      <w:r w:rsidRPr="000444D1">
        <w:rPr>
          <w:rFonts w:ascii="Times New Roman" w:eastAsia="Times New Roman" w:hAnsi="Times New Roman" w:cs="Times New Roman"/>
          <w:b/>
          <w:bCs/>
          <w:kern w:val="0"/>
          <w14:ligatures w14:val="none"/>
        </w:rPr>
        <w:t>El motor de fraude del ADR-005 es exactamente eso</w:t>
      </w:r>
      <w:r w:rsidRPr="000444D1">
        <w:rPr>
          <w:rFonts w:ascii="Times New Roman" w:eastAsia="Times New Roman" w:hAnsi="Times New Roman" w:cs="Times New Roman"/>
          <w:kern w:val="0"/>
          <w14:ligatures w14:val="none"/>
        </w:rPr>
        <w:t>: rechaza operaciones de forma automática, sin intervención humana, y el rechazo afecta significativamente al titular.</w:t>
      </w:r>
    </w:p>
    <w:p w14:paraId="7B21819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Este punto suele pasarse por alto en diseños de este tipo, y sin embargo es una de las intersecciones más claras entre arquitectura y normativa en el escenario planteado. El diseño lo aborda con tres elementos: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7445"/>
      </w:tblGrid>
      <w:tr w:rsidR="000444D1" w:rsidRPr="000444D1" w14:paraId="7A88FEEF" w14:textId="77777777">
        <w:trPr>
          <w:tblHeader/>
          <w:tblCellSpacing w:w="15" w:type="dxa"/>
        </w:trPr>
        <w:tc>
          <w:tcPr>
            <w:tcW w:w="0" w:type="auto"/>
            <w:vAlign w:val="center"/>
            <w:hideMark/>
          </w:tcPr>
          <w:p w14:paraId="4F7496D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Elemento</w:t>
            </w:r>
          </w:p>
        </w:tc>
        <w:tc>
          <w:tcPr>
            <w:tcW w:w="0" w:type="auto"/>
            <w:vAlign w:val="center"/>
            <w:hideMark/>
          </w:tcPr>
          <w:p w14:paraId="46CB264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Implementación</w:t>
            </w:r>
          </w:p>
        </w:tc>
      </w:tr>
      <w:tr w:rsidR="000444D1" w:rsidRPr="000444D1" w14:paraId="78CFDAED" w14:textId="77777777">
        <w:trPr>
          <w:tblCellSpacing w:w="15" w:type="dxa"/>
        </w:trPr>
        <w:tc>
          <w:tcPr>
            <w:tcW w:w="0" w:type="auto"/>
            <w:vAlign w:val="center"/>
            <w:hideMark/>
          </w:tcPr>
          <w:p w14:paraId="74A902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Trazabilidad de la decisión</w:t>
            </w:r>
          </w:p>
        </w:tc>
        <w:tc>
          <w:tcPr>
            <w:tcW w:w="0" w:type="auto"/>
            <w:vAlign w:val="center"/>
            <w:hideMark/>
          </w:tcPr>
          <w:p w14:paraId="12C05D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rechazo automático se registra en D8 con el veredicto, el puntaje y la versión del modelo aplicada. Sin esto, la decisión es inexplicable e indefendible</w:t>
            </w:r>
          </w:p>
        </w:tc>
      </w:tr>
      <w:tr w:rsidR="000444D1" w:rsidRPr="000444D1" w14:paraId="52A56441" w14:textId="77777777">
        <w:trPr>
          <w:tblCellSpacing w:w="15" w:type="dxa"/>
        </w:trPr>
        <w:tc>
          <w:tcPr>
            <w:tcW w:w="0" w:type="auto"/>
            <w:vAlign w:val="center"/>
            <w:hideMark/>
          </w:tcPr>
          <w:p w14:paraId="590EB7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Vía de revisión humana</w:t>
            </w:r>
          </w:p>
        </w:tc>
        <w:tc>
          <w:tcPr>
            <w:tcW w:w="0" w:type="auto"/>
            <w:vAlign w:val="center"/>
            <w:hideMark/>
          </w:tcPr>
          <w:p w14:paraId="24AB17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rechazo por fraude genera un caso revisable por un analista, y el titular puede solicitar esa revisión. La decisión automática es reversible, no definitiva</w:t>
            </w:r>
          </w:p>
        </w:tc>
      </w:tr>
      <w:tr w:rsidR="000444D1" w:rsidRPr="000444D1" w14:paraId="72C83D82" w14:textId="77777777">
        <w:trPr>
          <w:tblCellSpacing w:w="15" w:type="dxa"/>
        </w:trPr>
        <w:tc>
          <w:tcPr>
            <w:tcW w:w="0" w:type="auto"/>
            <w:vAlign w:val="center"/>
            <w:hideMark/>
          </w:tcPr>
          <w:p w14:paraId="2E03E6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Información al titular</w:t>
            </w:r>
          </w:p>
        </w:tc>
        <w:tc>
          <w:tcPr>
            <w:tcW w:w="0" w:type="auto"/>
            <w:vAlign w:val="center"/>
            <w:hideMark/>
          </w:tcPr>
          <w:p w14:paraId="66C01A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mensaje de rechazo indica que la operación fue detenida por un control de seguridad y cómo solicitar revisión, sin revelar las reglas del modelo — cuya divulgación facilitaría eludirlo</w:t>
            </w:r>
          </w:p>
        </w:tc>
      </w:tr>
    </w:tbl>
    <w:p w14:paraId="06ECA8B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campo </w:t>
      </w:r>
      <w:r w:rsidRPr="000444D1">
        <w:rPr>
          <w:rFonts w:ascii="Courier New" w:eastAsia="Times New Roman" w:hAnsi="Courier New" w:cs="Courier New"/>
          <w:kern w:val="0"/>
          <w:sz w:val="20"/>
          <w:szCs w:val="20"/>
          <w14:ligatures w14:val="none"/>
        </w:rPr>
        <w:t>veredictoFraude</w:t>
      </w:r>
      <w:r w:rsidRPr="000444D1">
        <w:rPr>
          <w:rFonts w:ascii="Times New Roman" w:eastAsia="Times New Roman" w:hAnsi="Times New Roman" w:cs="Times New Roman"/>
          <w:kern w:val="0"/>
          <w14:ligatures w14:val="none"/>
        </w:rPr>
        <w:t xml:space="preserve"> del evento </w:t>
      </w:r>
      <w:r w:rsidRPr="000444D1">
        <w:rPr>
          <w:rFonts w:ascii="Courier New" w:eastAsia="Times New Roman" w:hAnsi="Courier New" w:cs="Courier New"/>
          <w:kern w:val="0"/>
          <w:sz w:val="20"/>
          <w:szCs w:val="20"/>
          <w14:ligatures w14:val="none"/>
        </w:rPr>
        <w:t>pago.ejecutado</w:t>
      </w:r>
      <w:r w:rsidRPr="000444D1">
        <w:rPr>
          <w:rFonts w:ascii="Times New Roman" w:eastAsia="Times New Roman" w:hAnsi="Times New Roman" w:cs="Times New Roman"/>
          <w:kern w:val="0"/>
          <w14:ligatures w14:val="none"/>
        </w:rPr>
        <w:t xml:space="preserve">, que distingue </w:t>
      </w:r>
      <w:r w:rsidRPr="000444D1">
        <w:rPr>
          <w:rFonts w:ascii="Courier New" w:eastAsia="Times New Roman" w:hAnsi="Courier New" w:cs="Courier New"/>
          <w:kern w:val="0"/>
          <w:sz w:val="20"/>
          <w:szCs w:val="20"/>
          <w14:ligatures w14:val="none"/>
        </w:rPr>
        <w:t>aprobado</w:t>
      </w:r>
      <w:r w:rsidRPr="000444D1">
        <w:rPr>
          <w:rFonts w:ascii="Times New Roman" w:eastAsia="Times New Roman" w:hAnsi="Times New Roman" w:cs="Times New Roman"/>
          <w:kern w:val="0"/>
          <w14:ligatures w14:val="none"/>
        </w:rPr>
        <w:t xml:space="preserve"> de </w:t>
      </w:r>
      <w:r w:rsidRPr="000444D1">
        <w:rPr>
          <w:rFonts w:ascii="Courier New" w:eastAsia="Times New Roman" w:hAnsi="Courier New" w:cs="Courier New"/>
          <w:kern w:val="0"/>
          <w:sz w:val="20"/>
          <w:szCs w:val="20"/>
          <w14:ligatures w14:val="none"/>
        </w:rPr>
        <w:t>aprobado_por_degradacion</w:t>
      </w:r>
      <w:r w:rsidRPr="000444D1">
        <w:rPr>
          <w:rFonts w:ascii="Times New Roman" w:eastAsia="Times New Roman" w:hAnsi="Times New Roman" w:cs="Times New Roman"/>
          <w:kern w:val="0"/>
          <w14:ligatures w14:val="none"/>
        </w:rPr>
        <w:t xml:space="preserve"> (sección 12.7), cumple aquí una segunda función además de la operativa: permite identificar qué operaciones se autorizaron sin evaluación efectiva durante una indisponibilidad del motor, lo que es información relevante tanto para riesgos como para una eventual auditoría de cumplimiento.</w:t>
      </w:r>
    </w:p>
    <w:p w14:paraId="4010BA4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13.6 Tabla de controles de seguridad</w:t>
      </w:r>
    </w:p>
    <w:p w14:paraId="5CC6710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Cada control indica la amenaza que mitiga y </w:t>
      </w:r>
      <w:r w:rsidRPr="000444D1">
        <w:rPr>
          <w:rFonts w:ascii="Times New Roman" w:eastAsia="Times New Roman" w:hAnsi="Times New Roman" w:cs="Times New Roman"/>
          <w:b/>
          <w:bCs/>
          <w:kern w:val="0"/>
          <w14:ligatures w14:val="none"/>
        </w:rPr>
        <w:t>el componente en el que reside</w:t>
      </w:r>
      <w:r w:rsidRPr="000444D1">
        <w:rPr>
          <w:rFonts w:ascii="Times New Roman" w:eastAsia="Times New Roman" w:hAnsi="Times New Roman" w:cs="Times New Roman"/>
          <w:kern w:val="0"/>
          <w14:ligatures w14:val="none"/>
        </w:rPr>
        <w:t>. La columna de ubicación es lo que convierte esta tabla en un elemento de arquitectura y no en una lista genérica.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
        <w:gridCol w:w="3540"/>
        <w:gridCol w:w="2751"/>
        <w:gridCol w:w="2685"/>
      </w:tblGrid>
      <w:tr w:rsidR="000444D1" w:rsidRPr="000444D1" w14:paraId="7D951D0B" w14:textId="77777777">
        <w:trPr>
          <w:tblHeader/>
          <w:tblCellSpacing w:w="15" w:type="dxa"/>
        </w:trPr>
        <w:tc>
          <w:tcPr>
            <w:tcW w:w="0" w:type="auto"/>
            <w:vAlign w:val="center"/>
            <w:hideMark/>
          </w:tcPr>
          <w:p w14:paraId="43EA3D4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0C3EC28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Control</w:t>
            </w:r>
          </w:p>
        </w:tc>
        <w:tc>
          <w:tcPr>
            <w:tcW w:w="0" w:type="auto"/>
            <w:vAlign w:val="center"/>
            <w:hideMark/>
          </w:tcPr>
          <w:p w14:paraId="5EB9DC8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Amenaza mitigada</w:t>
            </w:r>
          </w:p>
        </w:tc>
        <w:tc>
          <w:tcPr>
            <w:tcW w:w="0" w:type="auto"/>
            <w:vAlign w:val="center"/>
            <w:hideMark/>
          </w:tcPr>
          <w:p w14:paraId="1B4D3FC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Ubicación en la arquitectura</w:t>
            </w:r>
          </w:p>
        </w:tc>
      </w:tr>
      <w:tr w:rsidR="000444D1" w:rsidRPr="000444D1" w14:paraId="48B07048" w14:textId="77777777">
        <w:trPr>
          <w:tblCellSpacing w:w="15" w:type="dxa"/>
        </w:trPr>
        <w:tc>
          <w:tcPr>
            <w:tcW w:w="0" w:type="auto"/>
            <w:vAlign w:val="center"/>
            <w:hideMark/>
          </w:tcPr>
          <w:p w14:paraId="5C8828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C-01</w:t>
            </w:r>
          </w:p>
        </w:tc>
        <w:tc>
          <w:tcPr>
            <w:tcW w:w="0" w:type="auto"/>
            <w:vAlign w:val="center"/>
            <w:hideMark/>
          </w:tcPr>
          <w:p w14:paraId="6E7675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Autenticación mutua TLS y token vinculado al certificado</w:t>
            </w:r>
          </w:p>
        </w:tc>
        <w:tc>
          <w:tcPr>
            <w:tcW w:w="0" w:type="auto"/>
            <w:vAlign w:val="center"/>
            <w:hideMark/>
          </w:tcPr>
          <w:p w14:paraId="5185F74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Suplantación de un tercero autorizado</w:t>
            </w:r>
          </w:p>
        </w:tc>
        <w:tc>
          <w:tcPr>
            <w:tcW w:w="0" w:type="auto"/>
            <w:vAlign w:val="center"/>
            <w:hideMark/>
          </w:tcPr>
          <w:p w14:paraId="1B6D3C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w:t>
            </w:r>
          </w:p>
        </w:tc>
      </w:tr>
      <w:tr w:rsidR="000444D1" w:rsidRPr="000444D1" w14:paraId="3283C76A" w14:textId="77777777">
        <w:trPr>
          <w:tblCellSpacing w:w="15" w:type="dxa"/>
        </w:trPr>
        <w:tc>
          <w:tcPr>
            <w:tcW w:w="0" w:type="auto"/>
            <w:vAlign w:val="center"/>
            <w:hideMark/>
          </w:tcPr>
          <w:p w14:paraId="33D047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C-02</w:t>
            </w:r>
          </w:p>
        </w:tc>
        <w:tc>
          <w:tcPr>
            <w:tcW w:w="0" w:type="auto"/>
            <w:vAlign w:val="center"/>
            <w:hideMark/>
          </w:tcPr>
          <w:p w14:paraId="5844C5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Perfil FAPI: alcances OAuth por operación, identificador de interacción</w:t>
            </w:r>
          </w:p>
        </w:tc>
        <w:tc>
          <w:tcPr>
            <w:tcW w:w="0" w:type="auto"/>
            <w:vAlign w:val="center"/>
            <w:hideMark/>
          </w:tcPr>
          <w:p w14:paraId="615B9D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Uso del token fuera del alcance consentido</w:t>
            </w:r>
          </w:p>
        </w:tc>
        <w:tc>
          <w:tcPr>
            <w:tcW w:w="0" w:type="auto"/>
            <w:vAlign w:val="center"/>
            <w:hideMark/>
          </w:tcPr>
          <w:p w14:paraId="12C534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 + IdP</w:t>
            </w:r>
          </w:p>
        </w:tc>
      </w:tr>
      <w:tr w:rsidR="000444D1" w:rsidRPr="000444D1" w14:paraId="773E5E6A" w14:textId="77777777">
        <w:trPr>
          <w:tblCellSpacing w:w="15" w:type="dxa"/>
        </w:trPr>
        <w:tc>
          <w:tcPr>
            <w:tcW w:w="0" w:type="auto"/>
            <w:vAlign w:val="center"/>
            <w:hideMark/>
          </w:tcPr>
          <w:p w14:paraId="048608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C-03</w:t>
            </w:r>
          </w:p>
        </w:tc>
        <w:tc>
          <w:tcPr>
            <w:tcW w:w="0" w:type="auto"/>
            <w:vAlign w:val="center"/>
            <w:hideMark/>
          </w:tcPr>
          <w:p w14:paraId="24F451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Validación de consentimiento vigente en cada petición</w:t>
            </w:r>
          </w:p>
        </w:tc>
        <w:tc>
          <w:tcPr>
            <w:tcW w:w="0" w:type="auto"/>
            <w:vAlign w:val="center"/>
            <w:hideMark/>
          </w:tcPr>
          <w:p w14:paraId="4BEA93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con consentimiento revocado y token aún válido</w:t>
            </w:r>
          </w:p>
        </w:tc>
        <w:tc>
          <w:tcPr>
            <w:tcW w:w="0" w:type="auto"/>
            <w:vAlign w:val="center"/>
            <w:hideMark/>
          </w:tcPr>
          <w:p w14:paraId="012B5A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 → D7</w:t>
            </w:r>
          </w:p>
        </w:tc>
      </w:tr>
      <w:tr w:rsidR="000444D1" w:rsidRPr="000444D1" w14:paraId="1F8D7B63" w14:textId="77777777">
        <w:trPr>
          <w:tblCellSpacing w:w="15" w:type="dxa"/>
        </w:trPr>
        <w:tc>
          <w:tcPr>
            <w:tcW w:w="0" w:type="auto"/>
            <w:vAlign w:val="center"/>
            <w:hideMark/>
          </w:tcPr>
          <w:p w14:paraId="2EB8FE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C-04</w:t>
            </w:r>
          </w:p>
        </w:tc>
        <w:tc>
          <w:tcPr>
            <w:tcW w:w="0" w:type="auto"/>
            <w:vAlign w:val="center"/>
            <w:hideMark/>
          </w:tcPr>
          <w:p w14:paraId="0A035D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Autorización por entitlement previa a toda operación sobre cuenta</w:t>
            </w:r>
          </w:p>
        </w:tc>
        <w:tc>
          <w:tcPr>
            <w:tcW w:w="0" w:type="auto"/>
            <w:vAlign w:val="center"/>
            <w:hideMark/>
          </w:tcPr>
          <w:p w14:paraId="3E1779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a cuentas ajenas dentro de una sesión legítima</w:t>
            </w:r>
          </w:p>
        </w:tc>
        <w:tc>
          <w:tcPr>
            <w:tcW w:w="0" w:type="auto"/>
            <w:vAlign w:val="center"/>
            <w:hideMark/>
          </w:tcPr>
          <w:p w14:paraId="258CA4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interno y externo → D9</w:t>
            </w:r>
          </w:p>
        </w:tc>
      </w:tr>
      <w:tr w:rsidR="000444D1" w:rsidRPr="000444D1" w14:paraId="04FEC302" w14:textId="77777777">
        <w:trPr>
          <w:tblCellSpacing w:w="15" w:type="dxa"/>
        </w:trPr>
        <w:tc>
          <w:tcPr>
            <w:tcW w:w="0" w:type="auto"/>
            <w:vAlign w:val="center"/>
            <w:hideMark/>
          </w:tcPr>
          <w:p w14:paraId="11C353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C-05</w:t>
            </w:r>
          </w:p>
        </w:tc>
        <w:tc>
          <w:tcPr>
            <w:tcW w:w="0" w:type="auto"/>
            <w:vAlign w:val="center"/>
            <w:hideMark/>
          </w:tcPr>
          <w:p w14:paraId="0D7529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Autenticación multifactor y verificación reforzada en operaciones sensibles</w:t>
            </w:r>
          </w:p>
        </w:tc>
        <w:tc>
          <w:tcPr>
            <w:tcW w:w="0" w:type="auto"/>
            <w:vAlign w:val="center"/>
            <w:hideMark/>
          </w:tcPr>
          <w:p w14:paraId="62C1AE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Toma de control de la cuenta</w:t>
            </w:r>
          </w:p>
        </w:tc>
        <w:tc>
          <w:tcPr>
            <w:tcW w:w="0" w:type="auto"/>
            <w:vAlign w:val="center"/>
            <w:hideMark/>
          </w:tcPr>
          <w:p w14:paraId="3B5348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IdP, invocado desde los BFF</w:t>
            </w:r>
          </w:p>
        </w:tc>
      </w:tr>
      <w:tr w:rsidR="000444D1" w:rsidRPr="000444D1" w14:paraId="72CD51D9" w14:textId="77777777">
        <w:trPr>
          <w:tblCellSpacing w:w="15" w:type="dxa"/>
        </w:trPr>
        <w:tc>
          <w:tcPr>
            <w:tcW w:w="0" w:type="auto"/>
            <w:vAlign w:val="center"/>
            <w:hideMark/>
          </w:tcPr>
          <w:p w14:paraId="3C8BD96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C-06</w:t>
            </w:r>
          </w:p>
        </w:tc>
        <w:tc>
          <w:tcPr>
            <w:tcW w:w="0" w:type="auto"/>
            <w:vAlign w:val="center"/>
            <w:hideMark/>
          </w:tcPr>
          <w:p w14:paraId="5C1F13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Identidad de carga de trabajo con certificados de corta duración</w:t>
            </w:r>
          </w:p>
        </w:tc>
        <w:tc>
          <w:tcPr>
            <w:tcW w:w="0" w:type="auto"/>
            <w:vAlign w:val="center"/>
            <w:hideMark/>
          </w:tcPr>
          <w:p w14:paraId="2F47E7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Movimiento lateral entre servicios comprometidos</w:t>
            </w:r>
          </w:p>
        </w:tc>
        <w:tc>
          <w:tcPr>
            <w:tcW w:w="0" w:type="auto"/>
            <w:vAlign w:val="center"/>
            <w:hideMark/>
          </w:tcPr>
          <w:p w14:paraId="748A25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Malla de servicios / IdP de cargas</w:t>
            </w:r>
          </w:p>
        </w:tc>
      </w:tr>
      <w:tr w:rsidR="000444D1" w:rsidRPr="000444D1" w14:paraId="139BC30F" w14:textId="77777777">
        <w:trPr>
          <w:tblCellSpacing w:w="15" w:type="dxa"/>
        </w:trPr>
        <w:tc>
          <w:tcPr>
            <w:tcW w:w="0" w:type="auto"/>
            <w:vAlign w:val="center"/>
            <w:hideMark/>
          </w:tcPr>
          <w:p w14:paraId="49C9F4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C-07</w:t>
            </w:r>
          </w:p>
        </w:tc>
        <w:tc>
          <w:tcPr>
            <w:tcW w:w="0" w:type="auto"/>
            <w:vAlign w:val="center"/>
            <w:hideMark/>
          </w:tcPr>
          <w:p w14:paraId="63B310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Cifrado en tránsito TLS 1.3 en todo enlace, incluido el interno</w:t>
            </w:r>
          </w:p>
        </w:tc>
        <w:tc>
          <w:tcPr>
            <w:tcW w:w="0" w:type="auto"/>
            <w:vAlign w:val="center"/>
            <w:hideMark/>
          </w:tcPr>
          <w:p w14:paraId="679B57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Interceptación en la red interna</w:t>
            </w:r>
          </w:p>
        </w:tc>
        <w:tc>
          <w:tcPr>
            <w:tcW w:w="0" w:type="auto"/>
            <w:vAlign w:val="center"/>
            <w:hideMark/>
          </w:tcPr>
          <w:p w14:paraId="4D716E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Todos los enlaces del diagrama 7</w:t>
            </w:r>
          </w:p>
        </w:tc>
      </w:tr>
      <w:tr w:rsidR="000444D1" w:rsidRPr="000444D1" w14:paraId="1F685015" w14:textId="77777777">
        <w:trPr>
          <w:tblCellSpacing w:w="15" w:type="dxa"/>
        </w:trPr>
        <w:tc>
          <w:tcPr>
            <w:tcW w:w="0" w:type="auto"/>
            <w:vAlign w:val="center"/>
            <w:hideMark/>
          </w:tcPr>
          <w:p w14:paraId="5996D7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C-08</w:t>
            </w:r>
          </w:p>
        </w:tc>
        <w:tc>
          <w:tcPr>
            <w:tcW w:w="0" w:type="auto"/>
            <w:vAlign w:val="center"/>
            <w:hideMark/>
          </w:tcPr>
          <w:p w14:paraId="0ADE42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Cifrado en reposo con claves gestionadas en módulo de seguridad</w:t>
            </w:r>
          </w:p>
        </w:tc>
        <w:tc>
          <w:tcPr>
            <w:tcW w:w="0" w:type="auto"/>
            <w:vAlign w:val="center"/>
            <w:hideMark/>
          </w:tcPr>
          <w:p w14:paraId="0BBC2C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Exfiltración desde el almacenamiento</w:t>
            </w:r>
          </w:p>
        </w:tc>
        <w:tc>
          <w:tcPr>
            <w:tcW w:w="0" w:type="auto"/>
            <w:vAlign w:val="center"/>
            <w:hideMark/>
          </w:tcPr>
          <w:p w14:paraId="4D10FA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Almacenes de D2, D4, D7, D8, D9 y bus de eventos</w:t>
            </w:r>
          </w:p>
        </w:tc>
      </w:tr>
      <w:tr w:rsidR="000444D1" w:rsidRPr="000444D1" w14:paraId="0CD406C5" w14:textId="77777777">
        <w:trPr>
          <w:tblCellSpacing w:w="15" w:type="dxa"/>
        </w:trPr>
        <w:tc>
          <w:tcPr>
            <w:tcW w:w="0" w:type="auto"/>
            <w:vAlign w:val="center"/>
            <w:hideMark/>
          </w:tcPr>
          <w:p w14:paraId="7FD508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C-09</w:t>
            </w:r>
          </w:p>
        </w:tc>
        <w:tc>
          <w:tcPr>
            <w:tcW w:w="0" w:type="auto"/>
            <w:vAlign w:val="center"/>
            <w:hideMark/>
          </w:tcPr>
          <w:p w14:paraId="2AA86C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Tokenización de números de tarjeta</w:t>
            </w:r>
          </w:p>
        </w:tc>
        <w:tc>
          <w:tcPr>
            <w:tcW w:w="0" w:type="auto"/>
            <w:vAlign w:val="center"/>
            <w:hideMark/>
          </w:tcPr>
          <w:p w14:paraId="1A632A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Exposición de datos de tarjeta; reducción del alcance PCI</w:t>
            </w:r>
          </w:p>
        </w:tc>
        <w:tc>
          <w:tcPr>
            <w:tcW w:w="0" w:type="auto"/>
            <w:vAlign w:val="center"/>
            <w:hideMark/>
          </w:tcPr>
          <w:p w14:paraId="696CC5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Adaptador de redes de pago</w:t>
            </w:r>
          </w:p>
        </w:tc>
      </w:tr>
      <w:tr w:rsidR="000444D1" w:rsidRPr="000444D1" w14:paraId="4B455514" w14:textId="77777777">
        <w:trPr>
          <w:tblCellSpacing w:w="15" w:type="dxa"/>
        </w:trPr>
        <w:tc>
          <w:tcPr>
            <w:tcW w:w="0" w:type="auto"/>
            <w:vAlign w:val="center"/>
            <w:hideMark/>
          </w:tcPr>
          <w:p w14:paraId="3D145D6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C-10</w:t>
            </w:r>
          </w:p>
        </w:tc>
        <w:tc>
          <w:tcPr>
            <w:tcW w:w="0" w:type="auto"/>
            <w:vAlign w:val="center"/>
            <w:hideMark/>
          </w:tcPr>
          <w:p w14:paraId="514F13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Enmascaramiento de datos personales en registros y trazas</w:t>
            </w:r>
          </w:p>
        </w:tc>
        <w:tc>
          <w:tcPr>
            <w:tcW w:w="0" w:type="auto"/>
            <w:vAlign w:val="center"/>
            <w:hideMark/>
          </w:tcPr>
          <w:p w14:paraId="61A637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Fuga por telemetría y por acceso de personal técnico</w:t>
            </w:r>
          </w:p>
        </w:tc>
        <w:tc>
          <w:tcPr>
            <w:tcW w:w="0" w:type="auto"/>
            <w:vAlign w:val="center"/>
            <w:hideMark/>
          </w:tcPr>
          <w:p w14:paraId="40B06C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Biblioteca compartida de observabilidad (sección 18)</w:t>
            </w:r>
          </w:p>
        </w:tc>
      </w:tr>
      <w:tr w:rsidR="000444D1" w:rsidRPr="000444D1" w14:paraId="353D0397" w14:textId="77777777">
        <w:trPr>
          <w:tblCellSpacing w:w="15" w:type="dxa"/>
        </w:trPr>
        <w:tc>
          <w:tcPr>
            <w:tcW w:w="0" w:type="auto"/>
            <w:vAlign w:val="center"/>
            <w:hideMark/>
          </w:tcPr>
          <w:p w14:paraId="3DDDB74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C-11</w:t>
            </w:r>
          </w:p>
        </w:tc>
        <w:tc>
          <w:tcPr>
            <w:tcW w:w="0" w:type="auto"/>
            <w:vAlign w:val="center"/>
            <w:hideMark/>
          </w:tcPr>
          <w:p w14:paraId="7DCC34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Validación de esquema de todo evento antes de su publicación</w:t>
            </w:r>
          </w:p>
        </w:tc>
        <w:tc>
          <w:tcPr>
            <w:tcW w:w="0" w:type="auto"/>
            <w:vAlign w:val="center"/>
            <w:hideMark/>
          </w:tcPr>
          <w:p w14:paraId="1E02E3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Inyección de payload malformado en el bus</w:t>
            </w:r>
          </w:p>
        </w:tc>
        <w:tc>
          <w:tcPr>
            <w:tcW w:w="0" w:type="auto"/>
            <w:vAlign w:val="center"/>
            <w:hideMark/>
          </w:tcPr>
          <w:p w14:paraId="6FD40E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Publicador outbox de cada servicio</w:t>
            </w:r>
          </w:p>
        </w:tc>
      </w:tr>
      <w:tr w:rsidR="000444D1" w:rsidRPr="000444D1" w14:paraId="4A776E29" w14:textId="77777777">
        <w:trPr>
          <w:tblCellSpacing w:w="15" w:type="dxa"/>
        </w:trPr>
        <w:tc>
          <w:tcPr>
            <w:tcW w:w="0" w:type="auto"/>
            <w:vAlign w:val="center"/>
            <w:hideMark/>
          </w:tcPr>
          <w:p w14:paraId="00BF8F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C-12</w:t>
            </w:r>
          </w:p>
        </w:tc>
        <w:tc>
          <w:tcPr>
            <w:tcW w:w="0" w:type="auto"/>
            <w:vAlign w:val="center"/>
            <w:hideMark/>
          </w:tcPr>
          <w:p w14:paraId="4FEEEF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Clave de idempotencia obligatoria en operaciones de escritura</w:t>
            </w:r>
          </w:p>
        </w:tc>
        <w:tc>
          <w:tcPr>
            <w:tcW w:w="0" w:type="auto"/>
            <w:vAlign w:val="center"/>
            <w:hideMark/>
          </w:tcPr>
          <w:p w14:paraId="1C5BF2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Reejecución maliciosa o accidental de una operación</w:t>
            </w:r>
          </w:p>
        </w:tc>
        <w:tc>
          <w:tcPr>
            <w:tcW w:w="0" w:type="auto"/>
            <w:vAlign w:val="center"/>
            <w:hideMark/>
          </w:tcPr>
          <w:p w14:paraId="0E82C9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Middleware de idempotencia de D4</w:t>
            </w:r>
          </w:p>
        </w:tc>
      </w:tr>
      <w:tr w:rsidR="000444D1" w:rsidRPr="000444D1" w14:paraId="4FF7E9D4" w14:textId="77777777">
        <w:trPr>
          <w:tblCellSpacing w:w="15" w:type="dxa"/>
        </w:trPr>
        <w:tc>
          <w:tcPr>
            <w:tcW w:w="0" w:type="auto"/>
            <w:vAlign w:val="center"/>
            <w:hideMark/>
          </w:tcPr>
          <w:p w14:paraId="62CA00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C-13</w:t>
            </w:r>
          </w:p>
        </w:tc>
        <w:tc>
          <w:tcPr>
            <w:tcW w:w="0" w:type="auto"/>
            <w:vAlign w:val="center"/>
            <w:hideMark/>
          </w:tcPr>
          <w:p w14:paraId="7A904D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Límite de tasa y cuota diferenciada por tercero</w:t>
            </w:r>
          </w:p>
        </w:tc>
        <w:tc>
          <w:tcPr>
            <w:tcW w:w="0" w:type="auto"/>
            <w:vAlign w:val="center"/>
            <w:hideMark/>
          </w:tcPr>
          <w:p w14:paraId="0CE782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Abuso, extracción masiva, denegación de servicio</w:t>
            </w:r>
          </w:p>
        </w:tc>
        <w:tc>
          <w:tcPr>
            <w:tcW w:w="0" w:type="auto"/>
            <w:vAlign w:val="center"/>
            <w:hideMark/>
          </w:tcPr>
          <w:p w14:paraId="2890A4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w:t>
            </w:r>
          </w:p>
        </w:tc>
      </w:tr>
      <w:tr w:rsidR="000444D1" w:rsidRPr="000444D1" w14:paraId="6D4A99A4" w14:textId="77777777">
        <w:trPr>
          <w:tblCellSpacing w:w="15" w:type="dxa"/>
        </w:trPr>
        <w:tc>
          <w:tcPr>
            <w:tcW w:w="0" w:type="auto"/>
            <w:vAlign w:val="center"/>
            <w:hideMark/>
          </w:tcPr>
          <w:p w14:paraId="74D257C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C-14</w:t>
            </w:r>
          </w:p>
        </w:tc>
        <w:tc>
          <w:tcPr>
            <w:tcW w:w="0" w:type="auto"/>
            <w:vAlign w:val="center"/>
            <w:hideMark/>
          </w:tcPr>
          <w:p w14:paraId="447E97D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Cortafuegos de aplicación web ante ambos gateways</w:t>
            </w:r>
          </w:p>
        </w:tc>
        <w:tc>
          <w:tcPr>
            <w:tcW w:w="0" w:type="auto"/>
            <w:vAlign w:val="center"/>
            <w:hideMark/>
          </w:tcPr>
          <w:p w14:paraId="479389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Ataques de inyección y explotación de la capa 7</w:t>
            </w:r>
          </w:p>
        </w:tc>
        <w:tc>
          <w:tcPr>
            <w:tcW w:w="0" w:type="auto"/>
            <w:vAlign w:val="center"/>
            <w:hideMark/>
          </w:tcPr>
          <w:p w14:paraId="0217FC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Borde de red</w:t>
            </w:r>
          </w:p>
        </w:tc>
      </w:tr>
      <w:tr w:rsidR="000444D1" w:rsidRPr="000444D1" w14:paraId="5656D31D" w14:textId="77777777">
        <w:trPr>
          <w:tblCellSpacing w:w="15" w:type="dxa"/>
        </w:trPr>
        <w:tc>
          <w:tcPr>
            <w:tcW w:w="0" w:type="auto"/>
            <w:vAlign w:val="center"/>
            <w:hideMark/>
          </w:tcPr>
          <w:p w14:paraId="61F51F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C-15</w:t>
            </w:r>
          </w:p>
        </w:tc>
        <w:tc>
          <w:tcPr>
            <w:tcW w:w="0" w:type="auto"/>
            <w:vAlign w:val="center"/>
            <w:hideMark/>
          </w:tcPr>
          <w:p w14:paraId="13D458A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Segmentación de red: el core tradicional no es alcanzable desde internet</w:t>
            </w:r>
          </w:p>
        </w:tc>
        <w:tc>
          <w:tcPr>
            <w:tcW w:w="0" w:type="auto"/>
            <w:vAlign w:val="center"/>
            <w:hideMark/>
          </w:tcPr>
          <w:p w14:paraId="545999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Ataque directo al sistema legado</w:t>
            </w:r>
          </w:p>
        </w:tc>
        <w:tc>
          <w:tcPr>
            <w:tcW w:w="0" w:type="auto"/>
            <w:vAlign w:val="center"/>
            <w:hideMark/>
          </w:tcPr>
          <w:p w14:paraId="0C5C91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Topología híbrida; solo el ACL y el CDC tienen ruta</w:t>
            </w:r>
          </w:p>
        </w:tc>
      </w:tr>
      <w:tr w:rsidR="000444D1" w:rsidRPr="000444D1" w14:paraId="65809FE4" w14:textId="77777777">
        <w:trPr>
          <w:tblCellSpacing w:w="15" w:type="dxa"/>
        </w:trPr>
        <w:tc>
          <w:tcPr>
            <w:tcW w:w="0" w:type="auto"/>
            <w:vAlign w:val="center"/>
            <w:hideMark/>
          </w:tcPr>
          <w:p w14:paraId="5BEDEB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C-16</w:t>
            </w:r>
          </w:p>
        </w:tc>
        <w:tc>
          <w:tcPr>
            <w:tcW w:w="0" w:type="auto"/>
            <w:vAlign w:val="center"/>
            <w:hideMark/>
          </w:tcPr>
          <w:p w14:paraId="51652A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Gestión centralizada de secretos con rotación</w:t>
            </w:r>
          </w:p>
        </w:tc>
        <w:tc>
          <w:tcPr>
            <w:tcW w:w="0" w:type="auto"/>
            <w:vAlign w:val="center"/>
            <w:hideMark/>
          </w:tcPr>
          <w:p w14:paraId="31268B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Credenciales estáticas en configuración o código</w:t>
            </w:r>
          </w:p>
        </w:tc>
        <w:tc>
          <w:tcPr>
            <w:tcW w:w="0" w:type="auto"/>
            <w:vAlign w:val="center"/>
            <w:hideMark/>
          </w:tcPr>
          <w:p w14:paraId="2EB80AB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Almacén de secretos; ningún servicio persiste credenciales</w:t>
            </w:r>
          </w:p>
        </w:tc>
      </w:tr>
      <w:tr w:rsidR="000444D1" w:rsidRPr="000444D1" w14:paraId="5FCA91B2" w14:textId="77777777">
        <w:trPr>
          <w:tblCellSpacing w:w="15" w:type="dxa"/>
        </w:trPr>
        <w:tc>
          <w:tcPr>
            <w:tcW w:w="0" w:type="auto"/>
            <w:vAlign w:val="center"/>
            <w:hideMark/>
          </w:tcPr>
          <w:p w14:paraId="1282E69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C-17</w:t>
            </w:r>
          </w:p>
        </w:tc>
        <w:tc>
          <w:tcPr>
            <w:tcW w:w="0" w:type="auto"/>
            <w:vAlign w:val="center"/>
            <w:hideMark/>
          </w:tcPr>
          <w:p w14:paraId="42D5E7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auditoría inmutable de escritura única</w:t>
            </w:r>
          </w:p>
        </w:tc>
        <w:tc>
          <w:tcPr>
            <w:tcW w:w="0" w:type="auto"/>
            <w:vAlign w:val="center"/>
            <w:hideMark/>
          </w:tcPr>
          <w:p w14:paraId="231A65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Alteración o borrado de evidencia</w:t>
            </w:r>
          </w:p>
        </w:tc>
        <w:tc>
          <w:tcPr>
            <w:tcW w:w="0" w:type="auto"/>
            <w:vAlign w:val="center"/>
            <w:hideMark/>
          </w:tcPr>
          <w:p w14:paraId="46C71D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Historial de eventos</w:t>
            </w:r>
          </w:p>
        </w:tc>
      </w:tr>
      <w:tr w:rsidR="000444D1" w:rsidRPr="000444D1" w14:paraId="1FB93B85" w14:textId="77777777">
        <w:trPr>
          <w:tblCellSpacing w:w="15" w:type="dxa"/>
        </w:trPr>
        <w:tc>
          <w:tcPr>
            <w:tcW w:w="0" w:type="auto"/>
            <w:vAlign w:val="center"/>
            <w:hideMark/>
          </w:tcPr>
          <w:p w14:paraId="794452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C-18</w:t>
            </w:r>
          </w:p>
        </w:tc>
        <w:tc>
          <w:tcPr>
            <w:tcW w:w="0" w:type="auto"/>
            <w:vAlign w:val="center"/>
            <w:hideMark/>
          </w:tcPr>
          <w:p w14:paraId="4D2477B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todo acceso de terceros con identificación del consentimiento aplicado</w:t>
            </w:r>
          </w:p>
        </w:tc>
        <w:tc>
          <w:tcPr>
            <w:tcW w:w="0" w:type="auto"/>
            <w:vAlign w:val="center"/>
            <w:hideMark/>
          </w:tcPr>
          <w:p w14:paraId="0B124C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Imposibilidad de acreditar el uso de datos ante el titular</w:t>
            </w:r>
          </w:p>
        </w:tc>
        <w:tc>
          <w:tcPr>
            <w:tcW w:w="0" w:type="auto"/>
            <w:vAlign w:val="center"/>
            <w:hideMark/>
          </w:tcPr>
          <w:p w14:paraId="5814597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alimentado por el gateway externo</w:t>
            </w:r>
          </w:p>
        </w:tc>
      </w:tr>
      <w:tr w:rsidR="000444D1" w:rsidRPr="000444D1" w14:paraId="38775870" w14:textId="77777777">
        <w:trPr>
          <w:tblCellSpacing w:w="15" w:type="dxa"/>
        </w:trPr>
        <w:tc>
          <w:tcPr>
            <w:tcW w:w="0" w:type="auto"/>
            <w:vAlign w:val="center"/>
            <w:hideMark/>
          </w:tcPr>
          <w:p w14:paraId="202D18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C-19</w:t>
            </w:r>
          </w:p>
        </w:tc>
        <w:tc>
          <w:tcPr>
            <w:tcW w:w="0" w:type="auto"/>
            <w:vAlign w:val="center"/>
            <w:hideMark/>
          </w:tcPr>
          <w:p w14:paraId="7D1220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Separación de funciones: quien despliega no accede a datos productivos</w:t>
            </w:r>
          </w:p>
        </w:tc>
        <w:tc>
          <w:tcPr>
            <w:tcW w:w="0" w:type="auto"/>
            <w:vAlign w:val="center"/>
            <w:hideMark/>
          </w:tcPr>
          <w:p w14:paraId="3B6636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Abuso de privilegio interno</w:t>
            </w:r>
          </w:p>
        </w:tc>
        <w:tc>
          <w:tcPr>
            <w:tcW w:w="0" w:type="auto"/>
            <w:vAlign w:val="center"/>
            <w:hideMark/>
          </w:tcPr>
          <w:p w14:paraId="5B326C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Controles de la plataforma de despliegue</w:t>
            </w:r>
          </w:p>
        </w:tc>
      </w:tr>
      <w:tr w:rsidR="000444D1" w:rsidRPr="000444D1" w14:paraId="178334A4" w14:textId="77777777">
        <w:trPr>
          <w:tblCellSpacing w:w="15" w:type="dxa"/>
        </w:trPr>
        <w:tc>
          <w:tcPr>
            <w:tcW w:w="0" w:type="auto"/>
            <w:vAlign w:val="center"/>
            <w:hideMark/>
          </w:tcPr>
          <w:p w14:paraId="558880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C-20</w:t>
            </w:r>
          </w:p>
        </w:tc>
        <w:tc>
          <w:tcPr>
            <w:tcW w:w="0" w:type="auto"/>
            <w:vAlign w:val="center"/>
            <w:hideMark/>
          </w:tcPr>
          <w:p w14:paraId="70AEEB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Análisis de dependencias y firma de artefactos</w:t>
            </w:r>
          </w:p>
        </w:tc>
        <w:tc>
          <w:tcPr>
            <w:tcW w:w="0" w:type="auto"/>
            <w:vAlign w:val="center"/>
            <w:hideMark/>
          </w:tcPr>
          <w:p w14:paraId="019FC6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Compromiso de la cadena de suministro</w:t>
            </w:r>
          </w:p>
        </w:tc>
        <w:tc>
          <w:tcPr>
            <w:tcW w:w="0" w:type="auto"/>
            <w:vAlign w:val="center"/>
            <w:hideMark/>
          </w:tcPr>
          <w:p w14:paraId="698111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Canalización de integración continua</w:t>
            </w:r>
          </w:p>
        </w:tc>
      </w:tr>
    </w:tbl>
    <w:p w14:paraId="1F87241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Concentración de controles en las fronteras.</w:t>
      </w:r>
      <w:r w:rsidRPr="000444D1">
        <w:rPr>
          <w:rFonts w:ascii="Times New Roman" w:eastAsia="Times New Roman" w:hAnsi="Times New Roman" w:cs="Times New Roman"/>
          <w:kern w:val="0"/>
          <w14:ligatures w14:val="none"/>
        </w:rPr>
        <w:t xml:space="preserve"> La tabla admite lectura inversa: dado un componente del diagrama de contenedores, qué controles residen en él. El gateway externo concentra C-01, C-02, C-03, C-04 y C-13; el ACL concentra C-15; D8 concentra C-17 y C-18. Esa concentración es una consecuencia del diseño: los controles se agrupan en los puntos donde el sistema limita con lo que no controla —internet, terceros, el sistema legado—, que es donde el riesgo se materializa.</w:t>
      </w:r>
    </w:p>
    <w:p w14:paraId="1E8035C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13.7 Clasificación y tratamiento del dato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487"/>
        <w:gridCol w:w="5044"/>
      </w:tblGrid>
      <w:tr w:rsidR="000444D1" w:rsidRPr="000444D1" w14:paraId="557ACAAA" w14:textId="77777777">
        <w:trPr>
          <w:tblHeader/>
          <w:tblCellSpacing w:w="15" w:type="dxa"/>
        </w:trPr>
        <w:tc>
          <w:tcPr>
            <w:tcW w:w="0" w:type="auto"/>
            <w:vAlign w:val="center"/>
            <w:hideMark/>
          </w:tcPr>
          <w:p w14:paraId="379C390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Clase</w:t>
            </w:r>
          </w:p>
        </w:tc>
        <w:tc>
          <w:tcPr>
            <w:tcW w:w="0" w:type="auto"/>
            <w:vAlign w:val="center"/>
            <w:hideMark/>
          </w:tcPr>
          <w:p w14:paraId="7F44E00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Ejemplos</w:t>
            </w:r>
          </w:p>
        </w:tc>
        <w:tc>
          <w:tcPr>
            <w:tcW w:w="0" w:type="auto"/>
            <w:vAlign w:val="center"/>
            <w:hideMark/>
          </w:tcPr>
          <w:p w14:paraId="1052D9D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 en el diseño</w:t>
            </w:r>
          </w:p>
        </w:tc>
      </w:tr>
      <w:tr w:rsidR="000444D1" w:rsidRPr="000444D1" w14:paraId="0FEF624D" w14:textId="77777777">
        <w:trPr>
          <w:tblCellSpacing w:w="15" w:type="dxa"/>
        </w:trPr>
        <w:tc>
          <w:tcPr>
            <w:tcW w:w="0" w:type="auto"/>
            <w:vAlign w:val="center"/>
            <w:hideMark/>
          </w:tcPr>
          <w:p w14:paraId="62BDCE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Identificador directo</w:t>
            </w:r>
          </w:p>
        </w:tc>
        <w:tc>
          <w:tcPr>
            <w:tcW w:w="0" w:type="auto"/>
            <w:vAlign w:val="center"/>
            <w:hideMark/>
          </w:tcPr>
          <w:p w14:paraId="269E35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Documento de identidad, nombre, dirección</w:t>
            </w:r>
          </w:p>
        </w:tc>
        <w:tc>
          <w:tcPr>
            <w:tcW w:w="0" w:type="auto"/>
            <w:vAlign w:val="center"/>
            <w:hideMark/>
          </w:tcPr>
          <w:p w14:paraId="1E7F2D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Reside únicamente en el SoR (core tradicional vía D1). No se replica en proyecciones ni en payloads de eventos</w:t>
            </w:r>
          </w:p>
        </w:tc>
      </w:tr>
      <w:tr w:rsidR="000444D1" w:rsidRPr="000444D1" w14:paraId="43326587" w14:textId="77777777">
        <w:trPr>
          <w:tblCellSpacing w:w="15" w:type="dxa"/>
        </w:trPr>
        <w:tc>
          <w:tcPr>
            <w:tcW w:w="0" w:type="auto"/>
            <w:vAlign w:val="center"/>
            <w:hideMark/>
          </w:tcPr>
          <w:p w14:paraId="6D9AE80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Dato financiero</w:t>
            </w:r>
          </w:p>
        </w:tc>
        <w:tc>
          <w:tcPr>
            <w:tcW w:w="0" w:type="auto"/>
            <w:vAlign w:val="center"/>
            <w:hideMark/>
          </w:tcPr>
          <w:p w14:paraId="6AC36B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Saldos, movimientos, órdenes</w:t>
            </w:r>
          </w:p>
        </w:tc>
        <w:tc>
          <w:tcPr>
            <w:tcW w:w="0" w:type="auto"/>
            <w:vAlign w:val="center"/>
            <w:hideMark/>
          </w:tcPr>
          <w:p w14:paraId="660E07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 proyecciones y eventos, siempre asociado a identificadores internos, nunca a identificadores directos</w:t>
            </w:r>
          </w:p>
        </w:tc>
      </w:tr>
      <w:tr w:rsidR="000444D1" w:rsidRPr="000444D1" w14:paraId="598EE1C0" w14:textId="77777777">
        <w:trPr>
          <w:tblCellSpacing w:w="15" w:type="dxa"/>
        </w:trPr>
        <w:tc>
          <w:tcPr>
            <w:tcW w:w="0" w:type="auto"/>
            <w:vAlign w:val="center"/>
            <w:hideMark/>
          </w:tcPr>
          <w:p w14:paraId="7F6DCF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Dato de tarjeta</w:t>
            </w:r>
          </w:p>
        </w:tc>
        <w:tc>
          <w:tcPr>
            <w:tcW w:w="0" w:type="auto"/>
            <w:vAlign w:val="center"/>
            <w:hideMark/>
          </w:tcPr>
          <w:p w14:paraId="32ABF0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Número de tarjeta</w:t>
            </w:r>
          </w:p>
        </w:tc>
        <w:tc>
          <w:tcPr>
            <w:tcW w:w="0" w:type="auto"/>
            <w:vAlign w:val="center"/>
            <w:hideMark/>
          </w:tcPr>
          <w:p w14:paraId="09493B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Tokenizado</w:t>
            </w:r>
            <w:r w:rsidRPr="000444D1">
              <w:rPr>
                <w:rFonts w:ascii="Times New Roman" w:eastAsia="Times New Roman" w:hAnsi="Times New Roman" w:cs="Times New Roman"/>
                <w:kern w:val="0"/>
                <w14:ligatures w14:val="none"/>
              </w:rPr>
              <w:t xml:space="preserve"> en la frontera. El número real nunca entra en el perímetro de los servicios de dominio</w:t>
            </w:r>
          </w:p>
        </w:tc>
      </w:tr>
      <w:tr w:rsidR="000444D1" w:rsidRPr="000444D1" w14:paraId="167A8F91" w14:textId="77777777">
        <w:trPr>
          <w:tblCellSpacing w:w="15" w:type="dxa"/>
        </w:trPr>
        <w:tc>
          <w:tcPr>
            <w:tcW w:w="0" w:type="auto"/>
            <w:vAlign w:val="center"/>
            <w:hideMark/>
          </w:tcPr>
          <w:p w14:paraId="59776D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Dato derivado</w:t>
            </w:r>
          </w:p>
        </w:tc>
        <w:tc>
          <w:tcPr>
            <w:tcW w:w="0" w:type="auto"/>
            <w:vAlign w:val="center"/>
            <w:hideMark/>
          </w:tcPr>
          <w:p w14:paraId="55A601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Puntaje de fraude, calificación de riesgo</w:t>
            </w:r>
          </w:p>
        </w:tc>
        <w:tc>
          <w:tcPr>
            <w:tcW w:w="0" w:type="auto"/>
            <w:vAlign w:val="center"/>
            <w:hideMark/>
          </w:tcPr>
          <w:p w14:paraId="5CA08E2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Conservado con la versión del modelo que lo produjo, por exigencia de explicabilidad (13.5)</w:t>
            </w:r>
          </w:p>
        </w:tc>
      </w:tr>
      <w:tr w:rsidR="000444D1" w:rsidRPr="000444D1" w14:paraId="186553B9" w14:textId="77777777">
        <w:trPr>
          <w:tblCellSpacing w:w="15" w:type="dxa"/>
        </w:trPr>
        <w:tc>
          <w:tcPr>
            <w:tcW w:w="0" w:type="auto"/>
            <w:vAlign w:val="center"/>
            <w:hideMark/>
          </w:tcPr>
          <w:p w14:paraId="76E26A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Dato seudonimizado</w:t>
            </w:r>
          </w:p>
        </w:tc>
        <w:tc>
          <w:tcPr>
            <w:tcW w:w="0" w:type="auto"/>
            <w:vAlign w:val="center"/>
            <w:hideMark/>
          </w:tcPr>
          <w:p w14:paraId="672B96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Conjuntos para analítica y entrenamiento</w:t>
            </w:r>
          </w:p>
        </w:tc>
        <w:tc>
          <w:tcPr>
            <w:tcW w:w="0" w:type="auto"/>
            <w:vAlign w:val="center"/>
            <w:hideMark/>
          </w:tcPr>
          <w:p w14:paraId="0E2765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Identificador sustituido; la tabla de correspondencia reside separada y con acceso restringido</w:t>
            </w:r>
          </w:p>
        </w:tc>
      </w:tr>
    </w:tbl>
    <w:p w14:paraId="0249AE8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Regla transversal de eventos.</w:t>
      </w:r>
      <w:r w:rsidRPr="000444D1">
        <w:rPr>
          <w:rFonts w:ascii="Times New Roman" w:eastAsia="Times New Roman" w:hAnsi="Times New Roman" w:cs="Times New Roman"/>
          <w:kern w:val="0"/>
          <w14:ligatures w14:val="none"/>
        </w:rPr>
        <w:t xml:space="preserve"> Los payloads de la sección 12 transportan identificadores internos (</w:t>
      </w:r>
      <w:r w:rsidRPr="000444D1">
        <w:rPr>
          <w:rFonts w:ascii="Courier New" w:eastAsia="Times New Roman" w:hAnsi="Courier New" w:cs="Courier New"/>
          <w:kern w:val="0"/>
          <w:sz w:val="20"/>
          <w:szCs w:val="20"/>
          <w14:ligatures w14:val="none"/>
        </w:rPr>
        <w:t>cli-448291</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acc-tradicional-77120</w:t>
      </w:r>
      <w:r w:rsidRPr="000444D1">
        <w:rPr>
          <w:rFonts w:ascii="Times New Roman" w:eastAsia="Times New Roman" w:hAnsi="Times New Roman" w:cs="Times New Roman"/>
          <w:kern w:val="0"/>
          <w14:ligatures w14:val="none"/>
        </w:rPr>
        <w:t>), nunca identificadores directos del titular. Es la aplicación de la minimización en la capa de mensajería: un evento que circula por el bus y se retiene siete días no debe contener datos que permitan identificar directamente a una persona.</w:t>
      </w:r>
    </w:p>
    <w:p w14:paraId="5FB883F2"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13.8 Retención, conservación y notificación de vulneraciones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gridCol w:w="2309"/>
        <w:gridCol w:w="4348"/>
      </w:tblGrid>
      <w:tr w:rsidR="000444D1" w:rsidRPr="000444D1" w14:paraId="5152BEF4" w14:textId="77777777">
        <w:trPr>
          <w:tblHeader/>
          <w:tblCellSpacing w:w="15" w:type="dxa"/>
        </w:trPr>
        <w:tc>
          <w:tcPr>
            <w:tcW w:w="0" w:type="auto"/>
            <w:vAlign w:val="center"/>
            <w:hideMark/>
          </w:tcPr>
          <w:p w14:paraId="44AAC92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 de dato</w:t>
            </w:r>
          </w:p>
        </w:tc>
        <w:tc>
          <w:tcPr>
            <w:tcW w:w="0" w:type="auto"/>
            <w:vAlign w:val="center"/>
            <w:hideMark/>
          </w:tcPr>
          <w:p w14:paraId="66F3159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Retención</w:t>
            </w:r>
          </w:p>
        </w:tc>
        <w:tc>
          <w:tcPr>
            <w:tcW w:w="0" w:type="auto"/>
            <w:vAlign w:val="center"/>
            <w:hideMark/>
          </w:tcPr>
          <w:p w14:paraId="1690EFF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Fundamento</w:t>
            </w:r>
          </w:p>
        </w:tc>
      </w:tr>
      <w:tr w:rsidR="000444D1" w:rsidRPr="000444D1" w14:paraId="4DC59A9C" w14:textId="77777777">
        <w:trPr>
          <w:tblCellSpacing w:w="15" w:type="dxa"/>
        </w:trPr>
        <w:tc>
          <w:tcPr>
            <w:tcW w:w="0" w:type="auto"/>
            <w:vAlign w:val="center"/>
            <w:hideMark/>
          </w:tcPr>
          <w:p w14:paraId="6E7489E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Traza de auditoría de operaciones (D8)</w:t>
            </w:r>
          </w:p>
        </w:tc>
        <w:tc>
          <w:tcPr>
            <w:tcW w:w="0" w:type="auto"/>
            <w:vAlign w:val="center"/>
            <w:hideMark/>
          </w:tcPr>
          <w:p w14:paraId="07DA64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 años</w:t>
            </w:r>
          </w:p>
        </w:tc>
        <w:tc>
          <w:tcPr>
            <w:tcW w:w="0" w:type="auto"/>
            <w:vAlign w:val="center"/>
            <w:hideMark/>
          </w:tcPr>
          <w:p w14:paraId="604EE5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Obligación de conservación regulatoria</w:t>
            </w:r>
          </w:p>
        </w:tc>
      </w:tr>
      <w:tr w:rsidR="000444D1" w:rsidRPr="000444D1" w14:paraId="76DB9C55" w14:textId="77777777">
        <w:trPr>
          <w:tblCellSpacing w:w="15" w:type="dxa"/>
        </w:trPr>
        <w:tc>
          <w:tcPr>
            <w:tcW w:w="0" w:type="auto"/>
            <w:vAlign w:val="center"/>
            <w:hideMark/>
          </w:tcPr>
          <w:p w14:paraId="30C93C1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accesos de terceros (D8)</w:t>
            </w:r>
          </w:p>
        </w:tc>
        <w:tc>
          <w:tcPr>
            <w:tcW w:w="0" w:type="auto"/>
            <w:vAlign w:val="center"/>
            <w:hideMark/>
          </w:tcPr>
          <w:p w14:paraId="331354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 años</w:t>
            </w:r>
          </w:p>
        </w:tc>
        <w:tc>
          <w:tcPr>
            <w:tcW w:w="0" w:type="auto"/>
            <w:vAlign w:val="center"/>
            <w:hideMark/>
          </w:tcPr>
          <w:p w14:paraId="07983F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Acreditación ante el titular y ante el ente de control</w:t>
            </w:r>
          </w:p>
        </w:tc>
      </w:tr>
      <w:tr w:rsidR="000444D1" w:rsidRPr="000444D1" w14:paraId="16B02B0D" w14:textId="77777777">
        <w:trPr>
          <w:tblCellSpacing w:w="15" w:type="dxa"/>
        </w:trPr>
        <w:tc>
          <w:tcPr>
            <w:tcW w:w="0" w:type="auto"/>
            <w:vAlign w:val="center"/>
            <w:hideMark/>
          </w:tcPr>
          <w:p w14:paraId="620957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Eventos en el bus</w:t>
            </w:r>
          </w:p>
        </w:tc>
        <w:tc>
          <w:tcPr>
            <w:tcW w:w="0" w:type="auto"/>
            <w:vAlign w:val="center"/>
            <w:hideMark/>
          </w:tcPr>
          <w:p w14:paraId="1B6ABA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 días</w:t>
            </w:r>
          </w:p>
        </w:tc>
        <w:tc>
          <w:tcPr>
            <w:tcW w:w="0" w:type="auto"/>
            <w:vAlign w:val="center"/>
            <w:hideMark/>
          </w:tcPr>
          <w:p w14:paraId="6890D1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Solo para reconstrucción de proyecciones; el registro permanente vive en D8</w:t>
            </w:r>
          </w:p>
        </w:tc>
      </w:tr>
      <w:tr w:rsidR="000444D1" w:rsidRPr="000444D1" w14:paraId="7C477D4C" w14:textId="77777777">
        <w:trPr>
          <w:tblCellSpacing w:w="15" w:type="dxa"/>
        </w:trPr>
        <w:tc>
          <w:tcPr>
            <w:tcW w:w="0" w:type="auto"/>
            <w:vAlign w:val="center"/>
            <w:hideMark/>
          </w:tcPr>
          <w:p w14:paraId="7F7050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Registros técnicos y trazas distribuidas</w:t>
            </w:r>
          </w:p>
        </w:tc>
        <w:tc>
          <w:tcPr>
            <w:tcW w:w="0" w:type="auto"/>
            <w:vAlign w:val="center"/>
            <w:hideMark/>
          </w:tcPr>
          <w:p w14:paraId="12DED2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90 días</w:t>
            </w:r>
          </w:p>
        </w:tc>
        <w:tc>
          <w:tcPr>
            <w:tcW w:w="0" w:type="auto"/>
            <w:vAlign w:val="center"/>
            <w:hideMark/>
          </w:tcPr>
          <w:p w14:paraId="094D79D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Diagnóstico operativo; contienen datos enmascarados</w:t>
            </w:r>
          </w:p>
        </w:tc>
      </w:tr>
      <w:tr w:rsidR="000444D1" w:rsidRPr="000444D1" w14:paraId="774A5150" w14:textId="77777777">
        <w:trPr>
          <w:tblCellSpacing w:w="15" w:type="dxa"/>
        </w:trPr>
        <w:tc>
          <w:tcPr>
            <w:tcW w:w="0" w:type="auto"/>
            <w:vAlign w:val="center"/>
            <w:hideMark/>
          </w:tcPr>
          <w:p w14:paraId="5D9ED1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Consentimientos revocados</w:t>
            </w:r>
          </w:p>
        </w:tc>
        <w:tc>
          <w:tcPr>
            <w:tcW w:w="0" w:type="auto"/>
            <w:vAlign w:val="center"/>
            <w:hideMark/>
          </w:tcPr>
          <w:p w14:paraId="30CAD1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Vigencia más plazo de prescripción</w:t>
            </w:r>
          </w:p>
        </w:tc>
        <w:tc>
          <w:tcPr>
            <w:tcW w:w="0" w:type="auto"/>
            <w:vAlign w:val="center"/>
            <w:hideMark/>
          </w:tcPr>
          <w:p w14:paraId="6FDFC9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Acreditar bajo qué consentimiento ocurrió cada acceso pasado</w:t>
            </w:r>
          </w:p>
        </w:tc>
      </w:tr>
    </w:tbl>
    <w:p w14:paraId="791E503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Notificación de vulneraciones.</w:t>
      </w:r>
      <w:r w:rsidRPr="000444D1">
        <w:rPr>
          <w:rFonts w:ascii="Times New Roman" w:eastAsia="Times New Roman" w:hAnsi="Times New Roman" w:cs="Times New Roman"/>
          <w:kern w:val="0"/>
          <w14:ligatures w14:val="none"/>
        </w:rPr>
        <w:t xml:space="preserve"> La LOPDP obliga a comunicar al ente de control las vulneraciones de seguridad dentro del plazo legal, y al titular cuando exista riesgo para sus derechos. El diseño lo sostiene con dos elementos concretos: la detección se apoya en la telemetría y el alertado de la sección 18, y la determinación del alcance —qué datos y de qué titulares se vieron afectados— se apoya en el registro de accesos de D8. Sin ese registro, delimitar el alcance de una brecha sería una estimación, y una notificación con alcance estimado es una notificación deficiente.</w:t>
      </w:r>
    </w:p>
    <w:p w14:paraId="1AF73175"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13.9 Registro de actividades, evaluación de impacto y transferencias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7395"/>
      </w:tblGrid>
      <w:tr w:rsidR="000444D1" w:rsidRPr="000444D1" w14:paraId="785861E5" w14:textId="77777777">
        <w:trPr>
          <w:tblHeader/>
          <w:tblCellSpacing w:w="15" w:type="dxa"/>
        </w:trPr>
        <w:tc>
          <w:tcPr>
            <w:tcW w:w="0" w:type="auto"/>
            <w:vAlign w:val="center"/>
            <w:hideMark/>
          </w:tcPr>
          <w:p w14:paraId="18311E4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Obligación</w:t>
            </w:r>
          </w:p>
        </w:tc>
        <w:tc>
          <w:tcPr>
            <w:tcW w:w="0" w:type="auto"/>
            <w:vAlign w:val="center"/>
            <w:hideMark/>
          </w:tcPr>
          <w:p w14:paraId="2F62B22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Cómo la sostiene el diseño</w:t>
            </w:r>
          </w:p>
        </w:tc>
      </w:tr>
      <w:tr w:rsidR="000444D1" w:rsidRPr="000444D1" w14:paraId="6C65D2E1" w14:textId="77777777">
        <w:trPr>
          <w:tblCellSpacing w:w="15" w:type="dxa"/>
        </w:trPr>
        <w:tc>
          <w:tcPr>
            <w:tcW w:w="0" w:type="auto"/>
            <w:vAlign w:val="center"/>
            <w:hideMark/>
          </w:tcPr>
          <w:p w14:paraId="71B07A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Registro de actividades de tratamiento</w:t>
            </w:r>
          </w:p>
        </w:tc>
        <w:tc>
          <w:tcPr>
            <w:tcW w:w="0" w:type="auto"/>
            <w:vAlign w:val="center"/>
            <w:hideMark/>
          </w:tcPr>
          <w:p w14:paraId="1A488D6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deriva de las secciones 5.3 y 13.3: la matriz de systems of record identifica qué dato existe y quién lo trata; las bases de licitud, con qué amparo. El registro no es un documento paralelo, sino una vista de la arquitectura documentada</w:t>
            </w:r>
          </w:p>
        </w:tc>
      </w:tr>
      <w:tr w:rsidR="000444D1" w:rsidRPr="000444D1" w14:paraId="13137112" w14:textId="77777777">
        <w:trPr>
          <w:tblCellSpacing w:w="15" w:type="dxa"/>
        </w:trPr>
        <w:tc>
          <w:tcPr>
            <w:tcW w:w="0" w:type="auto"/>
            <w:vAlign w:val="center"/>
            <w:hideMark/>
          </w:tcPr>
          <w:p w14:paraId="1957E4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Evaluación de impacto</w:t>
            </w:r>
          </w:p>
        </w:tc>
        <w:tc>
          <w:tcPr>
            <w:tcW w:w="0" w:type="auto"/>
            <w:vAlign w:val="center"/>
            <w:hideMark/>
          </w:tcPr>
          <w:p w14:paraId="5BE59F0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Exigible al menos para el tratamiento automatizado de fraude y para la cesión a terceros, por tratarse de tratamiento sistemático con efectos significativos</w:t>
            </w:r>
          </w:p>
        </w:tc>
      </w:tr>
      <w:tr w:rsidR="000444D1" w:rsidRPr="000444D1" w14:paraId="531406E3" w14:textId="77777777">
        <w:trPr>
          <w:tblCellSpacing w:w="15" w:type="dxa"/>
        </w:trPr>
        <w:tc>
          <w:tcPr>
            <w:tcW w:w="0" w:type="auto"/>
            <w:vAlign w:val="center"/>
            <w:hideMark/>
          </w:tcPr>
          <w:p w14:paraId="6BE56D9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Delegado de protección de datos</w:t>
            </w:r>
          </w:p>
        </w:tc>
        <w:tc>
          <w:tcPr>
            <w:tcW w:w="0" w:type="auto"/>
            <w:vAlign w:val="center"/>
            <w:hideMark/>
          </w:tcPr>
          <w:p w14:paraId="5BAB3B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Figura organizacional. El diseño le provee las herramientas de consulta: D8 para trazabilidad y D7 para consentimientos</w:t>
            </w:r>
          </w:p>
        </w:tc>
      </w:tr>
      <w:tr w:rsidR="000444D1" w:rsidRPr="000444D1" w14:paraId="15338E72" w14:textId="77777777">
        <w:trPr>
          <w:tblCellSpacing w:w="15" w:type="dxa"/>
        </w:trPr>
        <w:tc>
          <w:tcPr>
            <w:tcW w:w="0" w:type="auto"/>
            <w:vAlign w:val="center"/>
            <w:hideMark/>
          </w:tcPr>
          <w:p w14:paraId="42590C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Residencia y transferencia internacional</w:t>
            </w:r>
          </w:p>
        </w:tc>
        <w:tc>
          <w:tcPr>
            <w:tcW w:w="0" w:type="auto"/>
            <w:vAlign w:val="center"/>
            <w:hideMark/>
          </w:tcPr>
          <w:p w14:paraId="6D313E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datos personales identificables permanecen en territorio nacional. El modelo híbrido del ADR-006 lo sostiene: el SoR de datos maestros está on-premise, y lo que se despliega en nube son proyecciones con identificadores internos. Si el proveedor de nube opera una región nacional, la restricción se cumple sin excepciones; si no, esta restricción condiciona qué componentes pueden desplegarse fuera del centro de datos</w:t>
            </w:r>
          </w:p>
        </w:tc>
      </w:tr>
    </w:tbl>
    <w:p w14:paraId="75EC788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última fila es una restricción legal que condiciona una decisión técnica, y conviene presentarla así: el modelo de despliegue del ADR-006 no es únicamente una elección de elasticidad, sino también la forma de satisfacer un requisito de residencia sin renunciar a la capacidad de escalar la capa digital.</w:t>
      </w:r>
    </w:p>
    <w:p w14:paraId="0BD8364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13.10 Seguridad en el ciclo de vida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5482"/>
        <w:gridCol w:w="2523"/>
      </w:tblGrid>
      <w:tr w:rsidR="000444D1" w:rsidRPr="000444D1" w14:paraId="3A74AB96" w14:textId="77777777">
        <w:trPr>
          <w:tblHeader/>
          <w:tblCellSpacing w:w="15" w:type="dxa"/>
        </w:trPr>
        <w:tc>
          <w:tcPr>
            <w:tcW w:w="0" w:type="auto"/>
            <w:vAlign w:val="center"/>
            <w:hideMark/>
          </w:tcPr>
          <w:p w14:paraId="00A6D88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Etapa</w:t>
            </w:r>
          </w:p>
        </w:tc>
        <w:tc>
          <w:tcPr>
            <w:tcW w:w="0" w:type="auto"/>
            <w:vAlign w:val="center"/>
            <w:hideMark/>
          </w:tcPr>
          <w:p w14:paraId="1BCC5B6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Práctica</w:t>
            </w:r>
          </w:p>
        </w:tc>
        <w:tc>
          <w:tcPr>
            <w:tcW w:w="0" w:type="auto"/>
            <w:vAlign w:val="center"/>
            <w:hideMark/>
          </w:tcPr>
          <w:p w14:paraId="09DB3B0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Evidencia en el diseño</w:t>
            </w:r>
          </w:p>
        </w:tc>
      </w:tr>
      <w:tr w:rsidR="000444D1" w:rsidRPr="000444D1" w14:paraId="35E38CAE" w14:textId="77777777">
        <w:trPr>
          <w:tblCellSpacing w:w="15" w:type="dxa"/>
        </w:trPr>
        <w:tc>
          <w:tcPr>
            <w:tcW w:w="0" w:type="auto"/>
            <w:vAlign w:val="center"/>
            <w:hideMark/>
          </w:tcPr>
          <w:p w14:paraId="28E77D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Diseño</w:t>
            </w:r>
          </w:p>
        </w:tc>
        <w:tc>
          <w:tcPr>
            <w:tcW w:w="0" w:type="auto"/>
            <w:vAlign w:val="center"/>
            <w:hideMark/>
          </w:tcPr>
          <w:p w14:paraId="53C5D4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Modelado de amenazas por dominio antes de la implementación</w:t>
            </w:r>
          </w:p>
        </w:tc>
        <w:tc>
          <w:tcPr>
            <w:tcW w:w="0" w:type="auto"/>
            <w:vAlign w:val="center"/>
            <w:hideMark/>
          </w:tcPr>
          <w:p w14:paraId="676557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Insumo de la tabla 13.6</w:t>
            </w:r>
          </w:p>
        </w:tc>
      </w:tr>
      <w:tr w:rsidR="000444D1" w:rsidRPr="000444D1" w14:paraId="215A458A" w14:textId="77777777">
        <w:trPr>
          <w:tblCellSpacing w:w="15" w:type="dxa"/>
        </w:trPr>
        <w:tc>
          <w:tcPr>
            <w:tcW w:w="0" w:type="auto"/>
            <w:vAlign w:val="center"/>
            <w:hideMark/>
          </w:tcPr>
          <w:p w14:paraId="7598D0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Construcción</w:t>
            </w:r>
          </w:p>
        </w:tc>
        <w:tc>
          <w:tcPr>
            <w:tcW w:w="0" w:type="auto"/>
            <w:vAlign w:val="center"/>
            <w:hideMark/>
          </w:tcPr>
          <w:p w14:paraId="028AFC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Análisis estático, análisis de dependencias, firma de artefactos</w:t>
            </w:r>
          </w:p>
        </w:tc>
        <w:tc>
          <w:tcPr>
            <w:tcW w:w="0" w:type="auto"/>
            <w:vAlign w:val="center"/>
            <w:hideMark/>
          </w:tcPr>
          <w:p w14:paraId="28FA31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C-20</w:t>
            </w:r>
          </w:p>
        </w:tc>
      </w:tr>
      <w:tr w:rsidR="000444D1" w:rsidRPr="000444D1" w14:paraId="1DC6C2E1" w14:textId="77777777">
        <w:trPr>
          <w:tblCellSpacing w:w="15" w:type="dxa"/>
        </w:trPr>
        <w:tc>
          <w:tcPr>
            <w:tcW w:w="0" w:type="auto"/>
            <w:vAlign w:val="center"/>
            <w:hideMark/>
          </w:tcPr>
          <w:p w14:paraId="1F2A93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Despliegue</w:t>
            </w:r>
          </w:p>
        </w:tc>
        <w:tc>
          <w:tcPr>
            <w:tcW w:w="0" w:type="auto"/>
            <w:vAlign w:val="center"/>
            <w:hideMark/>
          </w:tcPr>
          <w:p w14:paraId="3F7AC2C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Infraestructura declarativa; ningún cambio manual en producción</w:t>
            </w:r>
          </w:p>
        </w:tc>
        <w:tc>
          <w:tcPr>
            <w:tcW w:w="0" w:type="auto"/>
            <w:vAlign w:val="center"/>
            <w:hideMark/>
          </w:tcPr>
          <w:p w14:paraId="638FC6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C-19</w:t>
            </w:r>
          </w:p>
        </w:tc>
      </w:tr>
      <w:tr w:rsidR="000444D1" w:rsidRPr="000444D1" w14:paraId="460C2EDB" w14:textId="77777777">
        <w:trPr>
          <w:tblCellSpacing w:w="15" w:type="dxa"/>
        </w:trPr>
        <w:tc>
          <w:tcPr>
            <w:tcW w:w="0" w:type="auto"/>
            <w:vAlign w:val="center"/>
            <w:hideMark/>
          </w:tcPr>
          <w:p w14:paraId="6D2F034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Operación</w:t>
            </w:r>
          </w:p>
        </w:tc>
        <w:tc>
          <w:tcPr>
            <w:tcW w:w="0" w:type="auto"/>
            <w:vAlign w:val="center"/>
            <w:hideMark/>
          </w:tcPr>
          <w:p w14:paraId="3F9CECC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Rotación de secretos, revisión periódica de entitlements, pruebas de intrusión</w:t>
            </w:r>
          </w:p>
        </w:tc>
        <w:tc>
          <w:tcPr>
            <w:tcW w:w="0" w:type="auto"/>
            <w:vAlign w:val="center"/>
            <w:hideMark/>
          </w:tcPr>
          <w:p w14:paraId="0234FE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C-16, C-04</w:t>
            </w:r>
          </w:p>
        </w:tc>
      </w:tr>
      <w:tr w:rsidR="000444D1" w:rsidRPr="000444D1" w14:paraId="4C6A116C" w14:textId="77777777">
        <w:trPr>
          <w:tblCellSpacing w:w="15" w:type="dxa"/>
        </w:trPr>
        <w:tc>
          <w:tcPr>
            <w:tcW w:w="0" w:type="auto"/>
            <w:vAlign w:val="center"/>
            <w:hideMark/>
          </w:tcPr>
          <w:p w14:paraId="5C6E56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Retiro</w:t>
            </w:r>
          </w:p>
        </w:tc>
        <w:tc>
          <w:tcPr>
            <w:tcW w:w="0" w:type="auto"/>
            <w:vAlign w:val="center"/>
            <w:hideMark/>
          </w:tcPr>
          <w:p w14:paraId="0FF7C1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Revocación de credenciales y purga de accesos al deprecar un servicio</w:t>
            </w:r>
          </w:p>
        </w:tc>
        <w:tc>
          <w:tcPr>
            <w:tcW w:w="0" w:type="auto"/>
            <w:vAlign w:val="center"/>
            <w:hideMark/>
          </w:tcPr>
          <w:p w14:paraId="2ECB68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Modelo de gobierno (sección 16)</w:t>
            </w:r>
          </w:p>
        </w:tc>
      </w:tr>
    </w:tbl>
    <w:p w14:paraId="1C2B375A"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5CED966A">
          <v:rect id="Horizontal Line 553"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0F72660"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14. Gestión de identidad y acceso (IAM)</w:t>
      </w:r>
    </w:p>
    <w:p w14:paraId="648810E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integración de seis sistemas con audiencias distintas hace inviable un modelo único de identidad. El diseño distingue </w:t>
      </w:r>
      <w:r w:rsidRPr="000444D1">
        <w:rPr>
          <w:rFonts w:ascii="Times New Roman" w:eastAsia="Times New Roman" w:hAnsi="Times New Roman" w:cs="Times New Roman"/>
          <w:b/>
          <w:bCs/>
          <w:kern w:val="0"/>
          <w14:ligatures w14:val="none"/>
        </w:rPr>
        <w:t>cuatro planos</w:t>
      </w:r>
      <w:r w:rsidRPr="000444D1">
        <w:rPr>
          <w:rFonts w:ascii="Times New Roman" w:eastAsia="Times New Roman" w:hAnsi="Times New Roman" w:cs="Times New Roman"/>
          <w:kern w:val="0"/>
          <w14:ligatures w14:val="none"/>
        </w:rPr>
        <w:t>, con mecanismos, ciclos de vida y niveles de confianza propios. Tratarlos como uno solo obligaría a aplicar el mecanismo más estricto a todo el tráfico, o a introducir excepciones dentro de un mismo componente.</w:t>
      </w:r>
    </w:p>
    <w:p w14:paraId="52FE756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14.1 Planos de identidad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758"/>
        <w:gridCol w:w="2554"/>
        <w:gridCol w:w="1470"/>
        <w:gridCol w:w="2205"/>
      </w:tblGrid>
      <w:tr w:rsidR="000444D1" w:rsidRPr="000444D1" w14:paraId="14FF77E9" w14:textId="77777777">
        <w:trPr>
          <w:tblHeader/>
          <w:tblCellSpacing w:w="15" w:type="dxa"/>
        </w:trPr>
        <w:tc>
          <w:tcPr>
            <w:tcW w:w="0" w:type="auto"/>
            <w:vAlign w:val="center"/>
            <w:hideMark/>
          </w:tcPr>
          <w:p w14:paraId="06EB667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Plano</w:t>
            </w:r>
          </w:p>
        </w:tc>
        <w:tc>
          <w:tcPr>
            <w:tcW w:w="0" w:type="auto"/>
            <w:vAlign w:val="center"/>
            <w:hideMark/>
          </w:tcPr>
          <w:p w14:paraId="0FC76A0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Quién</w:t>
            </w:r>
          </w:p>
        </w:tc>
        <w:tc>
          <w:tcPr>
            <w:tcW w:w="0" w:type="auto"/>
            <w:vAlign w:val="center"/>
            <w:hideMark/>
          </w:tcPr>
          <w:p w14:paraId="703A82B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Mecanismo de autenticación</w:t>
            </w:r>
          </w:p>
        </w:tc>
        <w:tc>
          <w:tcPr>
            <w:tcW w:w="0" w:type="auto"/>
            <w:vAlign w:val="center"/>
            <w:hideMark/>
          </w:tcPr>
          <w:p w14:paraId="0FB5F5A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Emisor</w:t>
            </w:r>
          </w:p>
        </w:tc>
        <w:tc>
          <w:tcPr>
            <w:tcW w:w="0" w:type="auto"/>
            <w:vAlign w:val="center"/>
            <w:hideMark/>
          </w:tcPr>
          <w:p w14:paraId="529E110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Vigencia de la credencial</w:t>
            </w:r>
          </w:p>
        </w:tc>
      </w:tr>
      <w:tr w:rsidR="000444D1" w:rsidRPr="000444D1" w14:paraId="3F937635" w14:textId="77777777">
        <w:trPr>
          <w:tblCellSpacing w:w="15" w:type="dxa"/>
        </w:trPr>
        <w:tc>
          <w:tcPr>
            <w:tcW w:w="0" w:type="auto"/>
            <w:vAlign w:val="center"/>
            <w:hideMark/>
          </w:tcPr>
          <w:p w14:paraId="27A7D4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Clientes</w:t>
            </w:r>
          </w:p>
        </w:tc>
        <w:tc>
          <w:tcPr>
            <w:tcW w:w="0" w:type="auto"/>
            <w:vAlign w:val="center"/>
            <w:hideMark/>
          </w:tcPr>
          <w:p w14:paraId="6C94D3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Titulares en banca web y móvil</w:t>
            </w:r>
          </w:p>
        </w:tc>
        <w:tc>
          <w:tcPr>
            <w:tcW w:w="0" w:type="auto"/>
            <w:vAlign w:val="center"/>
            <w:hideMark/>
          </w:tcPr>
          <w:p w14:paraId="248A17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OIDC con factor múltiple; vinculación de dispositivo en móvil</w:t>
            </w:r>
          </w:p>
        </w:tc>
        <w:tc>
          <w:tcPr>
            <w:tcW w:w="0" w:type="auto"/>
            <w:vAlign w:val="center"/>
            <w:hideMark/>
          </w:tcPr>
          <w:p w14:paraId="60BEE51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IdP</w:t>
            </w:r>
          </w:p>
        </w:tc>
        <w:tc>
          <w:tcPr>
            <w:tcW w:w="0" w:type="auto"/>
            <w:vAlign w:val="center"/>
            <w:hideMark/>
          </w:tcPr>
          <w:p w14:paraId="16686F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 de acceso corto, con refresco</w:t>
            </w:r>
          </w:p>
        </w:tc>
      </w:tr>
      <w:tr w:rsidR="000444D1" w:rsidRPr="000444D1" w14:paraId="58456897" w14:textId="77777777">
        <w:trPr>
          <w:tblCellSpacing w:w="15" w:type="dxa"/>
        </w:trPr>
        <w:tc>
          <w:tcPr>
            <w:tcW w:w="0" w:type="auto"/>
            <w:vAlign w:val="center"/>
            <w:hideMark/>
          </w:tcPr>
          <w:p w14:paraId="172AB3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Terceros</w:t>
            </w:r>
          </w:p>
        </w:tc>
        <w:tc>
          <w:tcPr>
            <w:tcW w:w="0" w:type="auto"/>
            <w:vAlign w:val="center"/>
            <w:hideMark/>
          </w:tcPr>
          <w:p w14:paraId="5C29DD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TPP de Open Finance</w:t>
            </w:r>
          </w:p>
        </w:tc>
        <w:tc>
          <w:tcPr>
            <w:tcW w:w="0" w:type="auto"/>
            <w:vAlign w:val="center"/>
            <w:hideMark/>
          </w:tcPr>
          <w:p w14:paraId="4D33DF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OAuth 2.0 con mTLS; token vinculado al certificado de cliente</w:t>
            </w:r>
          </w:p>
        </w:tc>
        <w:tc>
          <w:tcPr>
            <w:tcW w:w="0" w:type="auto"/>
            <w:vAlign w:val="center"/>
            <w:hideMark/>
          </w:tcPr>
          <w:p w14:paraId="5A2394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IdP, perfil FAPI</w:t>
            </w:r>
          </w:p>
        </w:tc>
        <w:tc>
          <w:tcPr>
            <w:tcW w:w="0" w:type="auto"/>
            <w:vAlign w:val="center"/>
            <w:hideMark/>
          </w:tcPr>
          <w:p w14:paraId="220296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 corto, no renovable sin nueva presentación de certificado</w:t>
            </w:r>
          </w:p>
        </w:tc>
      </w:tr>
      <w:tr w:rsidR="000444D1" w:rsidRPr="000444D1" w14:paraId="77747DDA" w14:textId="77777777">
        <w:trPr>
          <w:tblCellSpacing w:w="15" w:type="dxa"/>
        </w:trPr>
        <w:tc>
          <w:tcPr>
            <w:tcW w:w="0" w:type="auto"/>
            <w:vAlign w:val="center"/>
            <w:hideMark/>
          </w:tcPr>
          <w:p w14:paraId="79CA60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Cargas de trabajo</w:t>
            </w:r>
          </w:p>
        </w:tc>
        <w:tc>
          <w:tcPr>
            <w:tcW w:w="0" w:type="auto"/>
            <w:vAlign w:val="center"/>
            <w:hideMark/>
          </w:tcPr>
          <w:p w14:paraId="63E2A4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Servicios de dominio, adaptadores, BFF</w:t>
            </w:r>
          </w:p>
        </w:tc>
        <w:tc>
          <w:tcPr>
            <w:tcW w:w="0" w:type="auto"/>
            <w:vAlign w:val="center"/>
            <w:hideMark/>
          </w:tcPr>
          <w:p w14:paraId="08E08B4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Identidad de carga con certificados de corta duración emitidos automáticamente</w:t>
            </w:r>
          </w:p>
        </w:tc>
        <w:tc>
          <w:tcPr>
            <w:tcW w:w="0" w:type="auto"/>
            <w:vAlign w:val="center"/>
            <w:hideMark/>
          </w:tcPr>
          <w:p w14:paraId="294CD9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Autoridad interna de certificados</w:t>
            </w:r>
          </w:p>
        </w:tc>
        <w:tc>
          <w:tcPr>
            <w:tcW w:w="0" w:type="auto"/>
            <w:vAlign w:val="center"/>
            <w:hideMark/>
          </w:tcPr>
          <w:p w14:paraId="043EC7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Minutos; rotación automática</w:t>
            </w:r>
          </w:p>
        </w:tc>
      </w:tr>
      <w:tr w:rsidR="000444D1" w:rsidRPr="000444D1" w14:paraId="72598BE0" w14:textId="77777777">
        <w:trPr>
          <w:tblCellSpacing w:w="15" w:type="dxa"/>
        </w:trPr>
        <w:tc>
          <w:tcPr>
            <w:tcW w:w="0" w:type="auto"/>
            <w:vAlign w:val="center"/>
            <w:hideMark/>
          </w:tcPr>
          <w:p w14:paraId="4B0D00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Personas operadoras</w:t>
            </w:r>
          </w:p>
        </w:tc>
        <w:tc>
          <w:tcPr>
            <w:tcW w:w="0" w:type="auto"/>
            <w:vAlign w:val="center"/>
            <w:hideMark/>
          </w:tcPr>
          <w:p w14:paraId="4CD201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Analistas de fraude, riesgos, soporte, back office</w:t>
            </w:r>
          </w:p>
        </w:tc>
        <w:tc>
          <w:tcPr>
            <w:tcW w:w="0" w:type="auto"/>
            <w:vAlign w:val="center"/>
            <w:hideMark/>
          </w:tcPr>
          <w:p w14:paraId="2F8EE4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OIDC corporativo con factor múltiple y acceso condicionado</w:t>
            </w:r>
          </w:p>
        </w:tc>
        <w:tc>
          <w:tcPr>
            <w:tcW w:w="0" w:type="auto"/>
            <w:vAlign w:val="center"/>
            <w:hideMark/>
          </w:tcPr>
          <w:p w14:paraId="17D2C5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IdP corporativo</w:t>
            </w:r>
          </w:p>
        </w:tc>
        <w:tc>
          <w:tcPr>
            <w:tcW w:w="0" w:type="auto"/>
            <w:vAlign w:val="center"/>
            <w:hideMark/>
          </w:tcPr>
          <w:p w14:paraId="0BE1D9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Sesión con reautenticación para operaciones sensibles</w:t>
            </w:r>
          </w:p>
        </w:tc>
      </w:tr>
    </w:tbl>
    <w:p w14:paraId="7057FFB7"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14.2 Autenticación de clientes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7103"/>
      </w:tblGrid>
      <w:tr w:rsidR="000444D1" w:rsidRPr="000444D1" w14:paraId="08C590D1" w14:textId="77777777">
        <w:trPr>
          <w:tblHeader/>
          <w:tblCellSpacing w:w="15" w:type="dxa"/>
        </w:trPr>
        <w:tc>
          <w:tcPr>
            <w:tcW w:w="0" w:type="auto"/>
            <w:vAlign w:val="center"/>
            <w:hideMark/>
          </w:tcPr>
          <w:p w14:paraId="7AFA0C8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Aspecto</w:t>
            </w:r>
          </w:p>
        </w:tc>
        <w:tc>
          <w:tcPr>
            <w:tcW w:w="0" w:type="auto"/>
            <w:vAlign w:val="center"/>
            <w:hideMark/>
          </w:tcPr>
          <w:p w14:paraId="65BFC3C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Decisión</w:t>
            </w:r>
          </w:p>
        </w:tc>
      </w:tr>
      <w:tr w:rsidR="000444D1" w:rsidRPr="000444D1" w14:paraId="1B792B85" w14:textId="77777777">
        <w:trPr>
          <w:tblCellSpacing w:w="15" w:type="dxa"/>
        </w:trPr>
        <w:tc>
          <w:tcPr>
            <w:tcW w:w="0" w:type="auto"/>
            <w:vAlign w:val="center"/>
            <w:hideMark/>
          </w:tcPr>
          <w:p w14:paraId="1E51634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Protocolo</w:t>
            </w:r>
          </w:p>
        </w:tc>
        <w:tc>
          <w:tcPr>
            <w:tcW w:w="0" w:type="auto"/>
            <w:vAlign w:val="center"/>
            <w:hideMark/>
          </w:tcPr>
          <w:p w14:paraId="3359EA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OpenID Connect con flujo de código de autorización y PKCE</w:t>
            </w:r>
          </w:p>
        </w:tc>
      </w:tr>
      <w:tr w:rsidR="000444D1" w:rsidRPr="000444D1" w14:paraId="2E48030E" w14:textId="77777777">
        <w:trPr>
          <w:tblCellSpacing w:w="15" w:type="dxa"/>
        </w:trPr>
        <w:tc>
          <w:tcPr>
            <w:tcW w:w="0" w:type="auto"/>
            <w:vAlign w:val="center"/>
            <w:hideMark/>
          </w:tcPr>
          <w:p w14:paraId="128754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Factores</w:t>
            </w:r>
          </w:p>
        </w:tc>
        <w:tc>
          <w:tcPr>
            <w:tcW w:w="0" w:type="auto"/>
            <w:vAlign w:val="center"/>
            <w:hideMark/>
          </w:tcPr>
          <w:p w14:paraId="6CB31C0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Contraseña o biometría del dispositivo, más segundo factor en el alta de dispositivo y en operaciones sensibles</w:t>
            </w:r>
          </w:p>
        </w:tc>
      </w:tr>
      <w:tr w:rsidR="000444D1" w:rsidRPr="000444D1" w14:paraId="5277DCB1" w14:textId="77777777">
        <w:trPr>
          <w:tblCellSpacing w:w="15" w:type="dxa"/>
        </w:trPr>
        <w:tc>
          <w:tcPr>
            <w:tcW w:w="0" w:type="auto"/>
            <w:vAlign w:val="center"/>
            <w:hideMark/>
          </w:tcPr>
          <w:p w14:paraId="1BA9EB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Vinculación de dispositivo</w:t>
            </w:r>
          </w:p>
        </w:tc>
        <w:tc>
          <w:tcPr>
            <w:tcW w:w="0" w:type="auto"/>
            <w:vAlign w:val="center"/>
            <w:hideMark/>
          </w:tcPr>
          <w:p w14:paraId="60CDCE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app registra un par de claves en el dispositivo; el token se asocia a él</w:t>
            </w:r>
          </w:p>
        </w:tc>
      </w:tr>
      <w:tr w:rsidR="000444D1" w:rsidRPr="000444D1" w14:paraId="255EA6D7" w14:textId="77777777">
        <w:trPr>
          <w:tblCellSpacing w:w="15" w:type="dxa"/>
        </w:trPr>
        <w:tc>
          <w:tcPr>
            <w:tcW w:w="0" w:type="auto"/>
            <w:vAlign w:val="center"/>
            <w:hideMark/>
          </w:tcPr>
          <w:p w14:paraId="5B5A44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Reautenticación reforzada</w:t>
            </w:r>
          </w:p>
        </w:tc>
        <w:tc>
          <w:tcPr>
            <w:tcW w:w="0" w:type="auto"/>
            <w:vAlign w:val="center"/>
            <w:hideMark/>
          </w:tcPr>
          <w:p w14:paraId="30F440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Exigida al superar umbrales de monto o al operar hacia un destinatario no registrado previamente</w:t>
            </w:r>
          </w:p>
        </w:tc>
      </w:tr>
      <w:tr w:rsidR="000444D1" w:rsidRPr="000444D1" w14:paraId="6198EB58" w14:textId="77777777">
        <w:trPr>
          <w:tblCellSpacing w:w="15" w:type="dxa"/>
        </w:trPr>
        <w:tc>
          <w:tcPr>
            <w:tcW w:w="0" w:type="auto"/>
            <w:vAlign w:val="center"/>
            <w:hideMark/>
          </w:tcPr>
          <w:p w14:paraId="3B33529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Sesión</w:t>
            </w:r>
          </w:p>
        </w:tc>
        <w:tc>
          <w:tcPr>
            <w:tcW w:w="0" w:type="auto"/>
            <w:vAlign w:val="center"/>
            <w:hideMark/>
          </w:tcPr>
          <w:p w14:paraId="3AF4EF9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 de acceso de vida corta y token de refresco con rotación y detección de reutilización</w:t>
            </w:r>
          </w:p>
        </w:tc>
      </w:tr>
    </w:tbl>
    <w:p w14:paraId="4289673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reautenticación reforzada no se implementa en el IdP de forma aislada: el BFF la solicita cuando la operación lo requiere, y quien determina ese requisito es la política de D4, no el canal. La razón es que el umbral es una regla de negocio y debe residir donde residen las reglas de negocio, no en la capa de presentación ni en el borde.</w:t>
      </w:r>
    </w:p>
    <w:p w14:paraId="2C4A4197"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14.3 Autenticación y autorización de terceros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7765"/>
      </w:tblGrid>
      <w:tr w:rsidR="000444D1" w:rsidRPr="000444D1" w14:paraId="19DC7DF3" w14:textId="77777777">
        <w:trPr>
          <w:tblHeader/>
          <w:tblCellSpacing w:w="15" w:type="dxa"/>
        </w:trPr>
        <w:tc>
          <w:tcPr>
            <w:tcW w:w="0" w:type="auto"/>
            <w:vAlign w:val="center"/>
            <w:hideMark/>
          </w:tcPr>
          <w:p w14:paraId="37C2FAB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Aspecto</w:t>
            </w:r>
          </w:p>
        </w:tc>
        <w:tc>
          <w:tcPr>
            <w:tcW w:w="0" w:type="auto"/>
            <w:vAlign w:val="center"/>
            <w:hideMark/>
          </w:tcPr>
          <w:p w14:paraId="4E186B6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Decisión</w:t>
            </w:r>
          </w:p>
        </w:tc>
      </w:tr>
      <w:tr w:rsidR="000444D1" w:rsidRPr="000444D1" w14:paraId="1CC47801" w14:textId="77777777">
        <w:trPr>
          <w:tblCellSpacing w:w="15" w:type="dxa"/>
        </w:trPr>
        <w:tc>
          <w:tcPr>
            <w:tcW w:w="0" w:type="auto"/>
            <w:vAlign w:val="center"/>
            <w:hideMark/>
          </w:tcPr>
          <w:p w14:paraId="3AD8839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Transporte</w:t>
            </w:r>
          </w:p>
        </w:tc>
        <w:tc>
          <w:tcPr>
            <w:tcW w:w="0" w:type="auto"/>
            <w:vAlign w:val="center"/>
            <w:hideMark/>
          </w:tcPr>
          <w:p w14:paraId="1F3DB1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mTLS obligatorio; el certificado del TPP identifica a la entidad</w:t>
            </w:r>
          </w:p>
        </w:tc>
      </w:tr>
      <w:tr w:rsidR="000444D1" w:rsidRPr="000444D1" w14:paraId="122D779D" w14:textId="77777777">
        <w:trPr>
          <w:tblCellSpacing w:w="15" w:type="dxa"/>
        </w:trPr>
        <w:tc>
          <w:tcPr>
            <w:tcW w:w="0" w:type="auto"/>
            <w:vAlign w:val="center"/>
            <w:hideMark/>
          </w:tcPr>
          <w:p w14:paraId="383C7C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w:t>
            </w:r>
          </w:p>
        </w:tc>
        <w:tc>
          <w:tcPr>
            <w:tcW w:w="0" w:type="auto"/>
            <w:vAlign w:val="center"/>
            <w:hideMark/>
          </w:tcPr>
          <w:p w14:paraId="038EA3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OAuth 2.0 vinculado al certificado: un token robado es inutilizable sin la clave privada asociada</w:t>
            </w:r>
          </w:p>
        </w:tc>
      </w:tr>
      <w:tr w:rsidR="000444D1" w:rsidRPr="000444D1" w14:paraId="5AC5A84B" w14:textId="77777777">
        <w:trPr>
          <w:tblCellSpacing w:w="15" w:type="dxa"/>
        </w:trPr>
        <w:tc>
          <w:tcPr>
            <w:tcW w:w="0" w:type="auto"/>
            <w:vAlign w:val="center"/>
            <w:hideMark/>
          </w:tcPr>
          <w:p w14:paraId="75527A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Alcances</w:t>
            </w:r>
          </w:p>
        </w:tc>
        <w:tc>
          <w:tcPr>
            <w:tcW w:w="0" w:type="auto"/>
            <w:vAlign w:val="center"/>
            <w:hideMark/>
          </w:tcPr>
          <w:p w14:paraId="78366B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Granulares por operación (</w:t>
            </w:r>
            <w:r w:rsidRPr="000444D1">
              <w:rPr>
                <w:rFonts w:ascii="Courier New" w:eastAsia="Times New Roman" w:hAnsi="Courier New" w:cs="Courier New"/>
                <w:kern w:val="0"/>
                <w:sz w:val="20"/>
                <w:szCs w:val="20"/>
                <w14:ligatures w14:val="none"/>
              </w:rPr>
              <w:t>cuentas.saldos.lectura</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movimientos.lectura</w:t>
            </w:r>
            <w:r w:rsidRPr="000444D1">
              <w:rPr>
                <w:rFonts w:ascii="Times New Roman" w:eastAsia="Times New Roman" w:hAnsi="Times New Roman" w:cs="Times New Roman"/>
                <w:kern w:val="0"/>
                <w14:ligatures w14:val="none"/>
              </w:rPr>
              <w:t>), nunca un alcance global</w:t>
            </w:r>
          </w:p>
        </w:tc>
      </w:tr>
      <w:tr w:rsidR="000444D1" w:rsidRPr="000444D1" w14:paraId="547922CF" w14:textId="77777777">
        <w:trPr>
          <w:tblCellSpacing w:w="15" w:type="dxa"/>
        </w:trPr>
        <w:tc>
          <w:tcPr>
            <w:tcW w:w="0" w:type="auto"/>
            <w:vAlign w:val="center"/>
            <w:hideMark/>
          </w:tcPr>
          <w:p w14:paraId="6BD62D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w:t>
            </w:r>
          </w:p>
        </w:tc>
        <w:tc>
          <w:tcPr>
            <w:tcW w:w="0" w:type="auto"/>
            <w:vAlign w:val="center"/>
            <w:hideMark/>
          </w:tcPr>
          <w:p w14:paraId="128A08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Verificado contra D7 </w:t>
            </w:r>
            <w:r w:rsidRPr="000444D1">
              <w:rPr>
                <w:rFonts w:ascii="Times New Roman" w:eastAsia="Times New Roman" w:hAnsi="Times New Roman" w:cs="Times New Roman"/>
                <w:b/>
                <w:bCs/>
                <w:kern w:val="0"/>
                <w14:ligatures w14:val="none"/>
              </w:rPr>
              <w:t>en cada petición</w:t>
            </w:r>
            <w:r w:rsidRPr="000444D1">
              <w:rPr>
                <w:rFonts w:ascii="Times New Roman" w:eastAsia="Times New Roman" w:hAnsi="Times New Roman" w:cs="Times New Roman"/>
                <w:kern w:val="0"/>
                <w14:ligatures w14:val="none"/>
              </w:rPr>
              <w:t>, no solo al emitir el token</w:t>
            </w:r>
          </w:p>
        </w:tc>
      </w:tr>
      <w:tr w:rsidR="000444D1" w:rsidRPr="000444D1" w14:paraId="42AB80F8" w14:textId="77777777">
        <w:trPr>
          <w:tblCellSpacing w:w="15" w:type="dxa"/>
        </w:trPr>
        <w:tc>
          <w:tcPr>
            <w:tcW w:w="0" w:type="auto"/>
            <w:vAlign w:val="center"/>
            <w:hideMark/>
          </w:tcPr>
          <w:p w14:paraId="46394C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w:t>
            </w:r>
          </w:p>
        </w:tc>
        <w:tc>
          <w:tcPr>
            <w:tcW w:w="0" w:type="auto"/>
            <w:vAlign w:val="center"/>
            <w:hideMark/>
          </w:tcPr>
          <w:p w14:paraId="1F4204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acceso queda en D8 con identificación del TPP, el consentimiento aplicado y el recurso accedido</w:t>
            </w:r>
          </w:p>
        </w:tc>
      </w:tr>
    </w:tbl>
    <w:p w14:paraId="487F8E1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Por qué el consentimiento se verifica en cada petición y no al emitir el token.</w:t>
      </w:r>
      <w:r w:rsidRPr="000444D1">
        <w:rPr>
          <w:rFonts w:ascii="Times New Roman" w:eastAsia="Times New Roman" w:hAnsi="Times New Roman" w:cs="Times New Roman"/>
          <w:kern w:val="0"/>
          <w14:ligatures w14:val="none"/>
        </w:rPr>
        <w:t xml:space="preserve"> Un token con vigencia de minutos u horas seguiría siendo válido después de que el titular revoque su consentimiento. Si la verificación ocurriera solo en la emisión, existiría una ventana en la que un tercero accede legítimamente a datos que el titular ya no autoriza. Esa ventana es inaceptable, y el costo de la verificación por petición —una llamada a D7, con caché invalidada por el evento </w:t>
      </w:r>
      <w:r w:rsidRPr="000444D1">
        <w:rPr>
          <w:rFonts w:ascii="Courier New" w:eastAsia="Times New Roman" w:hAnsi="Courier New" w:cs="Courier New"/>
          <w:kern w:val="0"/>
          <w:sz w:val="20"/>
          <w:szCs w:val="20"/>
          <w14:ligatures w14:val="none"/>
        </w:rPr>
        <w:t>consentimiento.revocado</w:t>
      </w:r>
      <w:r w:rsidRPr="000444D1">
        <w:rPr>
          <w:rFonts w:ascii="Times New Roman" w:eastAsia="Times New Roman" w:hAnsi="Times New Roman" w:cs="Times New Roman"/>
          <w:kern w:val="0"/>
          <w14:ligatures w14:val="none"/>
        </w:rPr>
        <w:t>— es asumible.</w:t>
      </w:r>
    </w:p>
    <w:p w14:paraId="607C27E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14.4 Identidad de cargas de trabajo</w:t>
      </w:r>
    </w:p>
    <w:p w14:paraId="1613D7A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comunicación entre servicios no usa claves compartidas ni credenciales estáticas. Cada carga de trabajo recibe una identidad criptográfica con certificados de corta duración, emitidos y rotados automáticamente por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6399"/>
      </w:tblGrid>
      <w:tr w:rsidR="000444D1" w:rsidRPr="000444D1" w14:paraId="7212288A" w14:textId="77777777">
        <w:trPr>
          <w:tblHeader/>
          <w:tblCellSpacing w:w="15" w:type="dxa"/>
        </w:trPr>
        <w:tc>
          <w:tcPr>
            <w:tcW w:w="0" w:type="auto"/>
            <w:vAlign w:val="center"/>
            <w:hideMark/>
          </w:tcPr>
          <w:p w14:paraId="124522D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Propiedad</w:t>
            </w:r>
          </w:p>
        </w:tc>
        <w:tc>
          <w:tcPr>
            <w:tcW w:w="0" w:type="auto"/>
            <w:vAlign w:val="center"/>
            <w:hideMark/>
          </w:tcPr>
          <w:p w14:paraId="0156980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Efecto</w:t>
            </w:r>
          </w:p>
        </w:tc>
      </w:tr>
      <w:tr w:rsidR="000444D1" w:rsidRPr="000444D1" w14:paraId="5FB74673" w14:textId="77777777">
        <w:trPr>
          <w:tblCellSpacing w:w="15" w:type="dxa"/>
        </w:trPr>
        <w:tc>
          <w:tcPr>
            <w:tcW w:w="0" w:type="auto"/>
            <w:vAlign w:val="center"/>
            <w:hideMark/>
          </w:tcPr>
          <w:p w14:paraId="3DAA2F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Autenticación mutua entre servicios</w:t>
            </w:r>
          </w:p>
        </w:tc>
        <w:tc>
          <w:tcPr>
            <w:tcW w:w="0" w:type="auto"/>
            <w:vAlign w:val="center"/>
            <w:hideMark/>
          </w:tcPr>
          <w:p w14:paraId="44F0AA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servicio comprometido no puede suplantar a otro</w:t>
            </w:r>
          </w:p>
        </w:tc>
      </w:tr>
      <w:tr w:rsidR="000444D1" w:rsidRPr="000444D1" w14:paraId="3A789C80" w14:textId="77777777">
        <w:trPr>
          <w:tblCellSpacing w:w="15" w:type="dxa"/>
        </w:trPr>
        <w:tc>
          <w:tcPr>
            <w:tcW w:w="0" w:type="auto"/>
            <w:vAlign w:val="center"/>
            <w:hideMark/>
          </w:tcPr>
          <w:p w14:paraId="1516924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Certificados de minutos</w:t>
            </w:r>
          </w:p>
        </w:tc>
        <w:tc>
          <w:tcPr>
            <w:tcW w:w="0" w:type="auto"/>
            <w:vAlign w:val="center"/>
            <w:hideMark/>
          </w:tcPr>
          <w:p w14:paraId="1DF77C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credencial exfiltrada caduca antes de ser útil</w:t>
            </w:r>
          </w:p>
        </w:tc>
      </w:tr>
      <w:tr w:rsidR="000444D1" w:rsidRPr="000444D1" w14:paraId="6D8B0FF0" w14:textId="77777777">
        <w:trPr>
          <w:tblCellSpacing w:w="15" w:type="dxa"/>
        </w:trPr>
        <w:tc>
          <w:tcPr>
            <w:tcW w:w="0" w:type="auto"/>
            <w:vAlign w:val="center"/>
            <w:hideMark/>
          </w:tcPr>
          <w:p w14:paraId="4018A5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Autorización por identidad de servicio</w:t>
            </w:r>
          </w:p>
        </w:tc>
        <w:tc>
          <w:tcPr>
            <w:tcW w:w="0" w:type="auto"/>
            <w:vAlign w:val="center"/>
            <w:hideMark/>
          </w:tcPr>
          <w:p w14:paraId="0C8F39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declara explícitamente qué servicio puede invocar a cuál; el resto se deniega por omisión</w:t>
            </w:r>
          </w:p>
        </w:tc>
      </w:tr>
      <w:tr w:rsidR="000444D1" w:rsidRPr="000444D1" w14:paraId="3B51AB0A" w14:textId="77777777">
        <w:trPr>
          <w:tblCellSpacing w:w="15" w:type="dxa"/>
        </w:trPr>
        <w:tc>
          <w:tcPr>
            <w:tcW w:w="0" w:type="auto"/>
            <w:vAlign w:val="center"/>
            <w:hideMark/>
          </w:tcPr>
          <w:p w14:paraId="0AEF60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secretos en configuración</w:t>
            </w:r>
          </w:p>
        </w:tc>
        <w:tc>
          <w:tcPr>
            <w:tcW w:w="0" w:type="auto"/>
            <w:vAlign w:val="center"/>
            <w:hideMark/>
          </w:tcPr>
          <w:p w14:paraId="1C6720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Elimina la clase de incidente más común: credenciales en repositorios o variables de entorno</w:t>
            </w:r>
          </w:p>
        </w:tc>
      </w:tr>
    </w:tbl>
    <w:p w14:paraId="471B5FE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política de autorización entre servicios es restrictiva por defecto y se deriva directamente del inventario de relaciones de la sección 7.6: si una relación no figura allí, no está permitida. Esto convierte el diagrama de contenedores en una fuente verificable de la política de red, en lugar de un documento que se desactualiza frente a la configuración real.</w:t>
      </w:r>
    </w:p>
    <w:p w14:paraId="003AB60D"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14.5 Personas operadoras y acceso a datos productivos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3271"/>
        <w:gridCol w:w="3856"/>
      </w:tblGrid>
      <w:tr w:rsidR="000444D1" w:rsidRPr="000444D1" w14:paraId="38A386F5" w14:textId="77777777">
        <w:trPr>
          <w:tblHeader/>
          <w:tblCellSpacing w:w="15" w:type="dxa"/>
        </w:trPr>
        <w:tc>
          <w:tcPr>
            <w:tcW w:w="0" w:type="auto"/>
            <w:vAlign w:val="center"/>
            <w:hideMark/>
          </w:tcPr>
          <w:p w14:paraId="6766CCB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Perfil</w:t>
            </w:r>
          </w:p>
        </w:tc>
        <w:tc>
          <w:tcPr>
            <w:tcW w:w="0" w:type="auto"/>
            <w:vAlign w:val="center"/>
            <w:hideMark/>
          </w:tcPr>
          <w:p w14:paraId="6DC95B7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Acceso concedido</w:t>
            </w:r>
          </w:p>
        </w:tc>
        <w:tc>
          <w:tcPr>
            <w:tcW w:w="0" w:type="auto"/>
            <w:vAlign w:val="center"/>
            <w:hideMark/>
          </w:tcPr>
          <w:p w14:paraId="60C675D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Control</w:t>
            </w:r>
          </w:p>
        </w:tc>
      </w:tr>
      <w:tr w:rsidR="000444D1" w:rsidRPr="000444D1" w14:paraId="10BAE91B" w14:textId="77777777">
        <w:trPr>
          <w:tblCellSpacing w:w="15" w:type="dxa"/>
        </w:trPr>
        <w:tc>
          <w:tcPr>
            <w:tcW w:w="0" w:type="auto"/>
            <w:vAlign w:val="center"/>
            <w:hideMark/>
          </w:tcPr>
          <w:p w14:paraId="747D34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Analista de fraude</w:t>
            </w:r>
          </w:p>
        </w:tc>
        <w:tc>
          <w:tcPr>
            <w:tcW w:w="0" w:type="auto"/>
            <w:vAlign w:val="center"/>
            <w:hideMark/>
          </w:tcPr>
          <w:p w14:paraId="024B68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Casos de operaciones marcadas, con datos mínimos necesarios</w:t>
            </w:r>
          </w:p>
        </w:tc>
        <w:tc>
          <w:tcPr>
            <w:tcW w:w="0" w:type="auto"/>
            <w:vAlign w:val="center"/>
            <w:hideMark/>
          </w:tcPr>
          <w:p w14:paraId="21F009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registrado en D8; sin acceso a la base de D4</w:t>
            </w:r>
          </w:p>
        </w:tc>
      </w:tr>
      <w:tr w:rsidR="000444D1" w:rsidRPr="000444D1" w14:paraId="77E60FFE" w14:textId="77777777">
        <w:trPr>
          <w:tblCellSpacing w:w="15" w:type="dxa"/>
        </w:trPr>
        <w:tc>
          <w:tcPr>
            <w:tcW w:w="0" w:type="auto"/>
            <w:vAlign w:val="center"/>
            <w:hideMark/>
          </w:tcPr>
          <w:p w14:paraId="6D8D66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Analista de riesgos y cumplimiento</w:t>
            </w:r>
          </w:p>
        </w:tc>
        <w:tc>
          <w:tcPr>
            <w:tcW w:w="0" w:type="auto"/>
            <w:vAlign w:val="center"/>
            <w:hideMark/>
          </w:tcPr>
          <w:p w14:paraId="64B1B1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trazas de auditoría y reportería agregada</w:t>
            </w:r>
          </w:p>
        </w:tc>
        <w:tc>
          <w:tcPr>
            <w:tcW w:w="0" w:type="auto"/>
            <w:vAlign w:val="center"/>
            <w:hideMark/>
          </w:tcPr>
          <w:p w14:paraId="0FF9A9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Solo lectura sobre D8</w:t>
            </w:r>
          </w:p>
        </w:tc>
      </w:tr>
      <w:tr w:rsidR="000444D1" w:rsidRPr="000444D1" w14:paraId="47CD3F80" w14:textId="77777777">
        <w:trPr>
          <w:tblCellSpacing w:w="15" w:type="dxa"/>
        </w:trPr>
        <w:tc>
          <w:tcPr>
            <w:tcW w:w="0" w:type="auto"/>
            <w:vAlign w:val="center"/>
            <w:hideMark/>
          </w:tcPr>
          <w:p w14:paraId="500069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Soporte de primera línea</w:t>
            </w:r>
          </w:p>
        </w:tc>
        <w:tc>
          <w:tcPr>
            <w:tcW w:w="0" w:type="auto"/>
            <w:vAlign w:val="center"/>
            <w:hideMark/>
          </w:tcPr>
          <w:p w14:paraId="3ACCDE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Vista de cliente con datos enmascarados por omisión</w:t>
            </w:r>
          </w:p>
        </w:tc>
        <w:tc>
          <w:tcPr>
            <w:tcW w:w="0" w:type="auto"/>
            <w:vAlign w:val="center"/>
            <w:hideMark/>
          </w:tcPr>
          <w:p w14:paraId="6084200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revelación de un dato enmascarado requiere justificación y queda registrada</w:t>
            </w:r>
          </w:p>
        </w:tc>
      </w:tr>
      <w:tr w:rsidR="000444D1" w:rsidRPr="000444D1" w14:paraId="1F1497A3" w14:textId="77777777">
        <w:trPr>
          <w:tblCellSpacing w:w="15" w:type="dxa"/>
        </w:trPr>
        <w:tc>
          <w:tcPr>
            <w:tcW w:w="0" w:type="auto"/>
            <w:vAlign w:val="center"/>
            <w:hideMark/>
          </w:tcPr>
          <w:p w14:paraId="2809E99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Personal técnico</w:t>
            </w:r>
          </w:p>
        </w:tc>
        <w:tc>
          <w:tcPr>
            <w:tcW w:w="0" w:type="auto"/>
            <w:vAlign w:val="center"/>
            <w:hideMark/>
          </w:tcPr>
          <w:p w14:paraId="1F541D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acceso a datos productivos</w:t>
            </w:r>
          </w:p>
        </w:tc>
        <w:tc>
          <w:tcPr>
            <w:tcW w:w="0" w:type="auto"/>
            <w:vAlign w:val="center"/>
            <w:hideMark/>
          </w:tcPr>
          <w:p w14:paraId="78F30B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Separación de funciones (control C-19)</w:t>
            </w:r>
          </w:p>
        </w:tc>
      </w:tr>
    </w:tbl>
    <w:p w14:paraId="740A184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principio operativo es que </w:t>
      </w:r>
      <w:r w:rsidRPr="000444D1">
        <w:rPr>
          <w:rFonts w:ascii="Times New Roman" w:eastAsia="Times New Roman" w:hAnsi="Times New Roman" w:cs="Times New Roman"/>
          <w:b/>
          <w:bCs/>
          <w:kern w:val="0"/>
          <w14:ligatures w14:val="none"/>
        </w:rPr>
        <w:t>ninguna persona accede a un almacén directamente</w:t>
      </w:r>
      <w:r w:rsidRPr="000444D1">
        <w:rPr>
          <w:rFonts w:ascii="Times New Roman" w:eastAsia="Times New Roman" w:hAnsi="Times New Roman" w:cs="Times New Roman"/>
          <w:kern w:val="0"/>
          <w14:ligatures w14:val="none"/>
        </w:rPr>
        <w:t>: el acceso ocurre a través de interfaces que aplican enmascaramiento y dejan traza. Un acceso directo a base de datos no puede auditarse por titular ni por finalidad, que es lo que la LOPDP exige acreditar.</w:t>
      </w:r>
    </w:p>
    <w:p w14:paraId="42539592"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14.6 Modelo de autorización: dónde se decide qué</w:t>
      </w:r>
    </w:p>
    <w:p w14:paraId="1B9DDA1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autorización se resuelve en tres niveles distintos, y la separación entre ellos es deliberada. Concentrarlos en un único punto —típicamente el gateway— produciría el anti-patrón de lógica de negocio en el borde.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2050"/>
        <w:gridCol w:w="2017"/>
        <w:gridCol w:w="3590"/>
      </w:tblGrid>
      <w:tr w:rsidR="000444D1" w:rsidRPr="000444D1" w14:paraId="26517A8D" w14:textId="77777777">
        <w:trPr>
          <w:tblHeader/>
          <w:tblCellSpacing w:w="15" w:type="dxa"/>
        </w:trPr>
        <w:tc>
          <w:tcPr>
            <w:tcW w:w="0" w:type="auto"/>
            <w:vAlign w:val="center"/>
            <w:hideMark/>
          </w:tcPr>
          <w:p w14:paraId="11C41B8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Nivel</w:t>
            </w:r>
          </w:p>
        </w:tc>
        <w:tc>
          <w:tcPr>
            <w:tcW w:w="0" w:type="auto"/>
            <w:vAlign w:val="center"/>
            <w:hideMark/>
          </w:tcPr>
          <w:p w14:paraId="2B60602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Pregunta que responde</w:t>
            </w:r>
          </w:p>
        </w:tc>
        <w:tc>
          <w:tcPr>
            <w:tcW w:w="0" w:type="auto"/>
            <w:vAlign w:val="center"/>
            <w:hideMark/>
          </w:tcPr>
          <w:p w14:paraId="2B55CA2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Dónde se decide</w:t>
            </w:r>
          </w:p>
        </w:tc>
        <w:tc>
          <w:tcPr>
            <w:tcW w:w="0" w:type="auto"/>
            <w:vAlign w:val="center"/>
            <w:hideMark/>
          </w:tcPr>
          <w:p w14:paraId="1538278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Ejemplo</w:t>
            </w:r>
          </w:p>
        </w:tc>
      </w:tr>
      <w:tr w:rsidR="000444D1" w:rsidRPr="000444D1" w14:paraId="3FE0B4FA" w14:textId="77777777">
        <w:trPr>
          <w:tblCellSpacing w:w="15" w:type="dxa"/>
        </w:trPr>
        <w:tc>
          <w:tcPr>
            <w:tcW w:w="0" w:type="auto"/>
            <w:vAlign w:val="center"/>
            <w:hideMark/>
          </w:tcPr>
          <w:p w14:paraId="1ED74D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Autenticación y alcance</w:t>
            </w:r>
          </w:p>
        </w:tc>
        <w:tc>
          <w:tcPr>
            <w:tcW w:w="0" w:type="auto"/>
            <w:vAlign w:val="center"/>
            <w:hideMark/>
          </w:tcPr>
          <w:p w14:paraId="44C56F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¿Quién es y qué alcance tiene su credencial?</w:t>
            </w:r>
          </w:p>
        </w:tc>
        <w:tc>
          <w:tcPr>
            <w:tcW w:w="0" w:type="auto"/>
            <w:vAlign w:val="center"/>
            <w:hideMark/>
          </w:tcPr>
          <w:p w14:paraId="655B59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interno o externo, contra el IdP</w:t>
            </w:r>
          </w:p>
        </w:tc>
        <w:tc>
          <w:tcPr>
            <w:tcW w:w="0" w:type="auto"/>
            <w:vAlign w:val="center"/>
            <w:hideMark/>
          </w:tcPr>
          <w:p w14:paraId="7C901E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token es válido y contiene el alcance </w:t>
            </w:r>
            <w:r w:rsidRPr="000444D1">
              <w:rPr>
                <w:rFonts w:ascii="Courier New" w:eastAsia="Times New Roman" w:hAnsi="Courier New" w:cs="Courier New"/>
                <w:kern w:val="0"/>
                <w:sz w:val="20"/>
                <w:szCs w:val="20"/>
                <w14:ligatures w14:val="none"/>
              </w:rPr>
              <w:t>movimientos.lectura</w:t>
            </w:r>
          </w:p>
        </w:tc>
      </w:tr>
      <w:tr w:rsidR="000444D1" w:rsidRPr="000444D1" w14:paraId="1C7817B6" w14:textId="77777777">
        <w:trPr>
          <w:tblCellSpacing w:w="15" w:type="dxa"/>
        </w:trPr>
        <w:tc>
          <w:tcPr>
            <w:tcW w:w="0" w:type="auto"/>
            <w:vAlign w:val="center"/>
            <w:hideMark/>
          </w:tcPr>
          <w:p w14:paraId="2A8B9E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Entitlement</w:t>
            </w:r>
          </w:p>
        </w:tc>
        <w:tc>
          <w:tcPr>
            <w:tcW w:w="0" w:type="auto"/>
            <w:vAlign w:val="center"/>
            <w:hideMark/>
          </w:tcPr>
          <w:p w14:paraId="4945EF9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¿Puede este sujeto operar sobre este recurso?</w:t>
            </w:r>
          </w:p>
        </w:tc>
        <w:tc>
          <w:tcPr>
            <w:tcW w:w="0" w:type="auto"/>
            <w:vAlign w:val="center"/>
            <w:hideMark/>
          </w:tcPr>
          <w:p w14:paraId="1B05E7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D9 Entitlements</w:t>
            </w:r>
            <w:r w:rsidRPr="000444D1">
              <w:rPr>
                <w:rFonts w:ascii="Times New Roman" w:eastAsia="Times New Roman" w:hAnsi="Times New Roman" w:cs="Times New Roman"/>
                <w:kern w:val="0"/>
                <w14:ligatures w14:val="none"/>
              </w:rPr>
              <w:t>, consultado por el gateway</w:t>
            </w:r>
          </w:p>
        </w:tc>
        <w:tc>
          <w:tcPr>
            <w:tcW w:w="0" w:type="auto"/>
            <w:vAlign w:val="center"/>
            <w:hideMark/>
          </w:tcPr>
          <w:p w14:paraId="4C816E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cliente es titular o apoderado de la cuenta solicitada</w:t>
            </w:r>
          </w:p>
        </w:tc>
      </w:tr>
      <w:tr w:rsidR="000444D1" w:rsidRPr="000444D1" w14:paraId="0CC0DD9A" w14:textId="77777777">
        <w:trPr>
          <w:tblCellSpacing w:w="15" w:type="dxa"/>
        </w:trPr>
        <w:tc>
          <w:tcPr>
            <w:tcW w:w="0" w:type="auto"/>
            <w:vAlign w:val="center"/>
            <w:hideMark/>
          </w:tcPr>
          <w:p w14:paraId="46326F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Regla de negocio</w:t>
            </w:r>
          </w:p>
        </w:tc>
        <w:tc>
          <w:tcPr>
            <w:tcW w:w="0" w:type="auto"/>
            <w:vAlign w:val="center"/>
            <w:hideMark/>
          </w:tcPr>
          <w:p w14:paraId="17E64E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 admisible esta operación en estas condiciones?</w:t>
            </w:r>
          </w:p>
        </w:tc>
        <w:tc>
          <w:tcPr>
            <w:tcW w:w="0" w:type="auto"/>
            <w:vAlign w:val="center"/>
            <w:hideMark/>
          </w:tcPr>
          <w:p w14:paraId="7966DB2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Servicio de dominio propietario</w:t>
            </w:r>
          </w:p>
        </w:tc>
        <w:tc>
          <w:tcPr>
            <w:tcW w:w="0" w:type="auto"/>
            <w:vAlign w:val="center"/>
            <w:hideMark/>
          </w:tcPr>
          <w:p w14:paraId="79F37A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monto supera el límite diario; la cuenta está bloqueada; el producto no admite débito</w:t>
            </w:r>
          </w:p>
        </w:tc>
      </w:tr>
    </w:tbl>
    <w:p w14:paraId="5E02134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gateway pregunta pero no decide reglas de negocio: consulta a D9 y actúa según su respuesta, del mismo modo que consulta a D7 para el consentimiento. La distinción entre </w:t>
      </w:r>
      <w:r w:rsidRPr="000444D1">
        <w:rPr>
          <w:rFonts w:ascii="Times New Roman" w:eastAsia="Times New Roman" w:hAnsi="Times New Roman" w:cs="Times New Roman"/>
          <w:b/>
          <w:bCs/>
          <w:kern w:val="0"/>
          <w14:ligatures w14:val="none"/>
        </w:rPr>
        <w:t>aplicar</w:t>
      </w:r>
      <w:r w:rsidRPr="000444D1">
        <w:rPr>
          <w:rFonts w:ascii="Times New Roman" w:eastAsia="Times New Roman" w:hAnsi="Times New Roman" w:cs="Times New Roman"/>
          <w:kern w:val="0"/>
          <w14:ligatures w14:val="none"/>
        </w:rPr>
        <w:t xml:space="preserve"> una decisión y </w:t>
      </w:r>
      <w:r w:rsidRPr="000444D1">
        <w:rPr>
          <w:rFonts w:ascii="Times New Roman" w:eastAsia="Times New Roman" w:hAnsi="Times New Roman" w:cs="Times New Roman"/>
          <w:b/>
          <w:bCs/>
          <w:kern w:val="0"/>
          <w14:ligatures w14:val="none"/>
        </w:rPr>
        <w:t>tomarla</w:t>
      </w:r>
      <w:r w:rsidRPr="000444D1">
        <w:rPr>
          <w:rFonts w:ascii="Times New Roman" w:eastAsia="Times New Roman" w:hAnsi="Times New Roman" w:cs="Times New Roman"/>
          <w:kern w:val="0"/>
          <w14:ligatures w14:val="none"/>
        </w:rPr>
        <w:t xml:space="preserve"> es lo que mantiene el borde libre de lógica de dominio y permite que las reglas evolucionen sin desplegar el gateway.</w:t>
      </w:r>
    </w:p>
    <w:p w14:paraId="10AA0BFF"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14.7 Propagación de identidad a través de la frontera asíncrona</w:t>
      </w:r>
    </w:p>
    <w:p w14:paraId="669AE58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flujo que empieza con un cliente autenticado y termina en cuatro consumidores de eventos plantea la pregunta de qué ocurre con la identidad al cruzar el bus.</w:t>
      </w:r>
    </w:p>
    <w:p w14:paraId="5F63D56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Decisión: la identidad del actor no viaja en el payload del evento.</w:t>
      </w:r>
      <w:r w:rsidRPr="000444D1">
        <w:rPr>
          <w:rFonts w:ascii="Times New Roman" w:eastAsia="Times New Roman" w:hAnsi="Times New Roman" w:cs="Times New Roman"/>
          <w:kern w:val="0"/>
          <w14:ligatures w14:val="none"/>
        </w:rPr>
        <w:t xml:space="preserve"> Los eventos transportan identificadores de cliente afectado y de correlación, no credenciales ni identidad del sujeto que originó la operación.</w:t>
      </w:r>
    </w:p>
    <w:p w14:paraId="13FF22E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motivo es de seguridad, no de simplicidad. Si un evento transportara la identidad del actor, existiría la tentación —y la posibilidad técnica— de que un consumidor tomara decisiones de autorización basándose en ella. Eso reintroduciría en la capa asíncrona una responsabilidad que ya se resolvió en el borde, y crearía un delegado confundido: un servicio que actúa con la autoridad de un usuario cuya credencial nunca validó. </w:t>
      </w:r>
      <w:r w:rsidRPr="000444D1">
        <w:rPr>
          <w:rFonts w:ascii="Times New Roman" w:eastAsia="Times New Roman" w:hAnsi="Times New Roman" w:cs="Times New Roman"/>
          <w:b/>
          <w:bCs/>
          <w:kern w:val="0"/>
          <w14:ligatures w14:val="none"/>
        </w:rPr>
        <w:t>La autorización ocurre una vez, de forma síncrona, antes de que el hecho se produzca.</w:t>
      </w:r>
      <w:r w:rsidRPr="000444D1">
        <w:rPr>
          <w:rFonts w:ascii="Times New Roman" w:eastAsia="Times New Roman" w:hAnsi="Times New Roman" w:cs="Times New Roman"/>
          <w:kern w:val="0"/>
          <w14:ligatures w14:val="none"/>
        </w:rPr>
        <w:t xml:space="preserve"> Un evento describe algo que ya sucedió y fue autorizado; no es una solicitud que deba volver a autorizarse.</w:t>
      </w:r>
    </w:p>
    <w:p w14:paraId="3DEA676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atribución, que sí es necesaria para auditoría, se resuelve por correlación: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3"/>
        <w:gridCol w:w="5937"/>
      </w:tblGrid>
      <w:tr w:rsidR="000444D1" w:rsidRPr="000444D1" w14:paraId="328854AA" w14:textId="77777777">
        <w:trPr>
          <w:tblHeader/>
          <w:tblCellSpacing w:w="15" w:type="dxa"/>
        </w:trPr>
        <w:tc>
          <w:tcPr>
            <w:tcW w:w="0" w:type="auto"/>
            <w:vAlign w:val="center"/>
            <w:hideMark/>
          </w:tcPr>
          <w:p w14:paraId="648EE8A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Necesidad</w:t>
            </w:r>
          </w:p>
        </w:tc>
        <w:tc>
          <w:tcPr>
            <w:tcW w:w="0" w:type="auto"/>
            <w:vAlign w:val="center"/>
            <w:hideMark/>
          </w:tcPr>
          <w:p w14:paraId="5980855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Cómo se satisface</w:t>
            </w:r>
          </w:p>
        </w:tc>
      </w:tr>
      <w:tr w:rsidR="000444D1" w:rsidRPr="000444D1" w14:paraId="57F40904" w14:textId="77777777">
        <w:trPr>
          <w:tblCellSpacing w:w="15" w:type="dxa"/>
        </w:trPr>
        <w:tc>
          <w:tcPr>
            <w:tcW w:w="0" w:type="auto"/>
            <w:vAlign w:val="center"/>
            <w:hideMark/>
          </w:tcPr>
          <w:p w14:paraId="3324D3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Saber quién originó una operación</w:t>
            </w:r>
          </w:p>
        </w:tc>
        <w:tc>
          <w:tcPr>
            <w:tcW w:w="0" w:type="auto"/>
            <w:vAlign w:val="center"/>
            <w:hideMark/>
          </w:tcPr>
          <w:p w14:paraId="26D1C1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idCorrelacion</w:t>
            </w:r>
            <w:r w:rsidRPr="000444D1">
              <w:rPr>
                <w:rFonts w:ascii="Times New Roman" w:eastAsia="Times New Roman" w:hAnsi="Times New Roman" w:cs="Times New Roman"/>
                <w:kern w:val="0"/>
                <w14:ligatures w14:val="none"/>
              </w:rPr>
              <w:t xml:space="preserve"> del evento enlaza con el registro de acceso que el gateway escribió en D8</w:t>
            </w:r>
          </w:p>
        </w:tc>
      </w:tr>
      <w:tr w:rsidR="000444D1" w:rsidRPr="000444D1" w14:paraId="19D189CC" w14:textId="77777777">
        <w:trPr>
          <w:tblCellSpacing w:w="15" w:type="dxa"/>
        </w:trPr>
        <w:tc>
          <w:tcPr>
            <w:tcW w:w="0" w:type="auto"/>
            <w:vAlign w:val="center"/>
            <w:hideMark/>
          </w:tcPr>
          <w:p w14:paraId="480ABE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Saber bajo qué consentimiento accedió un tercero</w:t>
            </w:r>
          </w:p>
        </w:tc>
        <w:tc>
          <w:tcPr>
            <w:tcW w:w="0" w:type="auto"/>
            <w:vAlign w:val="center"/>
            <w:hideMark/>
          </w:tcPr>
          <w:p w14:paraId="5F389C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D8, alimentado por el gateway externo (control C-18)</w:t>
            </w:r>
          </w:p>
        </w:tc>
      </w:tr>
      <w:tr w:rsidR="000444D1" w:rsidRPr="000444D1" w14:paraId="6D5B14C4" w14:textId="77777777">
        <w:trPr>
          <w:tblCellSpacing w:w="15" w:type="dxa"/>
        </w:trPr>
        <w:tc>
          <w:tcPr>
            <w:tcW w:w="0" w:type="auto"/>
            <w:vAlign w:val="center"/>
            <w:hideMark/>
          </w:tcPr>
          <w:p w14:paraId="16A01D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Saber si una operación fue presencial o digital</w:t>
            </w:r>
          </w:p>
        </w:tc>
        <w:tc>
          <w:tcPr>
            <w:tcW w:w="0" w:type="auto"/>
            <w:vAlign w:val="center"/>
            <w:hideMark/>
          </w:tcPr>
          <w:p w14:paraId="179FED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Campo </w:t>
            </w:r>
            <w:r w:rsidRPr="000444D1">
              <w:rPr>
                <w:rFonts w:ascii="Courier New" w:eastAsia="Times New Roman" w:hAnsi="Courier New" w:cs="Courier New"/>
                <w:kern w:val="0"/>
                <w:sz w:val="20"/>
                <w:szCs w:val="20"/>
                <w14:ligatures w14:val="none"/>
              </w:rPr>
              <w:t>canalOrigen</w:t>
            </w:r>
            <w:r w:rsidRPr="000444D1">
              <w:rPr>
                <w:rFonts w:ascii="Times New Roman" w:eastAsia="Times New Roman" w:hAnsi="Times New Roman" w:cs="Times New Roman"/>
                <w:kern w:val="0"/>
                <w14:ligatures w14:val="none"/>
              </w:rPr>
              <w:t xml:space="preserve"> del evento </w:t>
            </w:r>
            <w:r w:rsidRPr="000444D1">
              <w:rPr>
                <w:rFonts w:ascii="Courier New" w:eastAsia="Times New Roman" w:hAnsi="Courier New" w:cs="Courier New"/>
                <w:kern w:val="0"/>
                <w:sz w:val="20"/>
                <w:szCs w:val="20"/>
                <w14:ligatures w14:val="none"/>
              </w:rPr>
              <w:t>cuenta.movimiento-registrado</w:t>
            </w:r>
          </w:p>
        </w:tc>
      </w:tr>
    </w:tbl>
    <w:p w14:paraId="5A38843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 la trazabilidad completa existe sin que la identidad circule por un canal donde no puede verificarse.</w:t>
      </w:r>
    </w:p>
    <w:p w14:paraId="4535D45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lastRenderedPageBreak/>
        <w:t>14.8 La identidad frente al core tradicional</w:t>
      </w:r>
    </w:p>
    <w:p w14:paraId="3D1F6EE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Este es el punto de mayor fricción del modelo, y conviene declararlo con precisión en lugar de dejarlo implícito.</w:t>
      </w:r>
    </w:p>
    <w:p w14:paraId="79EDC22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core tradicional no conoce a los clientes digitales.</w:t>
      </w:r>
      <w:r w:rsidRPr="000444D1">
        <w:rPr>
          <w:rFonts w:ascii="Times New Roman" w:eastAsia="Times New Roman" w:hAnsi="Times New Roman" w:cs="Times New Roman"/>
          <w:kern w:val="0"/>
          <w14:ligatures w14:val="none"/>
        </w:rPr>
        <w:t xml:space="preserve"> El ACL se autentica contra él con una cuenta técnica, de modo que, desde la perspectiva del core, todo el tráfico digital procede de un único usuario. Esto tiene cuatro consecuencias que el diseño asume explícitamente: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6425"/>
      </w:tblGrid>
      <w:tr w:rsidR="000444D1" w:rsidRPr="000444D1" w14:paraId="0BD5800F" w14:textId="77777777">
        <w:trPr>
          <w:tblHeader/>
          <w:tblCellSpacing w:w="15" w:type="dxa"/>
        </w:trPr>
        <w:tc>
          <w:tcPr>
            <w:tcW w:w="0" w:type="auto"/>
            <w:vAlign w:val="center"/>
            <w:hideMark/>
          </w:tcPr>
          <w:p w14:paraId="313EE54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Consecuencia</w:t>
            </w:r>
          </w:p>
        </w:tc>
        <w:tc>
          <w:tcPr>
            <w:tcW w:w="0" w:type="auto"/>
            <w:vAlign w:val="center"/>
            <w:hideMark/>
          </w:tcPr>
          <w:p w14:paraId="54EFBA9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 en el diseño</w:t>
            </w:r>
          </w:p>
        </w:tc>
      </w:tr>
      <w:tr w:rsidR="000444D1" w:rsidRPr="000444D1" w14:paraId="6B747E7B" w14:textId="77777777">
        <w:trPr>
          <w:tblCellSpacing w:w="15" w:type="dxa"/>
        </w:trPr>
        <w:tc>
          <w:tcPr>
            <w:tcW w:w="0" w:type="auto"/>
            <w:vAlign w:val="center"/>
            <w:hideMark/>
          </w:tcPr>
          <w:p w14:paraId="189E6D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auditoría del core no sirve para atribuir operaciones a clientes</w:t>
            </w:r>
          </w:p>
        </w:tc>
        <w:tc>
          <w:tcPr>
            <w:tcW w:w="0" w:type="auto"/>
            <w:vAlign w:val="center"/>
            <w:hideMark/>
          </w:tcPr>
          <w:p w14:paraId="10CB89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atribución vive en D8, no en el core. El campo </w:t>
            </w:r>
            <w:r w:rsidRPr="000444D1">
              <w:rPr>
                <w:rFonts w:ascii="Courier New" w:eastAsia="Times New Roman" w:hAnsi="Courier New" w:cs="Courier New"/>
                <w:kern w:val="0"/>
                <w:sz w:val="20"/>
                <w:szCs w:val="20"/>
                <w14:ligatures w14:val="none"/>
              </w:rPr>
              <w:t>referenciaCore</w:t>
            </w:r>
            <w:r w:rsidRPr="000444D1">
              <w:rPr>
                <w:rFonts w:ascii="Times New Roman" w:eastAsia="Times New Roman" w:hAnsi="Times New Roman" w:cs="Times New Roman"/>
                <w:kern w:val="0"/>
                <w14:ligatures w14:val="none"/>
              </w:rPr>
              <w:t xml:space="preserve"> de los eventos es el enlace entre ambos registros</w:t>
            </w:r>
          </w:p>
        </w:tc>
      </w:tr>
      <w:tr w:rsidR="000444D1" w:rsidRPr="000444D1" w14:paraId="3F6003CA" w14:textId="77777777">
        <w:trPr>
          <w:tblCellSpacing w:w="15" w:type="dxa"/>
        </w:trPr>
        <w:tc>
          <w:tcPr>
            <w:tcW w:w="0" w:type="auto"/>
            <w:vAlign w:val="center"/>
            <w:hideMark/>
          </w:tcPr>
          <w:p w14:paraId="6F2532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control de acceso por operación no puede delegarse al core</w:t>
            </w:r>
          </w:p>
        </w:tc>
        <w:tc>
          <w:tcPr>
            <w:tcW w:w="0" w:type="auto"/>
            <w:vAlign w:val="center"/>
            <w:hideMark/>
          </w:tcPr>
          <w:p w14:paraId="010BDE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Se aplica </w:t>
            </w:r>
            <w:r w:rsidRPr="000444D1">
              <w:rPr>
                <w:rFonts w:ascii="Times New Roman" w:eastAsia="Times New Roman" w:hAnsi="Times New Roman" w:cs="Times New Roman"/>
                <w:b/>
                <w:bCs/>
                <w:kern w:val="0"/>
                <w14:ligatures w14:val="none"/>
              </w:rPr>
              <w:t>antes</w:t>
            </w:r>
            <w:r w:rsidRPr="000444D1">
              <w:rPr>
                <w:rFonts w:ascii="Times New Roman" w:eastAsia="Times New Roman" w:hAnsi="Times New Roman" w:cs="Times New Roman"/>
                <w:kern w:val="0"/>
                <w14:ligatures w14:val="none"/>
              </w:rPr>
              <w:t>, en D9 y en el servicio de dominio. El core recibe operaciones ya autorizadas</w:t>
            </w:r>
          </w:p>
        </w:tc>
      </w:tr>
      <w:tr w:rsidR="000444D1" w:rsidRPr="000444D1" w14:paraId="5AC41BA9" w14:textId="77777777">
        <w:trPr>
          <w:tblCellSpacing w:w="15" w:type="dxa"/>
        </w:trPr>
        <w:tc>
          <w:tcPr>
            <w:tcW w:w="0" w:type="auto"/>
            <w:vAlign w:val="center"/>
            <w:hideMark/>
          </w:tcPr>
          <w:p w14:paraId="617E25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cuenta técnica es una credencial de máximo privilegio</w:t>
            </w:r>
          </w:p>
        </w:tc>
        <w:tc>
          <w:tcPr>
            <w:tcW w:w="0" w:type="auto"/>
            <w:vAlign w:val="center"/>
            <w:hideMark/>
          </w:tcPr>
          <w:p w14:paraId="3F6683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Custodiada en el almacén de secretos, rotada periódicamente, sin uso interactivo, y con alertado ante cualquier autenticación fuera del ACL</w:t>
            </w:r>
          </w:p>
        </w:tc>
      </w:tr>
      <w:tr w:rsidR="000444D1" w:rsidRPr="000444D1" w14:paraId="66376777" w14:textId="77777777">
        <w:trPr>
          <w:tblCellSpacing w:w="15" w:type="dxa"/>
        </w:trPr>
        <w:tc>
          <w:tcPr>
            <w:tcW w:w="0" w:type="auto"/>
            <w:vAlign w:val="center"/>
            <w:hideMark/>
          </w:tcPr>
          <w:p w14:paraId="3065FD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compromiso del ACL equivale a un compromiso del core</w:t>
            </w:r>
          </w:p>
        </w:tc>
        <w:tc>
          <w:tcPr>
            <w:tcW w:w="0" w:type="auto"/>
            <w:vAlign w:val="center"/>
            <w:hideMark/>
          </w:tcPr>
          <w:p w14:paraId="53CC78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Justifica que el ACL sea el componente con la superficie de exposición más reducida del sistema: sin acceso desde internet, sin dependencias entrantes salvo las declaradas en 7.6</w:t>
            </w:r>
          </w:p>
        </w:tc>
      </w:tr>
    </w:tbl>
    <w:p w14:paraId="76893D6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Este es el precio de integrar un sistema que no puede modificarse.</w:t>
      </w:r>
      <w:r w:rsidRPr="000444D1">
        <w:rPr>
          <w:rFonts w:ascii="Times New Roman" w:eastAsia="Times New Roman" w:hAnsi="Times New Roman" w:cs="Times New Roman"/>
          <w:kern w:val="0"/>
          <w14:ligatures w14:val="none"/>
        </w:rPr>
        <w:t xml:space="preserve"> No existe una solución técnica que otorgue al core tradicional conocimiento de identidades que no fue diseñado para manejar. Lo que sí puede hacerse —y el diseño hace— es garantizar que la atribución exista fuera de él, que la autorización ocurra antes de llegar a él, y que la credencial técnica que lo hace posible reciba el tratamiento que corresponde a su nivel de privilegio.</w:t>
      </w:r>
    </w:p>
    <w:p w14:paraId="0A06B92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14.9 Matriz de responsabilidad por componente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344"/>
        <w:gridCol w:w="2752"/>
        <w:gridCol w:w="2259"/>
      </w:tblGrid>
      <w:tr w:rsidR="000444D1" w:rsidRPr="000444D1" w14:paraId="76017CE7" w14:textId="77777777">
        <w:trPr>
          <w:tblHeader/>
          <w:tblCellSpacing w:w="15" w:type="dxa"/>
        </w:trPr>
        <w:tc>
          <w:tcPr>
            <w:tcW w:w="0" w:type="auto"/>
            <w:vAlign w:val="center"/>
            <w:hideMark/>
          </w:tcPr>
          <w:p w14:paraId="3EFA8B6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c>
          <w:tcPr>
            <w:tcW w:w="0" w:type="auto"/>
            <w:vAlign w:val="center"/>
            <w:hideMark/>
          </w:tcPr>
          <w:p w14:paraId="2CC2ADA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Autentica</w:t>
            </w:r>
          </w:p>
        </w:tc>
        <w:tc>
          <w:tcPr>
            <w:tcW w:w="0" w:type="auto"/>
            <w:vAlign w:val="center"/>
            <w:hideMark/>
          </w:tcPr>
          <w:p w14:paraId="438CEB8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Autoriza</w:t>
            </w:r>
          </w:p>
        </w:tc>
        <w:tc>
          <w:tcPr>
            <w:tcW w:w="0" w:type="auto"/>
            <w:vAlign w:val="center"/>
            <w:hideMark/>
          </w:tcPr>
          <w:p w14:paraId="1035AB8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Registra</w:t>
            </w:r>
          </w:p>
        </w:tc>
      </w:tr>
      <w:tr w:rsidR="000444D1" w:rsidRPr="000444D1" w14:paraId="41A1BBB4" w14:textId="77777777">
        <w:trPr>
          <w:tblCellSpacing w:w="15" w:type="dxa"/>
        </w:trPr>
        <w:tc>
          <w:tcPr>
            <w:tcW w:w="0" w:type="auto"/>
            <w:vAlign w:val="center"/>
            <w:hideMark/>
          </w:tcPr>
          <w:p w14:paraId="3221B29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externo</w:t>
            </w:r>
          </w:p>
        </w:tc>
        <w:tc>
          <w:tcPr>
            <w:tcW w:w="0" w:type="auto"/>
            <w:vAlign w:val="center"/>
            <w:hideMark/>
          </w:tcPr>
          <w:p w14:paraId="51CD0A5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Certificado y token del TPP</w:t>
            </w:r>
          </w:p>
        </w:tc>
        <w:tc>
          <w:tcPr>
            <w:tcW w:w="0" w:type="auto"/>
            <w:vAlign w:val="center"/>
            <w:hideMark/>
          </w:tcPr>
          <w:p w14:paraId="4211BF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Alcance OAuth; consulta a D7 y D9</w:t>
            </w:r>
          </w:p>
        </w:tc>
        <w:tc>
          <w:tcPr>
            <w:tcW w:w="0" w:type="auto"/>
            <w:vAlign w:val="center"/>
            <w:hideMark/>
          </w:tcPr>
          <w:p w14:paraId="3DFA2D1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completo en D8</w:t>
            </w:r>
          </w:p>
        </w:tc>
      </w:tr>
      <w:tr w:rsidR="000444D1" w:rsidRPr="000444D1" w14:paraId="472B0F89" w14:textId="77777777">
        <w:trPr>
          <w:tblCellSpacing w:w="15" w:type="dxa"/>
        </w:trPr>
        <w:tc>
          <w:tcPr>
            <w:tcW w:w="0" w:type="auto"/>
            <w:vAlign w:val="center"/>
            <w:hideMark/>
          </w:tcPr>
          <w:p w14:paraId="74AAC0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 interno</w:t>
            </w:r>
          </w:p>
        </w:tc>
        <w:tc>
          <w:tcPr>
            <w:tcW w:w="0" w:type="auto"/>
            <w:vAlign w:val="center"/>
            <w:hideMark/>
          </w:tcPr>
          <w:p w14:paraId="5599A6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Token del cliente</w:t>
            </w:r>
          </w:p>
        </w:tc>
        <w:tc>
          <w:tcPr>
            <w:tcW w:w="0" w:type="auto"/>
            <w:vAlign w:val="center"/>
            <w:hideMark/>
          </w:tcPr>
          <w:p w14:paraId="029E07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Alcance; consulta a D9</w:t>
            </w:r>
          </w:p>
        </w:tc>
        <w:tc>
          <w:tcPr>
            <w:tcW w:w="0" w:type="auto"/>
            <w:vAlign w:val="center"/>
            <w:hideMark/>
          </w:tcPr>
          <w:p w14:paraId="038959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en D8</w:t>
            </w:r>
          </w:p>
        </w:tc>
      </w:tr>
      <w:tr w:rsidR="000444D1" w:rsidRPr="000444D1" w14:paraId="4E6ABFF5" w14:textId="77777777">
        <w:trPr>
          <w:tblCellSpacing w:w="15" w:type="dxa"/>
        </w:trPr>
        <w:tc>
          <w:tcPr>
            <w:tcW w:w="0" w:type="auto"/>
            <w:vAlign w:val="center"/>
            <w:hideMark/>
          </w:tcPr>
          <w:p w14:paraId="59FFDF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IdP</w:t>
            </w:r>
          </w:p>
        </w:tc>
        <w:tc>
          <w:tcPr>
            <w:tcW w:w="0" w:type="auto"/>
            <w:vAlign w:val="center"/>
            <w:hideMark/>
          </w:tcPr>
          <w:p w14:paraId="482435F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Todos los planos de identidad</w:t>
            </w:r>
          </w:p>
        </w:tc>
        <w:tc>
          <w:tcPr>
            <w:tcW w:w="0" w:type="auto"/>
            <w:vAlign w:val="center"/>
            <w:hideMark/>
          </w:tcPr>
          <w:p w14:paraId="303773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Emisión de alcances</w:t>
            </w:r>
          </w:p>
        </w:tc>
        <w:tc>
          <w:tcPr>
            <w:tcW w:w="0" w:type="auto"/>
            <w:vAlign w:val="center"/>
            <w:hideMark/>
          </w:tcPr>
          <w:p w14:paraId="5A4CC6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Autenticaciones y fallos</w:t>
            </w:r>
          </w:p>
        </w:tc>
      </w:tr>
      <w:tr w:rsidR="000444D1" w:rsidRPr="000444D1" w14:paraId="3D5C7261" w14:textId="77777777">
        <w:trPr>
          <w:tblCellSpacing w:w="15" w:type="dxa"/>
        </w:trPr>
        <w:tc>
          <w:tcPr>
            <w:tcW w:w="0" w:type="auto"/>
            <w:vAlign w:val="center"/>
            <w:hideMark/>
          </w:tcPr>
          <w:p w14:paraId="7052E9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w:t>
            </w:r>
          </w:p>
        </w:tc>
        <w:tc>
          <w:tcPr>
            <w:tcW w:w="0" w:type="auto"/>
            <w:vAlign w:val="center"/>
            <w:hideMark/>
          </w:tcPr>
          <w:p w14:paraId="37D7A8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autentica; recibe identidad ya validada</w:t>
            </w:r>
          </w:p>
        </w:tc>
        <w:tc>
          <w:tcPr>
            <w:tcW w:w="0" w:type="auto"/>
            <w:vAlign w:val="center"/>
            <w:hideMark/>
          </w:tcPr>
          <w:p w14:paraId="6775CE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autoriza</w:t>
            </w:r>
          </w:p>
        </w:tc>
        <w:tc>
          <w:tcPr>
            <w:tcW w:w="0" w:type="auto"/>
            <w:vAlign w:val="center"/>
            <w:hideMark/>
          </w:tcPr>
          <w:p w14:paraId="2D80B2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Actividad de canal</w:t>
            </w:r>
          </w:p>
        </w:tc>
      </w:tr>
      <w:tr w:rsidR="000444D1" w:rsidRPr="000444D1" w14:paraId="561EFBF0" w14:textId="77777777">
        <w:trPr>
          <w:tblCellSpacing w:w="15" w:type="dxa"/>
        </w:trPr>
        <w:tc>
          <w:tcPr>
            <w:tcW w:w="0" w:type="auto"/>
            <w:vAlign w:val="center"/>
            <w:hideMark/>
          </w:tcPr>
          <w:p w14:paraId="1E9CD5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D9 Entitlements</w:t>
            </w:r>
          </w:p>
        </w:tc>
        <w:tc>
          <w:tcPr>
            <w:tcW w:w="0" w:type="auto"/>
            <w:vAlign w:val="center"/>
            <w:hideMark/>
          </w:tcPr>
          <w:p w14:paraId="01CA5A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c>
          <w:tcPr>
            <w:tcW w:w="0" w:type="auto"/>
            <w:vAlign w:val="center"/>
            <w:hideMark/>
          </w:tcPr>
          <w:p w14:paraId="4B008E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Decide</w:t>
            </w:r>
            <w:r w:rsidRPr="000444D1">
              <w:rPr>
                <w:rFonts w:ascii="Times New Roman" w:eastAsia="Times New Roman" w:hAnsi="Times New Roman" w:cs="Times New Roman"/>
                <w:kern w:val="0"/>
                <w14:ligatures w14:val="none"/>
              </w:rPr>
              <w:t xml:space="preserve"> la relación sujeto-recurso</w:t>
            </w:r>
          </w:p>
        </w:tc>
        <w:tc>
          <w:tcPr>
            <w:tcW w:w="0" w:type="auto"/>
            <w:vAlign w:val="center"/>
            <w:hideMark/>
          </w:tcPr>
          <w:p w14:paraId="6F6A25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Decisiones de entitlement</w:t>
            </w:r>
          </w:p>
        </w:tc>
      </w:tr>
      <w:tr w:rsidR="000444D1" w:rsidRPr="000444D1" w14:paraId="51BD860C" w14:textId="77777777">
        <w:trPr>
          <w:tblCellSpacing w:w="15" w:type="dxa"/>
        </w:trPr>
        <w:tc>
          <w:tcPr>
            <w:tcW w:w="0" w:type="auto"/>
            <w:vAlign w:val="center"/>
            <w:hideMark/>
          </w:tcPr>
          <w:p w14:paraId="7DB412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Consentimientos</w:t>
            </w:r>
          </w:p>
        </w:tc>
        <w:tc>
          <w:tcPr>
            <w:tcW w:w="0" w:type="auto"/>
            <w:vAlign w:val="center"/>
            <w:hideMark/>
          </w:tcPr>
          <w:p w14:paraId="00407DE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c>
          <w:tcPr>
            <w:tcW w:w="0" w:type="auto"/>
            <w:vAlign w:val="center"/>
            <w:hideMark/>
          </w:tcPr>
          <w:p w14:paraId="452A26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Decide</w:t>
            </w:r>
            <w:r w:rsidRPr="000444D1">
              <w:rPr>
                <w:rFonts w:ascii="Times New Roman" w:eastAsia="Times New Roman" w:hAnsi="Times New Roman" w:cs="Times New Roman"/>
                <w:kern w:val="0"/>
                <w14:ligatures w14:val="none"/>
              </w:rPr>
              <w:t xml:space="preserve"> vigencia y alcance del consentimiento</w:t>
            </w:r>
          </w:p>
        </w:tc>
        <w:tc>
          <w:tcPr>
            <w:tcW w:w="0" w:type="auto"/>
            <w:vAlign w:val="center"/>
            <w:hideMark/>
          </w:tcPr>
          <w:p w14:paraId="7D0206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Otorgamientos y revocaciones</w:t>
            </w:r>
          </w:p>
        </w:tc>
      </w:tr>
      <w:tr w:rsidR="000444D1" w:rsidRPr="000444D1" w14:paraId="5B8C345A" w14:textId="77777777">
        <w:trPr>
          <w:tblCellSpacing w:w="15" w:type="dxa"/>
        </w:trPr>
        <w:tc>
          <w:tcPr>
            <w:tcW w:w="0" w:type="auto"/>
            <w:vAlign w:val="center"/>
            <w:hideMark/>
          </w:tcPr>
          <w:p w14:paraId="6ECC5D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Servicios de dominio</w:t>
            </w:r>
          </w:p>
        </w:tc>
        <w:tc>
          <w:tcPr>
            <w:tcW w:w="0" w:type="auto"/>
            <w:vAlign w:val="center"/>
            <w:hideMark/>
          </w:tcPr>
          <w:p w14:paraId="3125AA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Identidad de carga de trabajo del llamante</w:t>
            </w:r>
          </w:p>
        </w:tc>
        <w:tc>
          <w:tcPr>
            <w:tcW w:w="0" w:type="auto"/>
            <w:vAlign w:val="center"/>
            <w:hideMark/>
          </w:tcPr>
          <w:p w14:paraId="0D07C6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Reglas de negocio propias</w:t>
            </w:r>
          </w:p>
        </w:tc>
        <w:tc>
          <w:tcPr>
            <w:tcW w:w="0" w:type="auto"/>
            <w:vAlign w:val="center"/>
            <w:hideMark/>
          </w:tcPr>
          <w:p w14:paraId="7E59F1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Eventos de dominio</w:t>
            </w:r>
          </w:p>
        </w:tc>
      </w:tr>
      <w:tr w:rsidR="000444D1" w:rsidRPr="000444D1" w14:paraId="56B302F2" w14:textId="77777777">
        <w:trPr>
          <w:tblCellSpacing w:w="15" w:type="dxa"/>
        </w:trPr>
        <w:tc>
          <w:tcPr>
            <w:tcW w:w="0" w:type="auto"/>
            <w:vAlign w:val="center"/>
            <w:hideMark/>
          </w:tcPr>
          <w:p w14:paraId="2CC13EE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w:t>
            </w:r>
          </w:p>
        </w:tc>
        <w:tc>
          <w:tcPr>
            <w:tcW w:w="0" w:type="auto"/>
            <w:vAlign w:val="center"/>
            <w:hideMark/>
          </w:tcPr>
          <w:p w14:paraId="0C9623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Cuenta técnica contra el core</w:t>
            </w:r>
          </w:p>
        </w:tc>
        <w:tc>
          <w:tcPr>
            <w:tcW w:w="0" w:type="auto"/>
            <w:vAlign w:val="center"/>
            <w:hideMark/>
          </w:tcPr>
          <w:p w14:paraId="76EDA5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autoriza: recibe operaciones ya autorizadas</w:t>
            </w:r>
          </w:p>
        </w:tc>
        <w:tc>
          <w:tcPr>
            <w:tcW w:w="0" w:type="auto"/>
            <w:vAlign w:val="center"/>
            <w:hideMark/>
          </w:tcPr>
          <w:p w14:paraId="15E3940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Eventos con </w:t>
            </w:r>
            <w:r w:rsidRPr="000444D1">
              <w:rPr>
                <w:rFonts w:ascii="Courier New" w:eastAsia="Times New Roman" w:hAnsi="Courier New" w:cs="Courier New"/>
                <w:kern w:val="0"/>
                <w:sz w:val="20"/>
                <w:szCs w:val="20"/>
                <w14:ligatures w14:val="none"/>
              </w:rPr>
              <w:t>referenciaCore</w:t>
            </w:r>
          </w:p>
        </w:tc>
      </w:tr>
      <w:tr w:rsidR="000444D1" w:rsidRPr="000444D1" w14:paraId="4EA8AC26" w14:textId="77777777">
        <w:trPr>
          <w:tblCellSpacing w:w="15" w:type="dxa"/>
        </w:trPr>
        <w:tc>
          <w:tcPr>
            <w:tcW w:w="0" w:type="auto"/>
            <w:vAlign w:val="center"/>
            <w:hideMark/>
          </w:tcPr>
          <w:p w14:paraId="2C84EA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Historial</w:t>
            </w:r>
          </w:p>
        </w:tc>
        <w:tc>
          <w:tcPr>
            <w:tcW w:w="0" w:type="auto"/>
            <w:vAlign w:val="center"/>
            <w:hideMark/>
          </w:tcPr>
          <w:p w14:paraId="022198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c>
          <w:tcPr>
            <w:tcW w:w="0" w:type="auto"/>
            <w:vAlign w:val="center"/>
            <w:hideMark/>
          </w:tcPr>
          <w:p w14:paraId="5DE76F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c>
          <w:tcPr>
            <w:tcW w:w="0" w:type="auto"/>
            <w:vAlign w:val="center"/>
            <w:hideMark/>
          </w:tcPr>
          <w:p w14:paraId="12A13C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Es</w:t>
            </w:r>
            <w:r w:rsidRPr="000444D1">
              <w:rPr>
                <w:rFonts w:ascii="Times New Roman" w:eastAsia="Times New Roman" w:hAnsi="Times New Roman" w:cs="Times New Roman"/>
                <w:kern w:val="0"/>
                <w14:ligatures w14:val="none"/>
              </w:rPr>
              <w:t xml:space="preserve"> el registro; escritura única</w:t>
            </w:r>
          </w:p>
        </w:tc>
      </w:tr>
    </w:tbl>
    <w:p w14:paraId="37E0FAAF"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14.10 Accesos privilegiados y procedimiento de emergencia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6671"/>
      </w:tblGrid>
      <w:tr w:rsidR="000444D1" w:rsidRPr="000444D1" w14:paraId="09F816BF" w14:textId="77777777">
        <w:trPr>
          <w:tblHeader/>
          <w:tblCellSpacing w:w="15" w:type="dxa"/>
        </w:trPr>
        <w:tc>
          <w:tcPr>
            <w:tcW w:w="0" w:type="auto"/>
            <w:vAlign w:val="center"/>
            <w:hideMark/>
          </w:tcPr>
          <w:p w14:paraId="4CFDCCF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Situación</w:t>
            </w:r>
          </w:p>
        </w:tc>
        <w:tc>
          <w:tcPr>
            <w:tcW w:w="0" w:type="auto"/>
            <w:vAlign w:val="center"/>
            <w:hideMark/>
          </w:tcPr>
          <w:p w14:paraId="3FADCF5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Mecanismo</w:t>
            </w:r>
          </w:p>
        </w:tc>
      </w:tr>
      <w:tr w:rsidR="000444D1" w:rsidRPr="000444D1" w14:paraId="3EB5FCA3" w14:textId="77777777">
        <w:trPr>
          <w:tblCellSpacing w:w="15" w:type="dxa"/>
        </w:trPr>
        <w:tc>
          <w:tcPr>
            <w:tcW w:w="0" w:type="auto"/>
            <w:vAlign w:val="center"/>
            <w:hideMark/>
          </w:tcPr>
          <w:p w14:paraId="0D8D64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Intervención técnica en producción</w:t>
            </w:r>
          </w:p>
        </w:tc>
        <w:tc>
          <w:tcPr>
            <w:tcW w:w="0" w:type="auto"/>
            <w:vAlign w:val="center"/>
            <w:hideMark/>
          </w:tcPr>
          <w:p w14:paraId="0457FD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 temporal con aprobación de un segundo responsable, ventana limitada y sesión registrada</w:t>
            </w:r>
          </w:p>
        </w:tc>
      </w:tr>
      <w:tr w:rsidR="000444D1" w:rsidRPr="000444D1" w14:paraId="24D6DA00" w14:textId="77777777">
        <w:trPr>
          <w:tblCellSpacing w:w="15" w:type="dxa"/>
        </w:trPr>
        <w:tc>
          <w:tcPr>
            <w:tcW w:w="0" w:type="auto"/>
            <w:vAlign w:val="center"/>
            <w:hideMark/>
          </w:tcPr>
          <w:p w14:paraId="66A9DD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Emergencia operativa que exige saltarse un control</w:t>
            </w:r>
          </w:p>
        </w:tc>
        <w:tc>
          <w:tcPr>
            <w:tcW w:w="0" w:type="auto"/>
            <w:vAlign w:val="center"/>
            <w:hideMark/>
          </w:tcPr>
          <w:p w14:paraId="1D99802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Procedimiento de excepción explícito: se concede, se registra, se notifica y se revisa después. Nunca una credencial permanente reservada para emergencias</w:t>
            </w:r>
          </w:p>
        </w:tc>
      </w:tr>
      <w:tr w:rsidR="000444D1" w:rsidRPr="000444D1" w14:paraId="176A2C3F" w14:textId="77777777">
        <w:trPr>
          <w:tblCellSpacing w:w="15" w:type="dxa"/>
        </w:trPr>
        <w:tc>
          <w:tcPr>
            <w:tcW w:w="0" w:type="auto"/>
            <w:vAlign w:val="center"/>
            <w:hideMark/>
          </w:tcPr>
          <w:p w14:paraId="6175E6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Revisión periódica</w:t>
            </w:r>
          </w:p>
        </w:tc>
        <w:tc>
          <w:tcPr>
            <w:tcW w:w="0" w:type="auto"/>
            <w:vAlign w:val="center"/>
            <w:hideMark/>
          </w:tcPr>
          <w:p w14:paraId="0316A9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Recertificación de entitlements y de accesos privilegiados con cadencia definida en el modelo de gobierno (sección 16)</w:t>
            </w:r>
          </w:p>
        </w:tc>
      </w:tr>
      <w:tr w:rsidR="000444D1" w:rsidRPr="000444D1" w14:paraId="4F96DD08" w14:textId="77777777">
        <w:trPr>
          <w:tblCellSpacing w:w="15" w:type="dxa"/>
        </w:trPr>
        <w:tc>
          <w:tcPr>
            <w:tcW w:w="0" w:type="auto"/>
            <w:vAlign w:val="center"/>
            <w:hideMark/>
          </w:tcPr>
          <w:p w14:paraId="5F3019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Retiro</w:t>
            </w:r>
          </w:p>
        </w:tc>
        <w:tc>
          <w:tcPr>
            <w:tcW w:w="0" w:type="auto"/>
            <w:vAlign w:val="center"/>
            <w:hideMark/>
          </w:tcPr>
          <w:p w14:paraId="5353C41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baja de una persona o el retiro de un servicio revoca sus credenciales y sus entitlements en el mismo procedimiento</w:t>
            </w:r>
          </w:p>
        </w:tc>
      </w:tr>
    </w:tbl>
    <w:p w14:paraId="69AA4F9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procedimiento de emergencia que no deja traza es indistinguible de un ataque. Por eso el mecanismo no es una credencial guardada para el momento crítico, sino una concesión temporal auditable: el control no se elimina, se documenta su excepción.</w:t>
      </w:r>
    </w:p>
    <w:p w14:paraId="45BC9CAA"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6C044903">
          <v:rect id="Horizontal Line 552"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FD2F7CD"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15. Alta disponibilidad y recuperación ante desastres</w:t>
      </w:r>
    </w:p>
    <w:p w14:paraId="0B796FB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estrategia se construye sobre una premisa establecida en la sección 2.2: </w:t>
      </w:r>
      <w:r w:rsidRPr="000444D1">
        <w:rPr>
          <w:rFonts w:ascii="Times New Roman" w:eastAsia="Times New Roman" w:hAnsi="Times New Roman" w:cs="Times New Roman"/>
          <w:b/>
          <w:bCs/>
          <w:kern w:val="0"/>
          <w14:ligatures w14:val="none"/>
        </w:rPr>
        <w:t>los objetivos de disponibilidad son asimétricos</w:t>
      </w:r>
      <w:r w:rsidRPr="000444D1">
        <w:rPr>
          <w:rFonts w:ascii="Times New Roman" w:eastAsia="Times New Roman" w:hAnsi="Times New Roman" w:cs="Times New Roman"/>
          <w:kern w:val="0"/>
          <w14:ligatures w14:val="none"/>
        </w:rPr>
        <w:t>. No es realista exigir 99.95 % a un sistema legado con ventana de cierre nocturno, y no es aceptable que la capa digital herede esa limitación. De esa asimetría se deriva todo lo que sigue: el diseño no persigue que ningún componente falle, sino que el fallo de cualquiera de ellos reduzca funcionalidad sin interrumpir el servicio.</w:t>
      </w:r>
    </w:p>
    <w:p w14:paraId="4CBF2C60"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15.1 Objetivos por componente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1880"/>
        <w:gridCol w:w="635"/>
        <w:gridCol w:w="626"/>
        <w:gridCol w:w="3774"/>
      </w:tblGrid>
      <w:tr w:rsidR="000444D1" w:rsidRPr="000444D1" w14:paraId="46DA4C23" w14:textId="77777777">
        <w:trPr>
          <w:tblHeader/>
          <w:tblCellSpacing w:w="15" w:type="dxa"/>
        </w:trPr>
        <w:tc>
          <w:tcPr>
            <w:tcW w:w="0" w:type="auto"/>
            <w:vAlign w:val="center"/>
            <w:hideMark/>
          </w:tcPr>
          <w:p w14:paraId="5D162C8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c>
          <w:tcPr>
            <w:tcW w:w="0" w:type="auto"/>
            <w:vAlign w:val="center"/>
            <w:hideMark/>
          </w:tcPr>
          <w:p w14:paraId="36B60B3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Disponibilidad objetivo</w:t>
            </w:r>
          </w:p>
        </w:tc>
        <w:tc>
          <w:tcPr>
            <w:tcW w:w="0" w:type="auto"/>
            <w:vAlign w:val="center"/>
            <w:hideMark/>
          </w:tcPr>
          <w:p w14:paraId="00D9C36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RTO</w:t>
            </w:r>
          </w:p>
        </w:tc>
        <w:tc>
          <w:tcPr>
            <w:tcW w:w="0" w:type="auto"/>
            <w:vAlign w:val="center"/>
            <w:hideMark/>
          </w:tcPr>
          <w:p w14:paraId="3D293E2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RPO</w:t>
            </w:r>
          </w:p>
        </w:tc>
        <w:tc>
          <w:tcPr>
            <w:tcW w:w="0" w:type="auto"/>
            <w:vAlign w:val="center"/>
            <w:hideMark/>
          </w:tcPr>
          <w:p w14:paraId="72411BF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Justificación</w:t>
            </w:r>
          </w:p>
        </w:tc>
      </w:tr>
      <w:tr w:rsidR="000444D1" w:rsidRPr="000444D1" w14:paraId="7DEC7BB7" w14:textId="77777777">
        <w:trPr>
          <w:tblCellSpacing w:w="15" w:type="dxa"/>
        </w:trPr>
        <w:tc>
          <w:tcPr>
            <w:tcW w:w="0" w:type="auto"/>
            <w:vAlign w:val="center"/>
            <w:hideMark/>
          </w:tcPr>
          <w:p w14:paraId="3FA7B5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Gateways e IdP</w:t>
            </w:r>
          </w:p>
        </w:tc>
        <w:tc>
          <w:tcPr>
            <w:tcW w:w="0" w:type="auto"/>
            <w:vAlign w:val="center"/>
            <w:hideMark/>
          </w:tcPr>
          <w:p w14:paraId="1FDD7C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99.95 %</w:t>
            </w:r>
          </w:p>
        </w:tc>
        <w:tc>
          <w:tcPr>
            <w:tcW w:w="0" w:type="auto"/>
            <w:vAlign w:val="center"/>
            <w:hideMark/>
          </w:tcPr>
          <w:p w14:paraId="0EF375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 min</w:t>
            </w:r>
          </w:p>
        </w:tc>
        <w:tc>
          <w:tcPr>
            <w:tcW w:w="0" w:type="auto"/>
            <w:vAlign w:val="center"/>
            <w:hideMark/>
          </w:tcPr>
          <w:p w14:paraId="2CEF33F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6FAA93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ellos no hay acceso; sin estado propio que perder</w:t>
            </w:r>
          </w:p>
        </w:tc>
      </w:tr>
      <w:tr w:rsidR="000444D1" w:rsidRPr="000444D1" w14:paraId="396B47FC" w14:textId="77777777">
        <w:trPr>
          <w:tblCellSpacing w:w="15" w:type="dxa"/>
        </w:trPr>
        <w:tc>
          <w:tcPr>
            <w:tcW w:w="0" w:type="auto"/>
            <w:vAlign w:val="center"/>
            <w:hideMark/>
          </w:tcPr>
          <w:p w14:paraId="74530B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BFF</w:t>
            </w:r>
          </w:p>
        </w:tc>
        <w:tc>
          <w:tcPr>
            <w:tcW w:w="0" w:type="auto"/>
            <w:vAlign w:val="center"/>
            <w:hideMark/>
          </w:tcPr>
          <w:p w14:paraId="30E736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99.95 %</w:t>
            </w:r>
          </w:p>
        </w:tc>
        <w:tc>
          <w:tcPr>
            <w:tcW w:w="0" w:type="auto"/>
            <w:vAlign w:val="center"/>
            <w:hideMark/>
          </w:tcPr>
          <w:p w14:paraId="312330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 min</w:t>
            </w:r>
          </w:p>
        </w:tc>
        <w:tc>
          <w:tcPr>
            <w:tcW w:w="0" w:type="auto"/>
            <w:vAlign w:val="center"/>
            <w:hideMark/>
          </w:tcPr>
          <w:p w14:paraId="2DF77B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0A4CA5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estado; se reponen por despliegue</w:t>
            </w:r>
          </w:p>
        </w:tc>
      </w:tr>
      <w:tr w:rsidR="000444D1" w:rsidRPr="000444D1" w14:paraId="78E046F5" w14:textId="77777777">
        <w:trPr>
          <w:tblCellSpacing w:w="15" w:type="dxa"/>
        </w:trPr>
        <w:tc>
          <w:tcPr>
            <w:tcW w:w="0" w:type="auto"/>
            <w:vAlign w:val="center"/>
            <w:hideMark/>
          </w:tcPr>
          <w:p w14:paraId="63B564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D3 Posición consolidada</w:t>
            </w:r>
          </w:p>
        </w:tc>
        <w:tc>
          <w:tcPr>
            <w:tcW w:w="0" w:type="auto"/>
            <w:vAlign w:val="center"/>
            <w:hideMark/>
          </w:tcPr>
          <w:p w14:paraId="40EE35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99.95 %</w:t>
            </w:r>
          </w:p>
        </w:tc>
        <w:tc>
          <w:tcPr>
            <w:tcW w:w="0" w:type="auto"/>
            <w:vAlign w:val="center"/>
            <w:hideMark/>
          </w:tcPr>
          <w:p w14:paraId="0D8A92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 min</w:t>
            </w:r>
          </w:p>
        </w:tc>
        <w:tc>
          <w:tcPr>
            <w:tcW w:w="0" w:type="auto"/>
            <w:vAlign w:val="center"/>
            <w:hideMark/>
          </w:tcPr>
          <w:p w14:paraId="182834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5967A9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Proyección reconstruible por reproducción de eventos</w:t>
            </w:r>
          </w:p>
        </w:tc>
      </w:tr>
      <w:tr w:rsidR="000444D1" w:rsidRPr="000444D1" w14:paraId="6692CD6F" w14:textId="77777777">
        <w:trPr>
          <w:tblCellSpacing w:w="15" w:type="dxa"/>
        </w:trPr>
        <w:tc>
          <w:tcPr>
            <w:tcW w:w="0" w:type="auto"/>
            <w:vAlign w:val="center"/>
            <w:hideMark/>
          </w:tcPr>
          <w:p w14:paraId="4F0F22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12B738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99.9 %</w:t>
            </w:r>
          </w:p>
        </w:tc>
        <w:tc>
          <w:tcPr>
            <w:tcW w:w="0" w:type="auto"/>
            <w:vAlign w:val="center"/>
            <w:hideMark/>
          </w:tcPr>
          <w:p w14:paraId="19F187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 min</w:t>
            </w:r>
          </w:p>
        </w:tc>
        <w:tc>
          <w:tcPr>
            <w:tcW w:w="0" w:type="auto"/>
            <w:vAlign w:val="center"/>
            <w:hideMark/>
          </w:tcPr>
          <w:p w14:paraId="61F5C1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2BFB66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Estado transaccional; outbox garantiza no perder eventos</w:t>
            </w:r>
          </w:p>
        </w:tc>
      </w:tr>
      <w:tr w:rsidR="000444D1" w:rsidRPr="000444D1" w14:paraId="227601DE" w14:textId="77777777">
        <w:trPr>
          <w:tblCellSpacing w:w="15" w:type="dxa"/>
        </w:trPr>
        <w:tc>
          <w:tcPr>
            <w:tcW w:w="0" w:type="auto"/>
            <w:vAlign w:val="center"/>
            <w:hideMark/>
          </w:tcPr>
          <w:p w14:paraId="28DFF86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Consentimientos, D9 Entitlements</w:t>
            </w:r>
          </w:p>
        </w:tc>
        <w:tc>
          <w:tcPr>
            <w:tcW w:w="0" w:type="auto"/>
            <w:vAlign w:val="center"/>
            <w:hideMark/>
          </w:tcPr>
          <w:p w14:paraId="3348B8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99.95 %</w:t>
            </w:r>
          </w:p>
        </w:tc>
        <w:tc>
          <w:tcPr>
            <w:tcW w:w="0" w:type="auto"/>
            <w:vAlign w:val="center"/>
            <w:hideMark/>
          </w:tcPr>
          <w:p w14:paraId="07D5D6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10 min</w:t>
            </w:r>
          </w:p>
        </w:tc>
        <w:tc>
          <w:tcPr>
            <w:tcW w:w="0" w:type="auto"/>
            <w:vAlign w:val="center"/>
            <w:hideMark/>
          </w:tcPr>
          <w:p w14:paraId="31854E2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621388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 el camino crítico de autorización</w:t>
            </w:r>
          </w:p>
        </w:tc>
      </w:tr>
      <w:tr w:rsidR="000444D1" w:rsidRPr="000444D1" w14:paraId="54244011" w14:textId="77777777">
        <w:trPr>
          <w:tblCellSpacing w:w="15" w:type="dxa"/>
        </w:trPr>
        <w:tc>
          <w:tcPr>
            <w:tcW w:w="0" w:type="auto"/>
            <w:vAlign w:val="center"/>
            <w:hideMark/>
          </w:tcPr>
          <w:p w14:paraId="24325F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Historial de eventos</w:t>
            </w:r>
          </w:p>
        </w:tc>
        <w:tc>
          <w:tcPr>
            <w:tcW w:w="0" w:type="auto"/>
            <w:vAlign w:val="center"/>
            <w:hideMark/>
          </w:tcPr>
          <w:p w14:paraId="3B994B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99.5 %</w:t>
            </w:r>
          </w:p>
        </w:tc>
        <w:tc>
          <w:tcPr>
            <w:tcW w:w="0" w:type="auto"/>
            <w:vAlign w:val="center"/>
            <w:hideMark/>
          </w:tcPr>
          <w:p w14:paraId="02F3FD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 h</w:t>
            </w:r>
          </w:p>
        </w:tc>
        <w:tc>
          <w:tcPr>
            <w:tcW w:w="0" w:type="auto"/>
            <w:vAlign w:val="center"/>
            <w:hideMark/>
          </w:tcPr>
          <w:p w14:paraId="654352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62C5AA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 indisponibilidad no bloquea la operación, pero ningún hecho puede perderse</w:t>
            </w:r>
          </w:p>
        </w:tc>
      </w:tr>
      <w:tr w:rsidR="000444D1" w:rsidRPr="000444D1" w14:paraId="75623F65" w14:textId="77777777">
        <w:trPr>
          <w:tblCellSpacing w:w="15" w:type="dxa"/>
        </w:trPr>
        <w:tc>
          <w:tcPr>
            <w:tcW w:w="0" w:type="auto"/>
            <w:vAlign w:val="center"/>
            <w:hideMark/>
          </w:tcPr>
          <w:p w14:paraId="0DBAA7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4CA7F7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99.95 %</w:t>
            </w:r>
          </w:p>
        </w:tc>
        <w:tc>
          <w:tcPr>
            <w:tcW w:w="0" w:type="auto"/>
            <w:vAlign w:val="center"/>
            <w:hideMark/>
          </w:tcPr>
          <w:p w14:paraId="62C7A4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10 min</w:t>
            </w:r>
          </w:p>
        </w:tc>
        <w:tc>
          <w:tcPr>
            <w:tcW w:w="0" w:type="auto"/>
            <w:vAlign w:val="center"/>
            <w:hideMark/>
          </w:tcPr>
          <w:p w14:paraId="1FFDFC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6DCD3B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 persistencia replicada; el outbox cubre la ventana de indisponibilidad</w:t>
            </w:r>
          </w:p>
        </w:tc>
      </w:tr>
      <w:tr w:rsidR="000444D1" w:rsidRPr="000444D1" w14:paraId="4CEDA7BD" w14:textId="77777777">
        <w:trPr>
          <w:tblCellSpacing w:w="15" w:type="dxa"/>
        </w:trPr>
        <w:tc>
          <w:tcPr>
            <w:tcW w:w="0" w:type="auto"/>
            <w:vAlign w:val="center"/>
            <w:hideMark/>
          </w:tcPr>
          <w:p w14:paraId="552700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w:t>
            </w:r>
          </w:p>
        </w:tc>
        <w:tc>
          <w:tcPr>
            <w:tcW w:w="0" w:type="auto"/>
            <w:vAlign w:val="center"/>
            <w:hideMark/>
          </w:tcPr>
          <w:p w14:paraId="54567C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99.5 %</w:t>
            </w:r>
          </w:p>
        </w:tc>
        <w:tc>
          <w:tcPr>
            <w:tcW w:w="0" w:type="auto"/>
            <w:vAlign w:val="center"/>
            <w:hideMark/>
          </w:tcPr>
          <w:p w14:paraId="14FBFD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30 min</w:t>
            </w:r>
          </w:p>
        </w:tc>
        <w:tc>
          <w:tcPr>
            <w:tcW w:w="0" w:type="auto"/>
            <w:vAlign w:val="center"/>
            <w:hideMark/>
          </w:tcPr>
          <w:p w14:paraId="224B5D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40425C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Limitado por la disponibilidad del propio core</w:t>
            </w:r>
          </w:p>
        </w:tc>
      </w:tr>
      <w:tr w:rsidR="000444D1" w:rsidRPr="000444D1" w14:paraId="16C332E3" w14:textId="77777777">
        <w:trPr>
          <w:tblCellSpacing w:w="15" w:type="dxa"/>
        </w:trPr>
        <w:tc>
          <w:tcPr>
            <w:tcW w:w="0" w:type="auto"/>
            <w:vAlign w:val="center"/>
            <w:hideMark/>
          </w:tcPr>
          <w:p w14:paraId="5448E4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bancario digital</w:t>
            </w:r>
          </w:p>
        </w:tc>
        <w:tc>
          <w:tcPr>
            <w:tcW w:w="0" w:type="auto"/>
            <w:vAlign w:val="center"/>
            <w:hideMark/>
          </w:tcPr>
          <w:p w14:paraId="0B6025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99.9 %</w:t>
            </w:r>
          </w:p>
        </w:tc>
        <w:tc>
          <w:tcPr>
            <w:tcW w:w="0" w:type="auto"/>
            <w:vAlign w:val="center"/>
            <w:hideMark/>
          </w:tcPr>
          <w:p w14:paraId="028E541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30 min</w:t>
            </w:r>
          </w:p>
        </w:tc>
        <w:tc>
          <w:tcPr>
            <w:tcW w:w="0" w:type="auto"/>
            <w:vAlign w:val="center"/>
            <w:hideMark/>
          </w:tcPr>
          <w:p w14:paraId="293DC2F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0</w:t>
            </w:r>
          </w:p>
        </w:tc>
        <w:tc>
          <w:tcPr>
            <w:tcW w:w="0" w:type="auto"/>
            <w:vAlign w:val="center"/>
            <w:hideMark/>
          </w:tcPr>
          <w:p w14:paraId="416D3CD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Según contrato con el proveedor</w:t>
            </w:r>
          </w:p>
        </w:tc>
      </w:tr>
      <w:tr w:rsidR="000444D1" w:rsidRPr="000444D1" w14:paraId="0DF4B442" w14:textId="77777777">
        <w:trPr>
          <w:tblCellSpacing w:w="15" w:type="dxa"/>
        </w:trPr>
        <w:tc>
          <w:tcPr>
            <w:tcW w:w="0" w:type="auto"/>
            <w:vAlign w:val="center"/>
            <w:hideMark/>
          </w:tcPr>
          <w:p w14:paraId="5983E5D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bancario tradicional</w:t>
            </w:r>
          </w:p>
        </w:tc>
        <w:tc>
          <w:tcPr>
            <w:tcW w:w="0" w:type="auto"/>
            <w:vAlign w:val="center"/>
            <w:hideMark/>
          </w:tcPr>
          <w:p w14:paraId="341525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99.5 %</w:t>
            </w:r>
          </w:p>
        </w:tc>
        <w:tc>
          <w:tcPr>
            <w:tcW w:w="0" w:type="auto"/>
            <w:vAlign w:val="center"/>
            <w:hideMark/>
          </w:tcPr>
          <w:p w14:paraId="2A4C626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 h</w:t>
            </w:r>
          </w:p>
        </w:tc>
        <w:tc>
          <w:tcPr>
            <w:tcW w:w="0" w:type="auto"/>
            <w:vAlign w:val="center"/>
            <w:hideMark/>
          </w:tcPr>
          <w:p w14:paraId="4F6837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 min</w:t>
            </w:r>
          </w:p>
        </w:tc>
        <w:tc>
          <w:tcPr>
            <w:tcW w:w="0" w:type="auto"/>
            <w:vAlign w:val="center"/>
            <w:hideMark/>
          </w:tcPr>
          <w:p w14:paraId="6C337A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Capacidad existente del sistema legado; fuera del alcance de rediseño</w:t>
            </w:r>
          </w:p>
        </w:tc>
      </w:tr>
      <w:tr w:rsidR="000444D1" w:rsidRPr="000444D1" w14:paraId="77C3D2AD" w14:textId="77777777">
        <w:trPr>
          <w:tblCellSpacing w:w="15" w:type="dxa"/>
        </w:trPr>
        <w:tc>
          <w:tcPr>
            <w:tcW w:w="0" w:type="auto"/>
            <w:vAlign w:val="center"/>
            <w:hideMark/>
          </w:tcPr>
          <w:p w14:paraId="7FB3F0C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Motor de fraude</w:t>
            </w:r>
          </w:p>
        </w:tc>
        <w:tc>
          <w:tcPr>
            <w:tcW w:w="0" w:type="auto"/>
            <w:vAlign w:val="center"/>
            <w:hideMark/>
          </w:tcPr>
          <w:p w14:paraId="352A35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99.5 %</w:t>
            </w:r>
          </w:p>
        </w:tc>
        <w:tc>
          <w:tcPr>
            <w:tcW w:w="0" w:type="auto"/>
            <w:vAlign w:val="center"/>
            <w:hideMark/>
          </w:tcPr>
          <w:p w14:paraId="2F46E2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30 min</w:t>
            </w:r>
          </w:p>
        </w:tc>
        <w:tc>
          <w:tcPr>
            <w:tcW w:w="0" w:type="auto"/>
            <w:vAlign w:val="center"/>
            <w:hideMark/>
          </w:tcPr>
          <w:p w14:paraId="4D6B48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c>
          <w:tcPr>
            <w:tcW w:w="0" w:type="auto"/>
            <w:vAlign w:val="center"/>
            <w:hideMark/>
          </w:tcPr>
          <w:p w14:paraId="27B8CE0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 fallo se absorbe por degradación (ADR-005)</w:t>
            </w:r>
          </w:p>
        </w:tc>
      </w:tr>
      <w:tr w:rsidR="000444D1" w:rsidRPr="000444D1" w14:paraId="22D2C36F" w14:textId="77777777">
        <w:trPr>
          <w:tblCellSpacing w:w="15" w:type="dxa"/>
        </w:trPr>
        <w:tc>
          <w:tcPr>
            <w:tcW w:w="0" w:type="auto"/>
            <w:vAlign w:val="center"/>
            <w:hideMark/>
          </w:tcPr>
          <w:p w14:paraId="2E7640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de riesgos</w:t>
            </w:r>
          </w:p>
        </w:tc>
        <w:tc>
          <w:tcPr>
            <w:tcW w:w="0" w:type="auto"/>
            <w:vAlign w:val="center"/>
            <w:hideMark/>
          </w:tcPr>
          <w:p w14:paraId="099AAE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99.0 %</w:t>
            </w:r>
          </w:p>
        </w:tc>
        <w:tc>
          <w:tcPr>
            <w:tcW w:w="0" w:type="auto"/>
            <w:vAlign w:val="center"/>
            <w:hideMark/>
          </w:tcPr>
          <w:p w14:paraId="0E3530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 h</w:t>
            </w:r>
          </w:p>
        </w:tc>
        <w:tc>
          <w:tcPr>
            <w:tcW w:w="0" w:type="auto"/>
            <w:vAlign w:val="center"/>
            <w:hideMark/>
          </w:tcPr>
          <w:p w14:paraId="29A3FA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 min</w:t>
            </w:r>
          </w:p>
        </w:tc>
        <w:tc>
          <w:tcPr>
            <w:tcW w:w="0" w:type="auto"/>
            <w:vAlign w:val="center"/>
            <w:hideMark/>
          </w:tcPr>
          <w:p w14:paraId="12D57A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Fuera del camino crítico transaccional</w:t>
            </w:r>
          </w:p>
        </w:tc>
      </w:tr>
    </w:tbl>
    <w:p w14:paraId="0AA04F3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RPO de cero en la mayoría de componentes no es una aspiración, es una consecuencia del diseño.</w:t>
      </w:r>
      <w:r w:rsidRPr="000444D1">
        <w:rPr>
          <w:rFonts w:ascii="Times New Roman" w:eastAsia="Times New Roman" w:hAnsi="Times New Roman" w:cs="Times New Roman"/>
          <w:kern w:val="0"/>
          <w14:ligatures w14:val="none"/>
        </w:rPr>
        <w:t xml:space="preserve"> El patrón outbox garantiza que ningún cambio de estado quede sin su evento asociado, y la persistencia replicada del bus garantiza que ningún evento publicado se pierda. El único RPO distinto de cero corresponde al core tradicional, cuya capacidad de replicación es una condición preexistente que el programa no modifica.</w:t>
      </w:r>
    </w:p>
    <w:p w14:paraId="430AEAC9"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15.2 Alta disponibilidad por capa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3833"/>
        <w:gridCol w:w="3510"/>
      </w:tblGrid>
      <w:tr w:rsidR="000444D1" w:rsidRPr="000444D1" w14:paraId="243BF0D9" w14:textId="77777777">
        <w:trPr>
          <w:tblHeader/>
          <w:tblCellSpacing w:w="15" w:type="dxa"/>
        </w:trPr>
        <w:tc>
          <w:tcPr>
            <w:tcW w:w="0" w:type="auto"/>
            <w:vAlign w:val="center"/>
            <w:hideMark/>
          </w:tcPr>
          <w:p w14:paraId="14DDEEA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Capa</w:t>
            </w:r>
          </w:p>
        </w:tc>
        <w:tc>
          <w:tcPr>
            <w:tcW w:w="0" w:type="auto"/>
            <w:vAlign w:val="center"/>
            <w:hideMark/>
          </w:tcPr>
          <w:p w14:paraId="211910A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Estrategia</w:t>
            </w:r>
          </w:p>
        </w:tc>
        <w:tc>
          <w:tcPr>
            <w:tcW w:w="0" w:type="auto"/>
            <w:vAlign w:val="center"/>
            <w:hideMark/>
          </w:tcPr>
          <w:p w14:paraId="59A1836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Fundamento</w:t>
            </w:r>
          </w:p>
        </w:tc>
      </w:tr>
      <w:tr w:rsidR="000444D1" w:rsidRPr="000444D1" w14:paraId="6F948AFC" w14:textId="77777777">
        <w:trPr>
          <w:tblCellSpacing w:w="15" w:type="dxa"/>
        </w:trPr>
        <w:tc>
          <w:tcPr>
            <w:tcW w:w="0" w:type="auto"/>
            <w:vAlign w:val="center"/>
            <w:hideMark/>
          </w:tcPr>
          <w:p w14:paraId="2A937F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Borde e identidad</w:t>
            </w:r>
          </w:p>
        </w:tc>
        <w:tc>
          <w:tcPr>
            <w:tcW w:w="0" w:type="auto"/>
            <w:vAlign w:val="center"/>
            <w:hideMark/>
          </w:tcPr>
          <w:p w14:paraId="778228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Múltiples instancias en varias zonas de disponibilidad, tras balanceo con verificación de salud</w:t>
            </w:r>
          </w:p>
        </w:tc>
        <w:tc>
          <w:tcPr>
            <w:tcW w:w="0" w:type="auto"/>
            <w:vAlign w:val="center"/>
            <w:hideMark/>
          </w:tcPr>
          <w:p w14:paraId="5768EE8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Componentes sin estado; escalado horizontal directo</w:t>
            </w:r>
          </w:p>
        </w:tc>
      </w:tr>
      <w:tr w:rsidR="000444D1" w:rsidRPr="000444D1" w14:paraId="11652270" w14:textId="77777777">
        <w:trPr>
          <w:tblCellSpacing w:w="15" w:type="dxa"/>
        </w:trPr>
        <w:tc>
          <w:tcPr>
            <w:tcW w:w="0" w:type="auto"/>
            <w:vAlign w:val="center"/>
            <w:hideMark/>
          </w:tcPr>
          <w:p w14:paraId="30A4D7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Experiencia y dominio</w:t>
            </w:r>
          </w:p>
        </w:tc>
        <w:tc>
          <w:tcPr>
            <w:tcW w:w="0" w:type="auto"/>
            <w:vAlign w:val="center"/>
            <w:hideMark/>
          </w:tcPr>
          <w:p w14:paraId="3EF5409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Múltiples réplicas por zona, con despliegue progresivo y capacidad de retorno automático</w:t>
            </w:r>
          </w:p>
        </w:tc>
        <w:tc>
          <w:tcPr>
            <w:tcW w:w="0" w:type="auto"/>
            <w:vAlign w:val="center"/>
            <w:hideMark/>
          </w:tcPr>
          <w:p w14:paraId="61BC57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Permite desplegar sin ventana de indisponibilidad</w:t>
            </w:r>
          </w:p>
        </w:tc>
      </w:tr>
      <w:tr w:rsidR="000444D1" w:rsidRPr="000444D1" w14:paraId="05ECD569" w14:textId="77777777">
        <w:trPr>
          <w:tblCellSpacing w:w="15" w:type="dxa"/>
        </w:trPr>
        <w:tc>
          <w:tcPr>
            <w:tcW w:w="0" w:type="auto"/>
            <w:vAlign w:val="center"/>
            <w:hideMark/>
          </w:tcPr>
          <w:p w14:paraId="6FE6CE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Bus de eventos</w:t>
            </w:r>
          </w:p>
        </w:tc>
        <w:tc>
          <w:tcPr>
            <w:tcW w:w="0" w:type="auto"/>
            <w:vAlign w:val="center"/>
            <w:hideMark/>
          </w:tcPr>
          <w:p w14:paraId="048AC8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Particiones replicadas en tres zonas, con confirmación de escritura en la mayoría de réplicas</w:t>
            </w:r>
          </w:p>
        </w:tc>
        <w:tc>
          <w:tcPr>
            <w:tcW w:w="0" w:type="auto"/>
            <w:vAlign w:val="center"/>
            <w:hideMark/>
          </w:tcPr>
          <w:p w14:paraId="5B311B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Tolera la pérdida de una zona sin pérdida de mensajes</w:t>
            </w:r>
          </w:p>
        </w:tc>
      </w:tr>
      <w:tr w:rsidR="000444D1" w:rsidRPr="000444D1" w14:paraId="280E64AE" w14:textId="77777777">
        <w:trPr>
          <w:tblCellSpacing w:w="15" w:type="dxa"/>
        </w:trPr>
        <w:tc>
          <w:tcPr>
            <w:tcW w:w="0" w:type="auto"/>
            <w:vAlign w:val="center"/>
            <w:hideMark/>
          </w:tcPr>
          <w:p w14:paraId="69C3CF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Almacenes de dominio</w:t>
            </w:r>
          </w:p>
        </w:tc>
        <w:tc>
          <w:tcPr>
            <w:tcW w:w="0" w:type="auto"/>
            <w:vAlign w:val="center"/>
            <w:hideMark/>
          </w:tcPr>
          <w:p w14:paraId="180A76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Réplica síncrona dentro de la región, asíncrona hacia la región secundaria</w:t>
            </w:r>
          </w:p>
        </w:tc>
        <w:tc>
          <w:tcPr>
            <w:tcW w:w="0" w:type="auto"/>
            <w:vAlign w:val="center"/>
            <w:hideMark/>
          </w:tcPr>
          <w:p w14:paraId="647999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Réplica síncrona entre regiones penalizaría la latencia de escritura</w:t>
            </w:r>
          </w:p>
        </w:tc>
      </w:tr>
      <w:tr w:rsidR="000444D1" w:rsidRPr="000444D1" w14:paraId="4C449A4B" w14:textId="77777777">
        <w:trPr>
          <w:tblCellSpacing w:w="15" w:type="dxa"/>
        </w:trPr>
        <w:tc>
          <w:tcPr>
            <w:tcW w:w="0" w:type="auto"/>
            <w:vAlign w:val="center"/>
            <w:hideMark/>
          </w:tcPr>
          <w:p w14:paraId="4B392F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Conectividad con el centro de datos</w:t>
            </w:r>
          </w:p>
        </w:tc>
        <w:tc>
          <w:tcPr>
            <w:tcW w:w="0" w:type="auto"/>
            <w:vAlign w:val="center"/>
            <w:hideMark/>
          </w:tcPr>
          <w:p w14:paraId="6BEC3F2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Doble enlace dedicado por rutas independientes</w:t>
            </w:r>
          </w:p>
        </w:tc>
        <w:tc>
          <w:tcPr>
            <w:tcW w:w="0" w:type="auto"/>
            <w:vAlign w:val="center"/>
            <w:hideMark/>
          </w:tcPr>
          <w:p w14:paraId="613F16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ACL y el CDC dependen de ella; un enlace único sería punto único de fallo</w:t>
            </w:r>
          </w:p>
        </w:tc>
      </w:tr>
      <w:tr w:rsidR="000444D1" w:rsidRPr="000444D1" w14:paraId="62C3E179" w14:textId="77777777">
        <w:trPr>
          <w:tblCellSpacing w:w="15" w:type="dxa"/>
        </w:trPr>
        <w:tc>
          <w:tcPr>
            <w:tcW w:w="0" w:type="auto"/>
            <w:vAlign w:val="center"/>
            <w:hideMark/>
          </w:tcPr>
          <w:p w14:paraId="7EE006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Core tradicional</w:t>
            </w:r>
          </w:p>
        </w:tc>
        <w:tc>
          <w:tcPr>
            <w:tcW w:w="0" w:type="auto"/>
            <w:vAlign w:val="center"/>
            <w:hideMark/>
          </w:tcPr>
          <w:p w14:paraId="735F07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Capacidad de contingencia existente del banco</w:t>
            </w:r>
          </w:p>
        </w:tc>
        <w:tc>
          <w:tcPr>
            <w:tcW w:w="0" w:type="auto"/>
            <w:vAlign w:val="center"/>
            <w:hideMark/>
          </w:tcPr>
          <w:p w14:paraId="1FAD9F4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Fuera del alcance de rediseño; el diseño se adapta a su nivel, no lo asume mejor</w:t>
            </w:r>
          </w:p>
        </w:tc>
      </w:tr>
    </w:tbl>
    <w:p w14:paraId="0FADBCC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Sobre la elección de un modelo activo-pasivo entre regiones.</w:t>
      </w:r>
      <w:r w:rsidRPr="000444D1">
        <w:rPr>
          <w:rFonts w:ascii="Times New Roman" w:eastAsia="Times New Roman" w:hAnsi="Times New Roman" w:cs="Times New Roman"/>
          <w:kern w:val="0"/>
          <w14:ligatures w14:val="none"/>
        </w:rPr>
        <w:t xml:space="preserve"> El diseño adopta una región principal con múltiples zonas de disponibilidad y una región secundaria en modo preparado, no un esquema activo-activo entre regiones. La razón es de proporcionalidad: un modelo activo-activo exigiría resolver la coordinación de escrituras y la coherencia de particiones del bus entre regiones, con un costo operativo elevado, para mejorar un objetivo de 99.95 % que el modelo multizona ya satisface. Además, el core tradicional permanece en un único centro de datos, de modo que una segunda región activa no eliminaría la dependencia geográfica que realmente limita la disponibilidad del conjunto.</w:t>
      </w:r>
    </w:p>
    <w:p w14:paraId="172F94E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15.3 Matriz de degradación controlada</w:t>
      </w:r>
    </w:p>
    <w:p w14:paraId="17712D4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Esta matriz es la aplicación concreta del principio P7 y el desarrollo de la tabla 9.4. Para cada dependencia se declara qué deja de funcionar y, sobre todo, </w:t>
      </w:r>
      <w:r w:rsidRPr="000444D1">
        <w:rPr>
          <w:rFonts w:ascii="Times New Roman" w:eastAsia="Times New Roman" w:hAnsi="Times New Roman" w:cs="Times New Roman"/>
          <w:b/>
          <w:bCs/>
          <w:kern w:val="0"/>
          <w14:ligatures w14:val="none"/>
        </w:rPr>
        <w:t>qué sigue funcionando</w:t>
      </w:r>
      <w:r w:rsidRPr="000444D1">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260"/>
        <w:gridCol w:w="2560"/>
        <w:gridCol w:w="2664"/>
      </w:tblGrid>
      <w:tr w:rsidR="000444D1" w:rsidRPr="000444D1" w14:paraId="5B761710" w14:textId="77777777">
        <w:trPr>
          <w:tblHeader/>
          <w:tblCellSpacing w:w="15" w:type="dxa"/>
        </w:trPr>
        <w:tc>
          <w:tcPr>
            <w:tcW w:w="0" w:type="auto"/>
            <w:vAlign w:val="center"/>
            <w:hideMark/>
          </w:tcPr>
          <w:p w14:paraId="6BE1D25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Dependencia caída</w:t>
            </w:r>
          </w:p>
        </w:tc>
        <w:tc>
          <w:tcPr>
            <w:tcW w:w="0" w:type="auto"/>
            <w:vAlign w:val="center"/>
            <w:hideMark/>
          </w:tcPr>
          <w:p w14:paraId="514ED7C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Deja de funcionar</w:t>
            </w:r>
          </w:p>
        </w:tc>
        <w:tc>
          <w:tcPr>
            <w:tcW w:w="0" w:type="auto"/>
            <w:vAlign w:val="center"/>
            <w:hideMark/>
          </w:tcPr>
          <w:p w14:paraId="58B9B3E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Sigue funcionando</w:t>
            </w:r>
          </w:p>
        </w:tc>
        <w:tc>
          <w:tcPr>
            <w:tcW w:w="0" w:type="auto"/>
            <w:vAlign w:val="center"/>
            <w:hideMark/>
          </w:tcPr>
          <w:p w14:paraId="67379C5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Mecanismo</w:t>
            </w:r>
          </w:p>
        </w:tc>
      </w:tr>
      <w:tr w:rsidR="000444D1" w:rsidRPr="000444D1" w14:paraId="330A8634" w14:textId="77777777">
        <w:trPr>
          <w:tblCellSpacing w:w="15" w:type="dxa"/>
        </w:trPr>
        <w:tc>
          <w:tcPr>
            <w:tcW w:w="0" w:type="auto"/>
            <w:vAlign w:val="center"/>
            <w:hideMark/>
          </w:tcPr>
          <w:p w14:paraId="5C5FB00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tradicional</w:t>
            </w:r>
          </w:p>
        </w:tc>
        <w:tc>
          <w:tcPr>
            <w:tcW w:w="0" w:type="auto"/>
            <w:vAlign w:val="center"/>
            <w:hideMark/>
          </w:tcPr>
          <w:p w14:paraId="5DF005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Pagos con origen en cuentas tradicionales; alta de productos tradicionales</w:t>
            </w:r>
          </w:p>
        </w:tc>
        <w:tc>
          <w:tcPr>
            <w:tcW w:w="0" w:type="auto"/>
            <w:vAlign w:val="center"/>
            <w:hideMark/>
          </w:tcPr>
          <w:p w14:paraId="5C0F27D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posición completa; pagos entre cuentas digitales; consentimientos; consultas de terceros</w:t>
            </w:r>
          </w:p>
        </w:tc>
        <w:tc>
          <w:tcPr>
            <w:tcW w:w="0" w:type="auto"/>
            <w:vAlign w:val="center"/>
            <w:hideMark/>
          </w:tcPr>
          <w:p w14:paraId="4C7802A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controlador de disponibilidad del ACL expone el estado degradado; el canal informa antes de aceptar la operación</w:t>
            </w:r>
          </w:p>
        </w:tc>
      </w:tr>
      <w:tr w:rsidR="000444D1" w:rsidRPr="000444D1" w14:paraId="49BFA3B6" w14:textId="77777777">
        <w:trPr>
          <w:tblCellSpacing w:w="15" w:type="dxa"/>
        </w:trPr>
        <w:tc>
          <w:tcPr>
            <w:tcW w:w="0" w:type="auto"/>
            <w:vAlign w:val="center"/>
            <w:hideMark/>
          </w:tcPr>
          <w:p w14:paraId="35CB41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Core digital</w:t>
            </w:r>
          </w:p>
        </w:tc>
        <w:tc>
          <w:tcPr>
            <w:tcW w:w="0" w:type="auto"/>
            <w:vAlign w:val="center"/>
            <w:hideMark/>
          </w:tcPr>
          <w:p w14:paraId="51ADBE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Pagos con origen en cuentas digitales</w:t>
            </w:r>
          </w:p>
        </w:tc>
        <w:tc>
          <w:tcPr>
            <w:tcW w:w="0" w:type="auto"/>
            <w:vAlign w:val="center"/>
            <w:hideMark/>
          </w:tcPr>
          <w:p w14:paraId="1174E93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lo relativo a productos tradicionales; consultas</w:t>
            </w:r>
          </w:p>
        </w:tc>
        <w:tc>
          <w:tcPr>
            <w:tcW w:w="0" w:type="auto"/>
            <w:vAlign w:val="center"/>
            <w:hideMark/>
          </w:tcPr>
          <w:p w14:paraId="4D22C3D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Mismo mecanismo, en el adaptador correspondiente</w:t>
            </w:r>
          </w:p>
        </w:tc>
      </w:tr>
      <w:tr w:rsidR="000444D1" w:rsidRPr="000444D1" w14:paraId="087AD77F" w14:textId="77777777">
        <w:trPr>
          <w:tblCellSpacing w:w="15" w:type="dxa"/>
        </w:trPr>
        <w:tc>
          <w:tcPr>
            <w:tcW w:w="0" w:type="auto"/>
            <w:vAlign w:val="center"/>
            <w:hideMark/>
          </w:tcPr>
          <w:p w14:paraId="57F855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Motor de fraude</w:t>
            </w:r>
          </w:p>
        </w:tc>
        <w:tc>
          <w:tcPr>
            <w:tcW w:w="0" w:type="auto"/>
            <w:vAlign w:val="center"/>
            <w:hideMark/>
          </w:tcPr>
          <w:p w14:paraId="6CE4E9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Operaciones sobre el umbral de monto</w:t>
            </w:r>
          </w:p>
        </w:tc>
        <w:tc>
          <w:tcPr>
            <w:tcW w:w="0" w:type="auto"/>
            <w:vAlign w:val="center"/>
            <w:hideMark/>
          </w:tcPr>
          <w:p w14:paraId="24EE5CF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Operaciones bajo umbral, marcadas para revisión posterior</w:t>
            </w:r>
          </w:p>
        </w:tc>
        <w:tc>
          <w:tcPr>
            <w:tcW w:w="0" w:type="auto"/>
            <w:vAlign w:val="center"/>
            <w:hideMark/>
          </w:tcPr>
          <w:p w14:paraId="677181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Degradación graduada del ADR-005</w:t>
            </w:r>
          </w:p>
        </w:tc>
      </w:tr>
      <w:tr w:rsidR="000444D1" w:rsidRPr="000444D1" w14:paraId="16D52A4B" w14:textId="77777777">
        <w:trPr>
          <w:tblCellSpacing w:w="15" w:type="dxa"/>
        </w:trPr>
        <w:tc>
          <w:tcPr>
            <w:tcW w:w="0" w:type="auto"/>
            <w:vAlign w:val="center"/>
            <w:hideMark/>
          </w:tcPr>
          <w:p w14:paraId="6BA9D9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Sistema de riesgos</w:t>
            </w:r>
          </w:p>
        </w:tc>
        <w:tc>
          <w:tcPr>
            <w:tcW w:w="0" w:type="auto"/>
            <w:vAlign w:val="center"/>
            <w:hideMark/>
          </w:tcPr>
          <w:p w14:paraId="6DFCD2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Originación de productos que requieren calificación</w:t>
            </w:r>
          </w:p>
        </w:tc>
        <w:tc>
          <w:tcPr>
            <w:tcW w:w="0" w:type="auto"/>
            <w:vAlign w:val="center"/>
            <w:hideMark/>
          </w:tcPr>
          <w:p w14:paraId="171D07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la operativa transaccional</w:t>
            </w:r>
          </w:p>
        </w:tc>
        <w:tc>
          <w:tcPr>
            <w:tcW w:w="0" w:type="auto"/>
            <w:vAlign w:val="center"/>
            <w:hideMark/>
          </w:tcPr>
          <w:p w14:paraId="4FB2BB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D6 responde con veredicto no disponible; solo bloquea flujos de originación</w:t>
            </w:r>
          </w:p>
        </w:tc>
      </w:tr>
      <w:tr w:rsidR="000444D1" w:rsidRPr="000444D1" w14:paraId="793E3FA7" w14:textId="77777777">
        <w:trPr>
          <w:tblCellSpacing w:w="15" w:type="dxa"/>
        </w:trPr>
        <w:tc>
          <w:tcPr>
            <w:tcW w:w="0" w:type="auto"/>
            <w:vAlign w:val="center"/>
            <w:hideMark/>
          </w:tcPr>
          <w:p w14:paraId="0AC43D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Bus de eventos</w:t>
            </w:r>
          </w:p>
        </w:tc>
        <w:tc>
          <w:tcPr>
            <w:tcW w:w="0" w:type="auto"/>
            <w:vAlign w:val="center"/>
            <w:hideMark/>
          </w:tcPr>
          <w:p w14:paraId="256763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Actualización de la proyección, auditoría en tiempo real, realimentación de modelos</w:t>
            </w:r>
          </w:p>
        </w:tc>
        <w:tc>
          <w:tcPr>
            <w:tcW w:w="0" w:type="auto"/>
            <w:vAlign w:val="center"/>
            <w:hideMark/>
          </w:tcPr>
          <w:p w14:paraId="0A4F0A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Toda la operativa síncrona</w:t>
            </w:r>
            <w:r w:rsidRPr="000444D1">
              <w:rPr>
                <w:rFonts w:ascii="Times New Roman" w:eastAsia="Times New Roman" w:hAnsi="Times New Roman" w:cs="Times New Roman"/>
                <w:kern w:val="0"/>
                <w14:ligatures w14:val="none"/>
              </w:rPr>
              <w:t>: pagos, consultas, accesos de terceros</w:t>
            </w:r>
          </w:p>
        </w:tc>
        <w:tc>
          <w:tcPr>
            <w:tcW w:w="0" w:type="auto"/>
            <w:vAlign w:val="center"/>
            <w:hideMark/>
          </w:tcPr>
          <w:p w14:paraId="1540FD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eventos se acumulan en las tablas outbox y se publican al restablecerse</w:t>
            </w:r>
          </w:p>
        </w:tc>
      </w:tr>
      <w:tr w:rsidR="000444D1" w:rsidRPr="000444D1" w14:paraId="2C382A9E" w14:textId="77777777">
        <w:trPr>
          <w:tblCellSpacing w:w="15" w:type="dxa"/>
        </w:trPr>
        <w:tc>
          <w:tcPr>
            <w:tcW w:w="0" w:type="auto"/>
            <w:vAlign w:val="center"/>
            <w:hideMark/>
          </w:tcPr>
          <w:p w14:paraId="641CD7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D3 Posición consolidada</w:t>
            </w:r>
          </w:p>
        </w:tc>
        <w:tc>
          <w:tcPr>
            <w:tcW w:w="0" w:type="auto"/>
            <w:vAlign w:val="center"/>
            <w:hideMark/>
          </w:tcPr>
          <w:p w14:paraId="417EE1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posición y de movimientos</w:t>
            </w:r>
          </w:p>
        </w:tc>
        <w:tc>
          <w:tcPr>
            <w:tcW w:w="0" w:type="auto"/>
            <w:vAlign w:val="center"/>
            <w:hideMark/>
          </w:tcPr>
          <w:p w14:paraId="3BA2A4F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Originación de pagos, accesos de terceros a otros recursos</w:t>
            </w:r>
          </w:p>
        </w:tc>
        <w:tc>
          <w:tcPr>
            <w:tcW w:w="0" w:type="auto"/>
            <w:vAlign w:val="center"/>
            <w:hideMark/>
          </w:tcPr>
          <w:p w14:paraId="699FA2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pago no depende de D3: el core valida los fondos (ADR-002)</w:t>
            </w:r>
          </w:p>
        </w:tc>
      </w:tr>
      <w:tr w:rsidR="000444D1" w:rsidRPr="000444D1" w14:paraId="404E1D6F" w14:textId="77777777">
        <w:trPr>
          <w:tblCellSpacing w:w="15" w:type="dxa"/>
        </w:trPr>
        <w:tc>
          <w:tcPr>
            <w:tcW w:w="0" w:type="auto"/>
            <w:vAlign w:val="center"/>
            <w:hideMark/>
          </w:tcPr>
          <w:p w14:paraId="01C7AE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D7 Consentimientos</w:t>
            </w:r>
          </w:p>
        </w:tc>
        <w:tc>
          <w:tcPr>
            <w:tcW w:w="0" w:type="auto"/>
            <w:vAlign w:val="center"/>
            <w:hideMark/>
          </w:tcPr>
          <w:p w14:paraId="6480A8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acceso de terceros Open Finance</w:t>
            </w:r>
          </w:p>
        </w:tc>
        <w:tc>
          <w:tcPr>
            <w:tcW w:w="0" w:type="auto"/>
            <w:vAlign w:val="center"/>
            <w:hideMark/>
          </w:tcPr>
          <w:p w14:paraId="36DB55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la operativa de canales propios</w:t>
            </w:r>
          </w:p>
        </w:tc>
        <w:tc>
          <w:tcPr>
            <w:tcW w:w="0" w:type="auto"/>
            <w:vAlign w:val="center"/>
            <w:hideMark/>
          </w:tcPr>
          <w:p w14:paraId="177360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Denegación por omisión: sin verificación de consentimiento no hay acceso</w:t>
            </w:r>
          </w:p>
        </w:tc>
      </w:tr>
      <w:tr w:rsidR="000444D1" w:rsidRPr="000444D1" w14:paraId="10C0E5A3" w14:textId="77777777">
        <w:trPr>
          <w:tblCellSpacing w:w="15" w:type="dxa"/>
        </w:trPr>
        <w:tc>
          <w:tcPr>
            <w:tcW w:w="0" w:type="auto"/>
            <w:vAlign w:val="center"/>
            <w:hideMark/>
          </w:tcPr>
          <w:p w14:paraId="0FCC00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D9 Entitlements</w:t>
            </w:r>
          </w:p>
        </w:tc>
        <w:tc>
          <w:tcPr>
            <w:tcW w:w="0" w:type="auto"/>
            <w:vAlign w:val="center"/>
            <w:hideMark/>
          </w:tcPr>
          <w:p w14:paraId="2031367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operación sobre cuentas</w:t>
            </w:r>
          </w:p>
        </w:tc>
        <w:tc>
          <w:tcPr>
            <w:tcW w:w="0" w:type="auto"/>
            <w:vAlign w:val="center"/>
            <w:hideMark/>
          </w:tcPr>
          <w:p w14:paraId="1B0350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Autenticación y navegación sin datos</w:t>
            </w:r>
          </w:p>
        </w:tc>
        <w:tc>
          <w:tcPr>
            <w:tcW w:w="0" w:type="auto"/>
            <w:vAlign w:val="center"/>
            <w:hideMark/>
          </w:tcPr>
          <w:p w14:paraId="692378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Denegación por omisión; es dependencia crítica reconocida (15.7)</w:t>
            </w:r>
          </w:p>
        </w:tc>
      </w:tr>
      <w:tr w:rsidR="000444D1" w:rsidRPr="000444D1" w14:paraId="3B7112CF" w14:textId="77777777">
        <w:trPr>
          <w:tblCellSpacing w:w="15" w:type="dxa"/>
        </w:trPr>
        <w:tc>
          <w:tcPr>
            <w:tcW w:w="0" w:type="auto"/>
            <w:vAlign w:val="center"/>
            <w:hideMark/>
          </w:tcPr>
          <w:p w14:paraId="533655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IdP</w:t>
            </w:r>
          </w:p>
        </w:tc>
        <w:tc>
          <w:tcPr>
            <w:tcW w:w="0" w:type="auto"/>
            <w:vAlign w:val="center"/>
            <w:hideMark/>
          </w:tcPr>
          <w:p w14:paraId="666A1F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Nuevas autenticaciones</w:t>
            </w:r>
          </w:p>
        </w:tc>
        <w:tc>
          <w:tcPr>
            <w:tcW w:w="0" w:type="auto"/>
            <w:vAlign w:val="center"/>
            <w:hideMark/>
          </w:tcPr>
          <w:p w14:paraId="1039FA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Sesiones ya establecidas, hasta el vencimiento de su token</w:t>
            </w:r>
          </w:p>
        </w:tc>
        <w:tc>
          <w:tcPr>
            <w:tcW w:w="0" w:type="auto"/>
            <w:vAlign w:val="center"/>
            <w:hideMark/>
          </w:tcPr>
          <w:p w14:paraId="1B5C35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tokens en curso siguen siendo verificables por firma sin llamar al IdP</w:t>
            </w:r>
          </w:p>
        </w:tc>
      </w:tr>
      <w:tr w:rsidR="000444D1" w:rsidRPr="000444D1" w14:paraId="0E234180" w14:textId="77777777">
        <w:trPr>
          <w:tblCellSpacing w:w="15" w:type="dxa"/>
        </w:trPr>
        <w:tc>
          <w:tcPr>
            <w:tcW w:w="0" w:type="auto"/>
            <w:vAlign w:val="center"/>
            <w:hideMark/>
          </w:tcPr>
          <w:p w14:paraId="7BEB54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D8 Historial</w:t>
            </w:r>
          </w:p>
        </w:tc>
        <w:tc>
          <w:tcPr>
            <w:tcW w:w="0" w:type="auto"/>
            <w:vAlign w:val="center"/>
            <w:hideMark/>
          </w:tcPr>
          <w:p w14:paraId="0E1B99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 de trazas de auditoría</w:t>
            </w:r>
          </w:p>
        </w:tc>
        <w:tc>
          <w:tcPr>
            <w:tcW w:w="0" w:type="auto"/>
            <w:vAlign w:val="center"/>
            <w:hideMark/>
          </w:tcPr>
          <w:p w14:paraId="53DBE5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la operativa</w:t>
            </w:r>
          </w:p>
        </w:tc>
        <w:tc>
          <w:tcPr>
            <w:tcW w:w="0" w:type="auto"/>
            <w:vAlign w:val="center"/>
            <w:hideMark/>
          </w:tcPr>
          <w:p w14:paraId="35FEE1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eventos permanecen en el bus y se consumen al restablecerse</w:t>
            </w:r>
          </w:p>
        </w:tc>
      </w:tr>
      <w:tr w:rsidR="000444D1" w:rsidRPr="000444D1" w14:paraId="5019B723" w14:textId="77777777">
        <w:trPr>
          <w:tblCellSpacing w:w="15" w:type="dxa"/>
        </w:trPr>
        <w:tc>
          <w:tcPr>
            <w:tcW w:w="0" w:type="auto"/>
            <w:vAlign w:val="center"/>
            <w:hideMark/>
          </w:tcPr>
          <w:p w14:paraId="799474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Redes de pago externas</w:t>
            </w:r>
          </w:p>
        </w:tc>
        <w:tc>
          <w:tcPr>
            <w:tcW w:w="0" w:type="auto"/>
            <w:vAlign w:val="center"/>
            <w:hideMark/>
          </w:tcPr>
          <w:p w14:paraId="4F4E40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Transferencias interbancarias</w:t>
            </w:r>
          </w:p>
        </w:tc>
        <w:tc>
          <w:tcPr>
            <w:tcW w:w="0" w:type="auto"/>
            <w:vAlign w:val="center"/>
            <w:hideMark/>
          </w:tcPr>
          <w:p w14:paraId="080226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Transferencias internas entre cuentas del banco</w:t>
            </w:r>
          </w:p>
        </w:tc>
        <w:tc>
          <w:tcPr>
            <w:tcW w:w="0" w:type="auto"/>
            <w:vAlign w:val="center"/>
            <w:hideMark/>
          </w:tcPr>
          <w:p w14:paraId="5580FA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órdenes quedan en estado de espera y se reintentan</w:t>
            </w:r>
          </w:p>
        </w:tc>
      </w:tr>
      <w:tr w:rsidR="000444D1" w:rsidRPr="000444D1" w14:paraId="2BB2048A" w14:textId="77777777">
        <w:trPr>
          <w:tblCellSpacing w:w="15" w:type="dxa"/>
        </w:trPr>
        <w:tc>
          <w:tcPr>
            <w:tcW w:w="0" w:type="auto"/>
            <w:vAlign w:val="center"/>
            <w:hideMark/>
          </w:tcPr>
          <w:p w14:paraId="05939C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CDC del core tradicional</w:t>
            </w:r>
          </w:p>
        </w:tc>
        <w:tc>
          <w:tcPr>
            <w:tcW w:w="0" w:type="auto"/>
            <w:vAlign w:val="center"/>
            <w:hideMark/>
          </w:tcPr>
          <w:p w14:paraId="0AE690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Visibilidad de operaciones presenciales en la proyección y en fraude</w:t>
            </w:r>
          </w:p>
        </w:tc>
        <w:tc>
          <w:tcPr>
            <w:tcW w:w="0" w:type="auto"/>
            <w:vAlign w:val="center"/>
            <w:hideMark/>
          </w:tcPr>
          <w:p w14:paraId="4A5076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la operativa digital</w:t>
            </w:r>
          </w:p>
        </w:tc>
        <w:tc>
          <w:tcPr>
            <w:tcW w:w="0" w:type="auto"/>
            <w:vAlign w:val="center"/>
            <w:hideMark/>
          </w:tcPr>
          <w:p w14:paraId="0BD955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 restablecerse recupera desde el punto de corte; la deduplicación por clave de negocio absorbe el solapamiento</w:t>
            </w:r>
          </w:p>
        </w:tc>
      </w:tr>
    </w:tbl>
    <w:p w14:paraId="6764F15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La fila del bus de eventos es la más significativa.</w:t>
      </w:r>
      <w:r w:rsidRPr="000444D1">
        <w:rPr>
          <w:rFonts w:ascii="Times New Roman" w:eastAsia="Times New Roman" w:hAnsi="Times New Roman" w:cs="Times New Roman"/>
          <w:kern w:val="0"/>
          <w14:ligatures w14:val="none"/>
        </w:rPr>
        <w:t xml:space="preserve"> Un diseño orientado a eventos mal planteado convierte al bus en punto único de fallo de todo el sistema. Aquí no lo es: la caída del bus detiene la propagación, no la operación. Un cliente puede seguir transfiriendo dinero mientras el bus está caído, porque el pago se ejecuta de forma síncrona contra el core y el evento espera en la tabla outbox. Lo que se degrada es la frescura de la proyección y la latencia de la auditoría, no la capacidad transaccional. Esta propiedad es consecuencia directa de haber situado el débito autoritativo en el camino síncrono (ADR-003) y de no haber usado el bus como mecanismo de ejecución.</w:t>
      </w:r>
    </w:p>
    <w:p w14:paraId="268B237F"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15.4 Patrones de resiliencia y su ubicación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3566"/>
        <w:gridCol w:w="3294"/>
      </w:tblGrid>
      <w:tr w:rsidR="000444D1" w:rsidRPr="000444D1" w14:paraId="1268F9D0" w14:textId="77777777">
        <w:trPr>
          <w:tblHeader/>
          <w:tblCellSpacing w:w="15" w:type="dxa"/>
        </w:trPr>
        <w:tc>
          <w:tcPr>
            <w:tcW w:w="0" w:type="auto"/>
            <w:vAlign w:val="center"/>
            <w:hideMark/>
          </w:tcPr>
          <w:p w14:paraId="42DD7BE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Patrón</w:t>
            </w:r>
          </w:p>
        </w:tc>
        <w:tc>
          <w:tcPr>
            <w:tcW w:w="0" w:type="auto"/>
            <w:vAlign w:val="center"/>
            <w:hideMark/>
          </w:tcPr>
          <w:p w14:paraId="45E732A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Dónde reside</w:t>
            </w:r>
          </w:p>
        </w:tc>
        <w:tc>
          <w:tcPr>
            <w:tcW w:w="0" w:type="auto"/>
            <w:vAlign w:val="center"/>
            <w:hideMark/>
          </w:tcPr>
          <w:p w14:paraId="518FBD9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Problema que resuelve</w:t>
            </w:r>
          </w:p>
        </w:tc>
      </w:tr>
      <w:tr w:rsidR="000444D1" w:rsidRPr="000444D1" w14:paraId="7B90C9BF" w14:textId="77777777">
        <w:trPr>
          <w:tblCellSpacing w:w="15" w:type="dxa"/>
        </w:trPr>
        <w:tc>
          <w:tcPr>
            <w:tcW w:w="0" w:type="auto"/>
            <w:vAlign w:val="center"/>
            <w:hideMark/>
          </w:tcPr>
          <w:p w14:paraId="60445D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Cortocircuito</w:t>
            </w:r>
          </w:p>
        </w:tc>
        <w:tc>
          <w:tcPr>
            <w:tcW w:w="0" w:type="auto"/>
            <w:vAlign w:val="center"/>
            <w:hideMark/>
          </w:tcPr>
          <w:p w14:paraId="39C8C4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Cliente de fraude y enrutador de core (D4); controlador de disponibilidad del ACL</w:t>
            </w:r>
          </w:p>
        </w:tc>
        <w:tc>
          <w:tcPr>
            <w:tcW w:w="0" w:type="auto"/>
            <w:vAlign w:val="center"/>
            <w:hideMark/>
          </w:tcPr>
          <w:p w14:paraId="6630DC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Evita agotar recursos invocando a un sistema caído</w:t>
            </w:r>
          </w:p>
        </w:tc>
      </w:tr>
      <w:tr w:rsidR="000444D1" w:rsidRPr="000444D1" w14:paraId="6A99E824" w14:textId="77777777">
        <w:trPr>
          <w:tblCellSpacing w:w="15" w:type="dxa"/>
        </w:trPr>
        <w:tc>
          <w:tcPr>
            <w:tcW w:w="0" w:type="auto"/>
            <w:vAlign w:val="center"/>
            <w:hideMark/>
          </w:tcPr>
          <w:p w14:paraId="7C98A0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Tiempo límite explícito</w:t>
            </w:r>
          </w:p>
        </w:tc>
        <w:tc>
          <w:tcPr>
            <w:tcW w:w="0" w:type="auto"/>
            <w:vAlign w:val="center"/>
            <w:hideMark/>
          </w:tcPr>
          <w:p w14:paraId="06428E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invocación saliente; 300 ms en fraude, presupuesto propio en cada core</w:t>
            </w:r>
          </w:p>
        </w:tc>
        <w:tc>
          <w:tcPr>
            <w:tcW w:w="0" w:type="auto"/>
            <w:vAlign w:val="center"/>
            <w:hideMark/>
          </w:tcPr>
          <w:p w14:paraId="425C50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límite, un sistema lento se propaga como una caída</w:t>
            </w:r>
          </w:p>
        </w:tc>
      </w:tr>
      <w:tr w:rsidR="000444D1" w:rsidRPr="000444D1" w14:paraId="538EC277" w14:textId="77777777">
        <w:trPr>
          <w:tblCellSpacing w:w="15" w:type="dxa"/>
        </w:trPr>
        <w:tc>
          <w:tcPr>
            <w:tcW w:w="0" w:type="auto"/>
            <w:vAlign w:val="center"/>
            <w:hideMark/>
          </w:tcPr>
          <w:p w14:paraId="2D6BAE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Compartimentación</w:t>
            </w:r>
          </w:p>
        </w:tc>
        <w:tc>
          <w:tcPr>
            <w:tcW w:w="0" w:type="auto"/>
            <w:vAlign w:val="center"/>
            <w:hideMark/>
          </w:tcPr>
          <w:p w14:paraId="1722B1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Grupos de conexiones y de hilos separados por dependencia en D4</w:t>
            </w:r>
          </w:p>
        </w:tc>
        <w:tc>
          <w:tcPr>
            <w:tcW w:w="0" w:type="auto"/>
            <w:vAlign w:val="center"/>
            <w:hideMark/>
          </w:tcPr>
          <w:p w14:paraId="2912DC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lentitud del core no consume los recursos destinados al motor de fraude</w:t>
            </w:r>
          </w:p>
        </w:tc>
      </w:tr>
      <w:tr w:rsidR="000444D1" w:rsidRPr="000444D1" w14:paraId="6D97789E" w14:textId="77777777">
        <w:trPr>
          <w:tblCellSpacing w:w="15" w:type="dxa"/>
        </w:trPr>
        <w:tc>
          <w:tcPr>
            <w:tcW w:w="0" w:type="auto"/>
            <w:vAlign w:val="center"/>
            <w:hideMark/>
          </w:tcPr>
          <w:p w14:paraId="26C7409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Reintento con retroceso y dispersión</w:t>
            </w:r>
          </w:p>
        </w:tc>
        <w:tc>
          <w:tcPr>
            <w:tcW w:w="0" w:type="auto"/>
            <w:vAlign w:val="center"/>
            <w:hideMark/>
          </w:tcPr>
          <w:p w14:paraId="450600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Consumidores de eventos y despachador outbox</w:t>
            </w:r>
          </w:p>
        </w:tc>
        <w:tc>
          <w:tcPr>
            <w:tcW w:w="0" w:type="auto"/>
            <w:vAlign w:val="center"/>
            <w:hideMark/>
          </w:tcPr>
          <w:p w14:paraId="1251F7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Recuperación ante fallos transitorios sin sincronizar la carga de reintento</w:t>
            </w:r>
          </w:p>
        </w:tc>
      </w:tr>
      <w:tr w:rsidR="000444D1" w:rsidRPr="000444D1" w14:paraId="68739DA0" w14:textId="77777777">
        <w:trPr>
          <w:tblCellSpacing w:w="15" w:type="dxa"/>
        </w:trPr>
        <w:tc>
          <w:tcPr>
            <w:tcW w:w="0" w:type="auto"/>
            <w:vAlign w:val="center"/>
            <w:hideMark/>
          </w:tcPr>
          <w:p w14:paraId="66FB3E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Contrapresión</w:t>
            </w:r>
          </w:p>
        </w:tc>
        <w:tc>
          <w:tcPr>
            <w:tcW w:w="0" w:type="auto"/>
            <w:vAlign w:val="center"/>
            <w:hideMark/>
          </w:tcPr>
          <w:p w14:paraId="4F9043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Consumidores del bus</w:t>
            </w:r>
          </w:p>
        </w:tc>
        <w:tc>
          <w:tcPr>
            <w:tcW w:w="0" w:type="auto"/>
            <w:vAlign w:val="center"/>
            <w:hideMark/>
          </w:tcPr>
          <w:p w14:paraId="6C753B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consumidor lento no acumula memoria hasta agotarla</w:t>
            </w:r>
          </w:p>
        </w:tc>
      </w:tr>
      <w:tr w:rsidR="000444D1" w:rsidRPr="000444D1" w14:paraId="10684703" w14:textId="77777777">
        <w:trPr>
          <w:tblCellSpacing w:w="15" w:type="dxa"/>
        </w:trPr>
        <w:tc>
          <w:tcPr>
            <w:tcW w:w="0" w:type="auto"/>
            <w:vAlign w:val="center"/>
            <w:hideMark/>
          </w:tcPr>
          <w:p w14:paraId="3672F5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Cola de mensajes fallidos</w:t>
            </w:r>
          </w:p>
        </w:tc>
        <w:tc>
          <w:tcPr>
            <w:tcW w:w="0" w:type="auto"/>
            <w:vAlign w:val="center"/>
            <w:hideMark/>
          </w:tcPr>
          <w:p w14:paraId="734296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Por consumidor y tipo (sección 12.8)</w:t>
            </w:r>
          </w:p>
        </w:tc>
        <w:tc>
          <w:tcPr>
            <w:tcW w:w="0" w:type="auto"/>
            <w:vAlign w:val="center"/>
            <w:hideMark/>
          </w:tcPr>
          <w:p w14:paraId="5CA711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mensaje defectuoso no bloquea la partición</w:t>
            </w:r>
          </w:p>
        </w:tc>
      </w:tr>
      <w:tr w:rsidR="000444D1" w:rsidRPr="000444D1" w14:paraId="00C2ECD2" w14:textId="77777777">
        <w:trPr>
          <w:tblCellSpacing w:w="15" w:type="dxa"/>
        </w:trPr>
        <w:tc>
          <w:tcPr>
            <w:tcW w:w="0" w:type="auto"/>
            <w:vAlign w:val="center"/>
            <w:hideMark/>
          </w:tcPr>
          <w:p w14:paraId="0B78E6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Reconciliación</w:t>
            </w:r>
          </w:p>
        </w:tc>
        <w:tc>
          <w:tcPr>
            <w:tcW w:w="0" w:type="auto"/>
            <w:vAlign w:val="center"/>
            <w:hideMark/>
          </w:tcPr>
          <w:p w14:paraId="38260C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Proceso periódico contra ambos cores</w:t>
            </w:r>
          </w:p>
        </w:tc>
        <w:tc>
          <w:tcPr>
            <w:tcW w:w="0" w:type="auto"/>
            <w:vAlign w:val="center"/>
            <w:hideMark/>
          </w:tcPr>
          <w:p w14:paraId="26C8CF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Resuelve estados desconocidos (sección 15.6)</w:t>
            </w:r>
          </w:p>
        </w:tc>
      </w:tr>
    </w:tbl>
    <w:p w14:paraId="5103D45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Ausencia deliberada de reintento automático en escrituras contra el core.</w:t>
      </w:r>
      <w:r w:rsidRPr="000444D1">
        <w:rPr>
          <w:rFonts w:ascii="Times New Roman" w:eastAsia="Times New Roman" w:hAnsi="Times New Roman" w:cs="Times New Roman"/>
          <w:kern w:val="0"/>
          <w14:ligatures w14:val="none"/>
        </w:rPr>
        <w:t xml:space="preserve"> El enrutador de core no reintenta un débito sin respuesta. Reintentar una operación cuyo resultado se desconoce produce doble débito, y la clave de idempotencia mitiga pero no elimina el riesgo si el core no la soporta de forma nativa. La orden pasa a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y la resuelve la reconciliación consultando el estado real mediante </w:t>
      </w:r>
      <w:r w:rsidRPr="000444D1">
        <w:rPr>
          <w:rFonts w:ascii="Courier New" w:eastAsia="Times New Roman" w:hAnsi="Courier New" w:cs="Courier New"/>
          <w:kern w:val="0"/>
          <w:sz w:val="20"/>
          <w:szCs w:val="20"/>
          <w14:ligatures w14:val="none"/>
        </w:rPr>
        <w:t>ConsultarEstadoAsync</w:t>
      </w:r>
      <w:r w:rsidRPr="000444D1">
        <w:rPr>
          <w:rFonts w:ascii="Times New Roman" w:eastAsia="Times New Roman" w:hAnsi="Times New Roman" w:cs="Times New Roman"/>
          <w:kern w:val="0"/>
          <w14:ligatures w14:val="none"/>
        </w:rPr>
        <w:t>. Es una renuncia consciente a una recuperación automática rápida a cambio de una garantía de corrección.</w:t>
      </w:r>
    </w:p>
    <w:p w14:paraId="1AF69D60"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15.5 Escenarios de desastre y respuesta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2141"/>
        <w:gridCol w:w="3267"/>
        <w:gridCol w:w="1559"/>
      </w:tblGrid>
      <w:tr w:rsidR="000444D1" w:rsidRPr="000444D1" w14:paraId="4DECB222" w14:textId="77777777">
        <w:trPr>
          <w:tblHeader/>
          <w:tblCellSpacing w:w="15" w:type="dxa"/>
        </w:trPr>
        <w:tc>
          <w:tcPr>
            <w:tcW w:w="0" w:type="auto"/>
            <w:vAlign w:val="center"/>
            <w:hideMark/>
          </w:tcPr>
          <w:p w14:paraId="0200238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Escenario</w:t>
            </w:r>
          </w:p>
        </w:tc>
        <w:tc>
          <w:tcPr>
            <w:tcW w:w="0" w:type="auto"/>
            <w:vAlign w:val="center"/>
            <w:hideMark/>
          </w:tcPr>
          <w:p w14:paraId="5A608A2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Impacto</w:t>
            </w:r>
          </w:p>
        </w:tc>
        <w:tc>
          <w:tcPr>
            <w:tcW w:w="0" w:type="auto"/>
            <w:vAlign w:val="center"/>
            <w:hideMark/>
          </w:tcPr>
          <w:p w14:paraId="449FC66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Respuesta</w:t>
            </w:r>
          </w:p>
        </w:tc>
        <w:tc>
          <w:tcPr>
            <w:tcW w:w="0" w:type="auto"/>
            <w:vAlign w:val="center"/>
            <w:hideMark/>
          </w:tcPr>
          <w:p w14:paraId="408BCAB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RTO esperado</w:t>
            </w:r>
          </w:p>
        </w:tc>
      </w:tr>
      <w:tr w:rsidR="000444D1" w:rsidRPr="000444D1" w14:paraId="13203DAB" w14:textId="77777777">
        <w:trPr>
          <w:tblCellSpacing w:w="15" w:type="dxa"/>
        </w:trPr>
        <w:tc>
          <w:tcPr>
            <w:tcW w:w="0" w:type="auto"/>
            <w:vAlign w:val="center"/>
            <w:hideMark/>
          </w:tcPr>
          <w:p w14:paraId="0C7AB28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Pérdida de una zona de disponibilidad</w:t>
            </w:r>
          </w:p>
        </w:tc>
        <w:tc>
          <w:tcPr>
            <w:tcW w:w="0" w:type="auto"/>
            <w:vAlign w:val="center"/>
            <w:hideMark/>
          </w:tcPr>
          <w:p w14:paraId="5A1F6EE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Reducción de capacidad</w:t>
            </w:r>
          </w:p>
        </w:tc>
        <w:tc>
          <w:tcPr>
            <w:tcW w:w="0" w:type="auto"/>
            <w:vAlign w:val="center"/>
            <w:hideMark/>
          </w:tcPr>
          <w:p w14:paraId="02EF9F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Automática: el balanceo redirige; las particiones del bus eligen nueva réplica principal</w:t>
            </w:r>
          </w:p>
        </w:tc>
        <w:tc>
          <w:tcPr>
            <w:tcW w:w="0" w:type="auto"/>
            <w:vAlign w:val="center"/>
            <w:hideMark/>
          </w:tcPr>
          <w:p w14:paraId="3DD0EC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interrupción</w:t>
            </w:r>
          </w:p>
        </w:tc>
      </w:tr>
      <w:tr w:rsidR="000444D1" w:rsidRPr="000444D1" w14:paraId="0755DC6E" w14:textId="77777777">
        <w:trPr>
          <w:tblCellSpacing w:w="15" w:type="dxa"/>
        </w:trPr>
        <w:tc>
          <w:tcPr>
            <w:tcW w:w="0" w:type="auto"/>
            <w:vAlign w:val="center"/>
            <w:hideMark/>
          </w:tcPr>
          <w:p w14:paraId="56EA83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Pérdida de la región principal</w:t>
            </w:r>
          </w:p>
        </w:tc>
        <w:tc>
          <w:tcPr>
            <w:tcW w:w="0" w:type="auto"/>
            <w:vAlign w:val="center"/>
            <w:hideMark/>
          </w:tcPr>
          <w:p w14:paraId="7DC33F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Indisponibilidad de la capa digital</w:t>
            </w:r>
          </w:p>
        </w:tc>
        <w:tc>
          <w:tcPr>
            <w:tcW w:w="0" w:type="auto"/>
            <w:vAlign w:val="center"/>
            <w:hideMark/>
          </w:tcPr>
          <w:p w14:paraId="466263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Activación de la región secundaria; promoción de réplicas; redirección de nombres</w:t>
            </w:r>
          </w:p>
        </w:tc>
        <w:tc>
          <w:tcPr>
            <w:tcW w:w="0" w:type="auto"/>
            <w:vAlign w:val="center"/>
            <w:hideMark/>
          </w:tcPr>
          <w:p w14:paraId="47A105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15–30 min</w:t>
            </w:r>
          </w:p>
        </w:tc>
      </w:tr>
      <w:tr w:rsidR="000444D1" w:rsidRPr="000444D1" w14:paraId="14FD3F47" w14:textId="77777777">
        <w:trPr>
          <w:tblCellSpacing w:w="15" w:type="dxa"/>
        </w:trPr>
        <w:tc>
          <w:tcPr>
            <w:tcW w:w="0" w:type="auto"/>
            <w:vAlign w:val="center"/>
            <w:hideMark/>
          </w:tcPr>
          <w:p w14:paraId="03F61F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Pérdida del centro de datos del core tradicional</w:t>
            </w:r>
          </w:p>
        </w:tc>
        <w:tc>
          <w:tcPr>
            <w:tcW w:w="0" w:type="auto"/>
            <w:vAlign w:val="center"/>
            <w:hideMark/>
          </w:tcPr>
          <w:p w14:paraId="1433E1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Productos tradicionales indisponibles</w:t>
            </w:r>
          </w:p>
        </w:tc>
        <w:tc>
          <w:tcPr>
            <w:tcW w:w="0" w:type="auto"/>
            <w:vAlign w:val="center"/>
            <w:hideMark/>
          </w:tcPr>
          <w:p w14:paraId="256299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Contingencia existente del banco; la capa digital opera en modo degradado según 15.3</w:t>
            </w:r>
          </w:p>
        </w:tc>
        <w:tc>
          <w:tcPr>
            <w:tcW w:w="0" w:type="auto"/>
            <w:vAlign w:val="center"/>
            <w:hideMark/>
          </w:tcPr>
          <w:p w14:paraId="529E10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 h (limitado por el core)</w:t>
            </w:r>
          </w:p>
        </w:tc>
      </w:tr>
      <w:tr w:rsidR="000444D1" w:rsidRPr="000444D1" w14:paraId="56E826E3" w14:textId="77777777">
        <w:trPr>
          <w:tblCellSpacing w:w="15" w:type="dxa"/>
        </w:trPr>
        <w:tc>
          <w:tcPr>
            <w:tcW w:w="0" w:type="auto"/>
            <w:vAlign w:val="center"/>
            <w:hideMark/>
          </w:tcPr>
          <w:p w14:paraId="52714A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Corrupción lógica de la proyección D3</w:t>
            </w:r>
          </w:p>
        </w:tc>
        <w:tc>
          <w:tcPr>
            <w:tcW w:w="0" w:type="auto"/>
            <w:vAlign w:val="center"/>
            <w:hideMark/>
          </w:tcPr>
          <w:p w14:paraId="5F33BF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Datos de posición erróneos</w:t>
            </w:r>
          </w:p>
        </w:tc>
        <w:tc>
          <w:tcPr>
            <w:tcW w:w="0" w:type="auto"/>
            <w:vAlign w:val="center"/>
            <w:hideMark/>
          </w:tcPr>
          <w:p w14:paraId="5F4484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Reconstrucción desde el bus y desde instantánea; reconciliación contra ambos cores</w:t>
            </w:r>
          </w:p>
        </w:tc>
        <w:tc>
          <w:tcPr>
            <w:tcW w:w="0" w:type="auto"/>
            <w:vAlign w:val="center"/>
            <w:hideMark/>
          </w:tcPr>
          <w:p w14:paraId="62AE61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1–2 h</w:t>
            </w:r>
          </w:p>
        </w:tc>
      </w:tr>
      <w:tr w:rsidR="000444D1" w:rsidRPr="000444D1" w14:paraId="49E4288D" w14:textId="77777777">
        <w:trPr>
          <w:tblCellSpacing w:w="15" w:type="dxa"/>
        </w:trPr>
        <w:tc>
          <w:tcPr>
            <w:tcW w:w="0" w:type="auto"/>
            <w:vAlign w:val="center"/>
            <w:hideMark/>
          </w:tcPr>
          <w:p w14:paraId="2328B8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Pérdida de un almacén de dominio</w:t>
            </w:r>
          </w:p>
        </w:tc>
        <w:tc>
          <w:tcPr>
            <w:tcW w:w="0" w:type="auto"/>
            <w:vAlign w:val="center"/>
            <w:hideMark/>
          </w:tcPr>
          <w:p w14:paraId="6C2D29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Servicio afectado indisponible</w:t>
            </w:r>
          </w:p>
        </w:tc>
        <w:tc>
          <w:tcPr>
            <w:tcW w:w="0" w:type="auto"/>
            <w:vAlign w:val="center"/>
            <w:hideMark/>
          </w:tcPr>
          <w:p w14:paraId="1BA0C6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Restauración desde réplica y recuperación a un punto en el tiempo</w:t>
            </w:r>
          </w:p>
        </w:tc>
        <w:tc>
          <w:tcPr>
            <w:tcW w:w="0" w:type="auto"/>
            <w:vAlign w:val="center"/>
            <w:hideMark/>
          </w:tcPr>
          <w:p w14:paraId="01F909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30 min</w:t>
            </w:r>
          </w:p>
        </w:tc>
      </w:tr>
      <w:tr w:rsidR="000444D1" w:rsidRPr="000444D1" w14:paraId="1063E849" w14:textId="77777777">
        <w:trPr>
          <w:tblCellSpacing w:w="15" w:type="dxa"/>
        </w:trPr>
        <w:tc>
          <w:tcPr>
            <w:tcW w:w="0" w:type="auto"/>
            <w:vAlign w:val="center"/>
            <w:hideMark/>
          </w:tcPr>
          <w:p w14:paraId="50F476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Compromiso de seguridad con cifrado de datos</w:t>
            </w:r>
          </w:p>
        </w:tc>
        <w:tc>
          <w:tcPr>
            <w:tcW w:w="0" w:type="auto"/>
            <w:vAlign w:val="center"/>
            <w:hideMark/>
          </w:tcPr>
          <w:p w14:paraId="4D6C3B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Alcance variable</w:t>
            </w:r>
          </w:p>
        </w:tc>
        <w:tc>
          <w:tcPr>
            <w:tcW w:w="0" w:type="auto"/>
            <w:vAlign w:val="center"/>
            <w:hideMark/>
          </w:tcPr>
          <w:p w14:paraId="4C326B5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Restauración desde copias inmutables aisladas; D8 es de escritura única y no alterable</w:t>
            </w:r>
          </w:p>
        </w:tc>
        <w:tc>
          <w:tcPr>
            <w:tcW w:w="0" w:type="auto"/>
            <w:vAlign w:val="center"/>
            <w:hideMark/>
          </w:tcPr>
          <w:p w14:paraId="454C04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Según alcance</w:t>
            </w:r>
          </w:p>
        </w:tc>
      </w:tr>
      <w:tr w:rsidR="000444D1" w:rsidRPr="000444D1" w14:paraId="48759E9A" w14:textId="77777777">
        <w:trPr>
          <w:tblCellSpacing w:w="15" w:type="dxa"/>
        </w:trPr>
        <w:tc>
          <w:tcPr>
            <w:tcW w:w="0" w:type="auto"/>
            <w:vAlign w:val="center"/>
            <w:hideMark/>
          </w:tcPr>
          <w:p w14:paraId="63D2E30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Despliegue defectuoso</w:t>
            </w:r>
          </w:p>
        </w:tc>
        <w:tc>
          <w:tcPr>
            <w:tcW w:w="0" w:type="auto"/>
            <w:vAlign w:val="center"/>
            <w:hideMark/>
          </w:tcPr>
          <w:p w14:paraId="2C5B76D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Degradación funcional</w:t>
            </w:r>
          </w:p>
        </w:tc>
        <w:tc>
          <w:tcPr>
            <w:tcW w:w="0" w:type="auto"/>
            <w:vAlign w:val="center"/>
            <w:hideMark/>
          </w:tcPr>
          <w:p w14:paraId="4BEA78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Retorno automático por umbral de errores en el despliegue progresivo</w:t>
            </w:r>
          </w:p>
        </w:tc>
        <w:tc>
          <w:tcPr>
            <w:tcW w:w="0" w:type="auto"/>
            <w:vAlign w:val="center"/>
            <w:hideMark/>
          </w:tcPr>
          <w:p w14:paraId="7D12773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Menos de 10 min</w:t>
            </w:r>
          </w:p>
        </w:tc>
      </w:tr>
    </w:tbl>
    <w:p w14:paraId="6352576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La reconstrucción de D3 merece detalle.</w:t>
      </w:r>
      <w:r w:rsidRPr="000444D1">
        <w:rPr>
          <w:rFonts w:ascii="Times New Roman" w:eastAsia="Times New Roman" w:hAnsi="Times New Roman" w:cs="Times New Roman"/>
          <w:kern w:val="0"/>
          <w14:ligatures w14:val="none"/>
        </w:rPr>
        <w:t xml:space="preserve"> Es el único componente cuyo almacén puede regenerarse íntegramente, porque es una proyección y no un system of record. La reconstrucción combina tres fuentes: la instantánea periódica, los eventos retenidos en el bus (7 días) y la reconciliación contra los cores para el periodo anterior a la retención. Esta propiedad es la que permite asignarle un RPO de cero sin replicación síncrona costosa: no hay dato que perder que no pueda derivarse de otro sitio.</w:t>
      </w:r>
    </w:p>
    <w:p w14:paraId="68EF117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15.6 La reconciliación como capacidad de recuperación</w:t>
      </w:r>
    </w:p>
    <w:p w14:paraId="367E957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reconciliación no es un proceso contable accesorio: en este diseño es un componente de recuperación de primera línea, y resuelve tres situaciones distintas.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2503"/>
        <w:gridCol w:w="4750"/>
      </w:tblGrid>
      <w:tr w:rsidR="000444D1" w:rsidRPr="000444D1" w14:paraId="0A418E4B" w14:textId="77777777">
        <w:trPr>
          <w:tblHeader/>
          <w:tblCellSpacing w:w="15" w:type="dxa"/>
        </w:trPr>
        <w:tc>
          <w:tcPr>
            <w:tcW w:w="0" w:type="auto"/>
            <w:vAlign w:val="center"/>
            <w:hideMark/>
          </w:tcPr>
          <w:p w14:paraId="3137F04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Situación</w:t>
            </w:r>
          </w:p>
        </w:tc>
        <w:tc>
          <w:tcPr>
            <w:tcW w:w="0" w:type="auto"/>
            <w:vAlign w:val="center"/>
            <w:hideMark/>
          </w:tcPr>
          <w:p w14:paraId="4A08F68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Origen</w:t>
            </w:r>
          </w:p>
        </w:tc>
        <w:tc>
          <w:tcPr>
            <w:tcW w:w="0" w:type="auto"/>
            <w:vAlign w:val="center"/>
            <w:hideMark/>
          </w:tcPr>
          <w:p w14:paraId="54E5AD9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Qué hace la reconciliación</w:t>
            </w:r>
          </w:p>
        </w:tc>
      </w:tr>
      <w:tr w:rsidR="000444D1" w:rsidRPr="000444D1" w14:paraId="06E82394" w14:textId="77777777">
        <w:trPr>
          <w:tblCellSpacing w:w="15" w:type="dxa"/>
        </w:trPr>
        <w:tc>
          <w:tcPr>
            <w:tcW w:w="0" w:type="auto"/>
            <w:vAlign w:val="center"/>
            <w:hideMark/>
          </w:tcPr>
          <w:p w14:paraId="0FFC80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Órdenes en </w:t>
            </w:r>
            <w:r w:rsidRPr="000444D1">
              <w:rPr>
                <w:rFonts w:ascii="Courier New" w:eastAsia="Times New Roman" w:hAnsi="Courier New" w:cs="Courier New"/>
                <w:kern w:val="0"/>
                <w:sz w:val="20"/>
                <w:szCs w:val="20"/>
                <w14:ligatures w14:val="none"/>
              </w:rPr>
              <w:t>en_verificacion</w:t>
            </w:r>
          </w:p>
        </w:tc>
        <w:tc>
          <w:tcPr>
            <w:tcW w:w="0" w:type="auto"/>
            <w:vAlign w:val="center"/>
            <w:hideMark/>
          </w:tcPr>
          <w:p w14:paraId="64CF24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Timeout contra el core (sección 9.1)</w:t>
            </w:r>
          </w:p>
        </w:tc>
        <w:tc>
          <w:tcPr>
            <w:tcW w:w="0" w:type="auto"/>
            <w:vAlign w:val="center"/>
            <w:hideMark/>
          </w:tcPr>
          <w:p w14:paraId="79A9EC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Invoca </w:t>
            </w:r>
            <w:r w:rsidRPr="000444D1">
              <w:rPr>
                <w:rFonts w:ascii="Courier New" w:eastAsia="Times New Roman" w:hAnsi="Courier New" w:cs="Courier New"/>
                <w:kern w:val="0"/>
                <w:sz w:val="20"/>
                <w:szCs w:val="20"/>
                <w14:ligatures w14:val="none"/>
              </w:rPr>
              <w:t>ConsultarEstadoAsync</w:t>
            </w:r>
            <w:r w:rsidRPr="000444D1">
              <w:rPr>
                <w:rFonts w:ascii="Times New Roman" w:eastAsia="Times New Roman" w:hAnsi="Times New Roman" w:cs="Times New Roman"/>
                <w:kern w:val="0"/>
                <w14:ligatures w14:val="none"/>
              </w:rPr>
              <w:t xml:space="preserve"> con el identificador de operación que el adaptador correlacionó, y cierra la orden como ejecutada o rechazada</w:t>
            </w:r>
          </w:p>
        </w:tc>
      </w:tr>
      <w:tr w:rsidR="000444D1" w:rsidRPr="000444D1" w14:paraId="15B2DD7A" w14:textId="77777777">
        <w:trPr>
          <w:tblCellSpacing w:w="15" w:type="dxa"/>
        </w:trPr>
        <w:tc>
          <w:tcPr>
            <w:tcW w:w="0" w:type="auto"/>
            <w:vAlign w:val="center"/>
            <w:hideMark/>
          </w:tcPr>
          <w:p w14:paraId="12A989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Débitos huérfanos</w:t>
            </w:r>
          </w:p>
        </w:tc>
        <w:tc>
          <w:tcPr>
            <w:tcW w:w="0" w:type="auto"/>
            <w:vAlign w:val="center"/>
            <w:hideMark/>
          </w:tcPr>
          <w:p w14:paraId="0D14AD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Fallo tras el débito y antes de persistir el estado</w:t>
            </w:r>
          </w:p>
        </w:tc>
        <w:tc>
          <w:tcPr>
            <w:tcW w:w="0" w:type="auto"/>
            <w:vAlign w:val="center"/>
            <w:hideMark/>
          </w:tcPr>
          <w:p w14:paraId="6D489C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Detecta el movimiento en el core sin orden asociada y emite la compensación</w:t>
            </w:r>
          </w:p>
        </w:tc>
      </w:tr>
      <w:tr w:rsidR="000444D1" w:rsidRPr="000444D1" w14:paraId="62F3C168" w14:textId="77777777">
        <w:trPr>
          <w:tblCellSpacing w:w="15" w:type="dxa"/>
        </w:trPr>
        <w:tc>
          <w:tcPr>
            <w:tcW w:w="0" w:type="auto"/>
            <w:vAlign w:val="center"/>
            <w:hideMark/>
          </w:tcPr>
          <w:p w14:paraId="09E755B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Deriva de la proyección</w:t>
            </w:r>
          </w:p>
        </w:tc>
        <w:tc>
          <w:tcPr>
            <w:tcW w:w="0" w:type="auto"/>
            <w:vAlign w:val="center"/>
            <w:hideMark/>
          </w:tcPr>
          <w:p w14:paraId="0AD0BA8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Eventos perdidos, reconstrucción parcial, fallo prolongado del CDC</w:t>
            </w:r>
          </w:p>
        </w:tc>
        <w:tc>
          <w:tcPr>
            <w:tcW w:w="0" w:type="auto"/>
            <w:vAlign w:val="center"/>
            <w:hideMark/>
          </w:tcPr>
          <w:p w14:paraId="0491A8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Compara saldos de D3 contra ambos cores y corrige las diferencias</w:t>
            </w:r>
          </w:p>
        </w:tc>
      </w:tr>
    </w:tbl>
    <w:p w14:paraId="3C4FAEA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Se ejecuta con dos cadencias: </w:t>
      </w:r>
      <w:r w:rsidRPr="000444D1">
        <w:rPr>
          <w:rFonts w:ascii="Times New Roman" w:eastAsia="Times New Roman" w:hAnsi="Times New Roman" w:cs="Times New Roman"/>
          <w:b/>
          <w:bCs/>
          <w:kern w:val="0"/>
          <w14:ligatures w14:val="none"/>
        </w:rPr>
        <w:t>continua</w:t>
      </w:r>
      <w:r w:rsidRPr="000444D1">
        <w:rPr>
          <w:rFonts w:ascii="Times New Roman" w:eastAsia="Times New Roman" w:hAnsi="Times New Roman" w:cs="Times New Roman"/>
          <w:kern w:val="0"/>
          <w14:ligatures w14:val="none"/>
        </w:rPr>
        <w:t xml:space="preserve"> para las órdenes en verificación, con un objetivo de resolución en minutos, y </w:t>
      </w:r>
      <w:r w:rsidRPr="000444D1">
        <w:rPr>
          <w:rFonts w:ascii="Times New Roman" w:eastAsia="Times New Roman" w:hAnsi="Times New Roman" w:cs="Times New Roman"/>
          <w:b/>
          <w:bCs/>
          <w:kern w:val="0"/>
          <w14:ligatures w14:val="none"/>
        </w:rPr>
        <w:t>diaria</w:t>
      </w:r>
      <w:r w:rsidRPr="000444D1">
        <w:rPr>
          <w:rFonts w:ascii="Times New Roman" w:eastAsia="Times New Roman" w:hAnsi="Times New Roman" w:cs="Times New Roman"/>
          <w:kern w:val="0"/>
          <w14:ligatures w14:val="none"/>
        </w:rPr>
        <w:t xml:space="preserve"> para la deriva de saldos, aprovechando la ventana posterior al cierre del core. Las diferencias que no se resuelven automáticamente generan un caso operativo con responsable asignado.</w:t>
      </w:r>
    </w:p>
    <w:p w14:paraId="57EB86B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15.7 Dependencias críticas reconocidas</w:t>
      </w:r>
    </w:p>
    <w:p w14:paraId="019C231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Declarar honestamente qué componentes no admiten degradación es preferible a presentar una arquitectura sin puntos débiles, que no existe.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3455"/>
        <w:gridCol w:w="4084"/>
      </w:tblGrid>
      <w:tr w:rsidR="000444D1" w:rsidRPr="000444D1" w14:paraId="3CF8862F" w14:textId="77777777">
        <w:trPr>
          <w:tblHeader/>
          <w:tblCellSpacing w:w="15" w:type="dxa"/>
        </w:trPr>
        <w:tc>
          <w:tcPr>
            <w:tcW w:w="0" w:type="auto"/>
            <w:vAlign w:val="center"/>
            <w:hideMark/>
          </w:tcPr>
          <w:p w14:paraId="5DFA6EC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c>
          <w:tcPr>
            <w:tcW w:w="0" w:type="auto"/>
            <w:vAlign w:val="center"/>
            <w:hideMark/>
          </w:tcPr>
          <w:p w14:paraId="6B78070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Por qué es crítico</w:t>
            </w:r>
          </w:p>
        </w:tc>
        <w:tc>
          <w:tcPr>
            <w:tcW w:w="0" w:type="auto"/>
            <w:vAlign w:val="center"/>
            <w:hideMark/>
          </w:tcPr>
          <w:p w14:paraId="76B29B3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Mitigación</w:t>
            </w:r>
          </w:p>
        </w:tc>
      </w:tr>
      <w:tr w:rsidR="000444D1" w:rsidRPr="000444D1" w14:paraId="1741E21A" w14:textId="77777777">
        <w:trPr>
          <w:tblCellSpacing w:w="15" w:type="dxa"/>
        </w:trPr>
        <w:tc>
          <w:tcPr>
            <w:tcW w:w="0" w:type="auto"/>
            <w:vAlign w:val="center"/>
            <w:hideMark/>
          </w:tcPr>
          <w:p w14:paraId="25409B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D9 Entitlements</w:t>
            </w:r>
          </w:p>
        </w:tc>
        <w:tc>
          <w:tcPr>
            <w:tcW w:w="0" w:type="auto"/>
            <w:vAlign w:val="center"/>
            <w:hideMark/>
          </w:tcPr>
          <w:p w14:paraId="3AA41D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decisión de entitlement no puede autorizarse ninguna operación sobre cuentas, y la denegación por omisión implica bloqueo total</w:t>
            </w:r>
          </w:p>
        </w:tc>
        <w:tc>
          <w:tcPr>
            <w:tcW w:w="0" w:type="auto"/>
            <w:vAlign w:val="center"/>
            <w:hideMark/>
          </w:tcPr>
          <w:p w14:paraId="450977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Réplicas multizona, almacén replicado, caché de decisiones con vigencia corta en los gateways, y datos de cambio poco frecuente que hacen viable una caché de emergencia</w:t>
            </w:r>
          </w:p>
        </w:tc>
      </w:tr>
      <w:tr w:rsidR="000444D1" w:rsidRPr="000444D1" w14:paraId="5DCC2587" w14:textId="77777777">
        <w:trPr>
          <w:tblCellSpacing w:w="15" w:type="dxa"/>
        </w:trPr>
        <w:tc>
          <w:tcPr>
            <w:tcW w:w="0" w:type="auto"/>
            <w:vAlign w:val="center"/>
            <w:hideMark/>
          </w:tcPr>
          <w:p w14:paraId="558BAB4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IdP</w:t>
            </w:r>
          </w:p>
        </w:tc>
        <w:tc>
          <w:tcPr>
            <w:tcW w:w="0" w:type="auto"/>
            <w:vAlign w:val="center"/>
            <w:hideMark/>
          </w:tcPr>
          <w:p w14:paraId="6A36A6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él no hay nuevas autenticaciones</w:t>
            </w:r>
          </w:p>
        </w:tc>
        <w:tc>
          <w:tcPr>
            <w:tcW w:w="0" w:type="auto"/>
            <w:vAlign w:val="center"/>
            <w:hideMark/>
          </w:tcPr>
          <w:p w14:paraId="4DA213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tokens vigentes se verifican por firma sin consultarlo, de modo que su caída afecta al ingreso pero no a las sesiones en curso</w:t>
            </w:r>
          </w:p>
        </w:tc>
      </w:tr>
      <w:tr w:rsidR="000444D1" w:rsidRPr="000444D1" w14:paraId="545DC89C" w14:textId="77777777">
        <w:trPr>
          <w:tblCellSpacing w:w="15" w:type="dxa"/>
        </w:trPr>
        <w:tc>
          <w:tcPr>
            <w:tcW w:w="0" w:type="auto"/>
            <w:vAlign w:val="center"/>
            <w:hideMark/>
          </w:tcPr>
          <w:p w14:paraId="7BC885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Gateways</w:t>
            </w:r>
          </w:p>
        </w:tc>
        <w:tc>
          <w:tcPr>
            <w:tcW w:w="0" w:type="auto"/>
            <w:vAlign w:val="center"/>
            <w:hideMark/>
          </w:tcPr>
          <w:p w14:paraId="56BF410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Único punto de entrada</w:t>
            </w:r>
          </w:p>
        </w:tc>
        <w:tc>
          <w:tcPr>
            <w:tcW w:w="0" w:type="auto"/>
            <w:vAlign w:val="center"/>
            <w:hideMark/>
          </w:tcPr>
          <w:p w14:paraId="022EB18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estado y replicados; el riesgo real es de configuración, mitigado con despliegue progresivo</w:t>
            </w:r>
          </w:p>
        </w:tc>
      </w:tr>
      <w:tr w:rsidR="000444D1" w:rsidRPr="000444D1" w14:paraId="2E058989" w14:textId="77777777">
        <w:trPr>
          <w:tblCellSpacing w:w="15" w:type="dxa"/>
        </w:trPr>
        <w:tc>
          <w:tcPr>
            <w:tcW w:w="0" w:type="auto"/>
            <w:vAlign w:val="center"/>
            <w:hideMark/>
          </w:tcPr>
          <w:p w14:paraId="2CE5DB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Conectividad con el centro de datos</w:t>
            </w:r>
          </w:p>
        </w:tc>
        <w:tc>
          <w:tcPr>
            <w:tcW w:w="0" w:type="auto"/>
            <w:vAlign w:val="center"/>
            <w:hideMark/>
          </w:tcPr>
          <w:p w14:paraId="092170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ACL y el CDC dependen de ella</w:t>
            </w:r>
          </w:p>
        </w:tc>
        <w:tc>
          <w:tcPr>
            <w:tcW w:w="0" w:type="auto"/>
            <w:vAlign w:val="center"/>
            <w:hideMark/>
          </w:tcPr>
          <w:p w14:paraId="62E2B3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Doble enlace por rutas físicas independientes</w:t>
            </w:r>
          </w:p>
        </w:tc>
      </w:tr>
    </w:tbl>
    <w:p w14:paraId="257A0A3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caché de decisiones de entitlement es una concesión explícita: introduce una ventana en la que una revocación de poder no surte efecto inmediato. Se acota a minutos y se invalida por evento. Es un intercambio consciente entre disponibilidad y exactitud del control de acceso, no una omisión.</w:t>
      </w:r>
    </w:p>
    <w:p w14:paraId="55E6915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15.8 Verificación de la estrategia</w:t>
      </w:r>
    </w:p>
    <w:p w14:paraId="096344C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estrategia de continuidad no verificada es una declaración de intenciones. El programa contempla: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4"/>
        <w:gridCol w:w="2117"/>
        <w:gridCol w:w="3829"/>
      </w:tblGrid>
      <w:tr w:rsidR="000444D1" w:rsidRPr="000444D1" w14:paraId="3B7312F1" w14:textId="77777777">
        <w:trPr>
          <w:tblHeader/>
          <w:tblCellSpacing w:w="15" w:type="dxa"/>
        </w:trPr>
        <w:tc>
          <w:tcPr>
            <w:tcW w:w="0" w:type="auto"/>
            <w:vAlign w:val="center"/>
            <w:hideMark/>
          </w:tcPr>
          <w:p w14:paraId="40531FC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Práctica</w:t>
            </w:r>
          </w:p>
        </w:tc>
        <w:tc>
          <w:tcPr>
            <w:tcW w:w="0" w:type="auto"/>
            <w:vAlign w:val="center"/>
            <w:hideMark/>
          </w:tcPr>
          <w:p w14:paraId="4FF7BF3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Cadencia</w:t>
            </w:r>
          </w:p>
        </w:tc>
        <w:tc>
          <w:tcPr>
            <w:tcW w:w="0" w:type="auto"/>
            <w:vAlign w:val="center"/>
            <w:hideMark/>
          </w:tcPr>
          <w:p w14:paraId="6E6F35E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Alcance</w:t>
            </w:r>
          </w:p>
        </w:tc>
      </w:tr>
      <w:tr w:rsidR="000444D1" w:rsidRPr="000444D1" w14:paraId="15FE6F7F" w14:textId="77777777">
        <w:trPr>
          <w:tblCellSpacing w:w="15" w:type="dxa"/>
        </w:trPr>
        <w:tc>
          <w:tcPr>
            <w:tcW w:w="0" w:type="auto"/>
            <w:vAlign w:val="center"/>
            <w:hideMark/>
          </w:tcPr>
          <w:p w14:paraId="48AA7A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Prueba de conmutación a región secundaria</w:t>
            </w:r>
          </w:p>
        </w:tc>
        <w:tc>
          <w:tcPr>
            <w:tcW w:w="0" w:type="auto"/>
            <w:vAlign w:val="center"/>
            <w:hideMark/>
          </w:tcPr>
          <w:p w14:paraId="4F2477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Semestral</w:t>
            </w:r>
          </w:p>
        </w:tc>
        <w:tc>
          <w:tcPr>
            <w:tcW w:w="0" w:type="auto"/>
            <w:vAlign w:val="center"/>
            <w:hideMark/>
          </w:tcPr>
          <w:p w14:paraId="44FC16A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Ejecutada, no simulada, con medición del RTO real</w:t>
            </w:r>
          </w:p>
        </w:tc>
      </w:tr>
      <w:tr w:rsidR="000444D1" w:rsidRPr="000444D1" w14:paraId="141927D7" w14:textId="77777777">
        <w:trPr>
          <w:tblCellSpacing w:w="15" w:type="dxa"/>
        </w:trPr>
        <w:tc>
          <w:tcPr>
            <w:tcW w:w="0" w:type="auto"/>
            <w:vAlign w:val="center"/>
            <w:hideMark/>
          </w:tcPr>
          <w:p w14:paraId="5D0818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Simulacro de ventana de cierre prolongada del core</w:t>
            </w:r>
          </w:p>
        </w:tc>
        <w:tc>
          <w:tcPr>
            <w:tcW w:w="0" w:type="auto"/>
            <w:vAlign w:val="center"/>
            <w:hideMark/>
          </w:tcPr>
          <w:p w14:paraId="1AA69D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Trimestral</w:t>
            </w:r>
          </w:p>
        </w:tc>
        <w:tc>
          <w:tcPr>
            <w:tcW w:w="0" w:type="auto"/>
            <w:vAlign w:val="center"/>
            <w:hideMark/>
          </w:tcPr>
          <w:p w14:paraId="04F05C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Verifica la matriz 15.3 en condiciones reales</w:t>
            </w:r>
          </w:p>
        </w:tc>
      </w:tr>
      <w:tr w:rsidR="000444D1" w:rsidRPr="000444D1" w14:paraId="35D056FB" w14:textId="77777777">
        <w:trPr>
          <w:tblCellSpacing w:w="15" w:type="dxa"/>
        </w:trPr>
        <w:tc>
          <w:tcPr>
            <w:tcW w:w="0" w:type="auto"/>
            <w:vAlign w:val="center"/>
            <w:hideMark/>
          </w:tcPr>
          <w:p w14:paraId="241A235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Inyección controlada de fallos</w:t>
            </w:r>
          </w:p>
        </w:tc>
        <w:tc>
          <w:tcPr>
            <w:tcW w:w="0" w:type="auto"/>
            <w:vAlign w:val="center"/>
            <w:hideMark/>
          </w:tcPr>
          <w:p w14:paraId="19C9CD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Continua en preproducción</w:t>
            </w:r>
          </w:p>
        </w:tc>
        <w:tc>
          <w:tcPr>
            <w:tcW w:w="0" w:type="auto"/>
            <w:vAlign w:val="center"/>
            <w:hideMark/>
          </w:tcPr>
          <w:p w14:paraId="6DE99A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Cortocircuitos, latencia inducida, caída de consumidores</w:t>
            </w:r>
          </w:p>
        </w:tc>
      </w:tr>
      <w:tr w:rsidR="000444D1" w:rsidRPr="000444D1" w14:paraId="5CF4D78E" w14:textId="77777777">
        <w:trPr>
          <w:tblCellSpacing w:w="15" w:type="dxa"/>
        </w:trPr>
        <w:tc>
          <w:tcPr>
            <w:tcW w:w="0" w:type="auto"/>
            <w:vAlign w:val="center"/>
            <w:hideMark/>
          </w:tcPr>
          <w:p w14:paraId="14A5B6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Prueba de reconstrucción de D3</w:t>
            </w:r>
          </w:p>
        </w:tc>
        <w:tc>
          <w:tcPr>
            <w:tcW w:w="0" w:type="auto"/>
            <w:vAlign w:val="center"/>
            <w:hideMark/>
          </w:tcPr>
          <w:p w14:paraId="3446B7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Trimestral</w:t>
            </w:r>
          </w:p>
        </w:tc>
        <w:tc>
          <w:tcPr>
            <w:tcW w:w="0" w:type="auto"/>
            <w:vAlign w:val="center"/>
            <w:hideMark/>
          </w:tcPr>
          <w:p w14:paraId="17E8E7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Mide el tiempo real de regeneración completa</w:t>
            </w:r>
          </w:p>
        </w:tc>
      </w:tr>
      <w:tr w:rsidR="000444D1" w:rsidRPr="000444D1" w14:paraId="424055D2" w14:textId="77777777">
        <w:trPr>
          <w:tblCellSpacing w:w="15" w:type="dxa"/>
        </w:trPr>
        <w:tc>
          <w:tcPr>
            <w:tcW w:w="0" w:type="auto"/>
            <w:vAlign w:val="center"/>
            <w:hideMark/>
          </w:tcPr>
          <w:p w14:paraId="37FE49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Revisión de la matriz de degradación</w:t>
            </w:r>
          </w:p>
        </w:tc>
        <w:tc>
          <w:tcPr>
            <w:tcW w:w="0" w:type="auto"/>
            <w:vAlign w:val="center"/>
            <w:hideMark/>
          </w:tcPr>
          <w:p w14:paraId="31609C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Ante cada nuevo servicio</w:t>
            </w:r>
          </w:p>
        </w:tc>
        <w:tc>
          <w:tcPr>
            <w:tcW w:w="0" w:type="auto"/>
            <w:vAlign w:val="center"/>
            <w:hideMark/>
          </w:tcPr>
          <w:p w14:paraId="625717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servicio nuevo sin fila en la matriz 15.3 no se despliega</w:t>
            </w:r>
          </w:p>
        </w:tc>
      </w:tr>
    </w:tbl>
    <w:p w14:paraId="39293E5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última fila es la que sostiene el resto: sin ella, la matriz de degradación envejece y deja de describir el sistema real.</w:t>
      </w:r>
    </w:p>
    <w:p w14:paraId="7E4A7742"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2102B1D4">
          <v:rect id="Horizontal Line 551"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CE1A63"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16. Gobierno de APIs y microservicios</w:t>
      </w:r>
    </w:p>
    <w:p w14:paraId="42D701B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16.1 Enfoque</w:t>
      </w:r>
    </w:p>
    <w:p w14:paraId="4D6A64D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gobierno de una arquitectura distribuida falla de dos maneras opuestas. Si es débil, aparecen servicios sin dueño, contratos que rompen a sus consumidores y una proliferación que nadie puede explicar. Si es excesivamente centralizado, se convierte en un cuello de botella: un comité que aprueba cada cambio anula la razón misma de haber separado los servicios.</w:t>
      </w:r>
    </w:p>
    <w:p w14:paraId="05AC246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modelo adoptado es </w:t>
      </w:r>
      <w:r w:rsidRPr="000444D1">
        <w:rPr>
          <w:rFonts w:ascii="Times New Roman" w:eastAsia="Times New Roman" w:hAnsi="Times New Roman" w:cs="Times New Roman"/>
          <w:b/>
          <w:bCs/>
          <w:kern w:val="0"/>
          <w14:ligatures w14:val="none"/>
        </w:rPr>
        <w:t>federado</w:t>
      </w:r>
      <w:r w:rsidRPr="000444D1">
        <w:rPr>
          <w:rFonts w:ascii="Times New Roman" w:eastAsia="Times New Roman" w:hAnsi="Times New Roman" w:cs="Times New Roman"/>
          <w:kern w:val="0"/>
          <w14:ligatures w14:val="none"/>
        </w:rPr>
        <w:t xml:space="preserve">: los estándares se definen de forma central; las decisiones dentro de cada dominio son locales. Y se apoya en un principio operativo: </w:t>
      </w:r>
      <w:r w:rsidRPr="000444D1">
        <w:rPr>
          <w:rFonts w:ascii="Times New Roman" w:eastAsia="Times New Roman" w:hAnsi="Times New Roman" w:cs="Times New Roman"/>
          <w:b/>
          <w:bCs/>
          <w:kern w:val="0"/>
          <w14:ligatures w14:val="none"/>
        </w:rPr>
        <w:t>el camino correcto debe ser el camino fácil</w:t>
      </w:r>
      <w:r w:rsidRPr="000444D1">
        <w:rPr>
          <w:rFonts w:ascii="Times New Roman" w:eastAsia="Times New Roman" w:hAnsi="Times New Roman" w:cs="Times New Roman"/>
          <w:kern w:val="0"/>
          <w14:ligatures w14:val="none"/>
        </w:rPr>
        <w:t>. Un gobierno que depende de la vigilancia se incumple; uno que llega incorporado en la plantilla de servicio se cumple por omisión.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2"/>
        <w:gridCol w:w="4488"/>
      </w:tblGrid>
      <w:tr w:rsidR="000444D1" w:rsidRPr="000444D1" w14:paraId="7865ACC1" w14:textId="77777777">
        <w:trPr>
          <w:tblHeader/>
          <w:tblCellSpacing w:w="15" w:type="dxa"/>
        </w:trPr>
        <w:tc>
          <w:tcPr>
            <w:tcW w:w="0" w:type="auto"/>
            <w:vAlign w:val="center"/>
            <w:hideMark/>
          </w:tcPr>
          <w:p w14:paraId="37FDBDD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 define centralmente</w:t>
            </w:r>
          </w:p>
        </w:tc>
        <w:tc>
          <w:tcPr>
            <w:tcW w:w="0" w:type="auto"/>
            <w:vAlign w:val="center"/>
            <w:hideMark/>
          </w:tcPr>
          <w:p w14:paraId="1C68B7F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 decide en el equipo de dominio</w:t>
            </w:r>
          </w:p>
        </w:tc>
      </w:tr>
      <w:tr w:rsidR="000444D1" w:rsidRPr="000444D1" w14:paraId="732D8573" w14:textId="77777777">
        <w:trPr>
          <w:tblCellSpacing w:w="15" w:type="dxa"/>
        </w:trPr>
        <w:tc>
          <w:tcPr>
            <w:tcW w:w="0" w:type="auto"/>
            <w:vAlign w:val="center"/>
            <w:hideMark/>
          </w:tcPr>
          <w:p w14:paraId="6FA173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Estándares de contrato: OpenAPI, AsyncAPI, RFC 9457</w:t>
            </w:r>
          </w:p>
        </w:tc>
        <w:tc>
          <w:tcPr>
            <w:tcW w:w="0" w:type="auto"/>
            <w:vAlign w:val="center"/>
            <w:hideMark/>
          </w:tcPr>
          <w:p w14:paraId="1FCF6A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Diseño interno del servicio</w:t>
            </w:r>
          </w:p>
        </w:tc>
      </w:tr>
      <w:tr w:rsidR="000444D1" w:rsidRPr="000444D1" w14:paraId="0AB253E9" w14:textId="77777777">
        <w:trPr>
          <w:tblCellSpacing w:w="15" w:type="dxa"/>
        </w:trPr>
        <w:tc>
          <w:tcPr>
            <w:tcW w:w="0" w:type="auto"/>
            <w:vAlign w:val="center"/>
            <w:hideMark/>
          </w:tcPr>
          <w:p w14:paraId="346594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Convenciones de nomenclatura y versionado</w:t>
            </w:r>
          </w:p>
        </w:tc>
        <w:tc>
          <w:tcPr>
            <w:tcW w:w="0" w:type="auto"/>
            <w:vAlign w:val="center"/>
            <w:hideMark/>
          </w:tcPr>
          <w:p w14:paraId="38009DC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Modelo de datos propio</w:t>
            </w:r>
          </w:p>
        </w:tc>
      </w:tr>
      <w:tr w:rsidR="000444D1" w:rsidRPr="000444D1" w14:paraId="10DA32EE" w14:textId="77777777">
        <w:trPr>
          <w:tblCellSpacing w:w="15" w:type="dxa"/>
        </w:trPr>
        <w:tc>
          <w:tcPr>
            <w:tcW w:w="0" w:type="auto"/>
            <w:vAlign w:val="center"/>
            <w:hideMark/>
          </w:tcPr>
          <w:p w14:paraId="7649B8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Sobre común de eventos y política de DLQ</w:t>
            </w:r>
          </w:p>
        </w:tc>
        <w:tc>
          <w:tcPr>
            <w:tcW w:w="0" w:type="auto"/>
            <w:vAlign w:val="center"/>
            <w:hideMark/>
          </w:tcPr>
          <w:p w14:paraId="054A5CE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Qué eventos publica y con qué payload</w:t>
            </w:r>
          </w:p>
        </w:tc>
      </w:tr>
      <w:tr w:rsidR="000444D1" w:rsidRPr="000444D1" w14:paraId="15C5DFDD" w14:textId="77777777">
        <w:trPr>
          <w:tblCellSpacing w:w="15" w:type="dxa"/>
        </w:trPr>
        <w:tc>
          <w:tcPr>
            <w:tcW w:w="0" w:type="auto"/>
            <w:vAlign w:val="center"/>
            <w:hideMark/>
          </w:tcPr>
          <w:p w14:paraId="1DE08C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Requisitos de observabilidad, seguridad y enmascaramiento</w:t>
            </w:r>
          </w:p>
        </w:tc>
        <w:tc>
          <w:tcPr>
            <w:tcW w:w="0" w:type="auto"/>
            <w:vAlign w:val="center"/>
            <w:hideMark/>
          </w:tcPr>
          <w:p w14:paraId="4A756C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Tecnología de persistencia dentro del catálogo aprobado</w:t>
            </w:r>
          </w:p>
        </w:tc>
      </w:tr>
      <w:tr w:rsidR="000444D1" w:rsidRPr="000444D1" w14:paraId="6EBF79AB" w14:textId="77777777">
        <w:trPr>
          <w:tblCellSpacing w:w="15" w:type="dxa"/>
        </w:trPr>
        <w:tc>
          <w:tcPr>
            <w:tcW w:w="0" w:type="auto"/>
            <w:vAlign w:val="center"/>
            <w:hideMark/>
          </w:tcPr>
          <w:p w14:paraId="6329DF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Política de deprecación</w:t>
            </w:r>
          </w:p>
        </w:tc>
        <w:tc>
          <w:tcPr>
            <w:tcW w:w="0" w:type="auto"/>
            <w:vAlign w:val="center"/>
            <w:hideMark/>
          </w:tcPr>
          <w:p w14:paraId="58667C6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Cadencia de despliegue</w:t>
            </w:r>
          </w:p>
        </w:tc>
      </w:tr>
      <w:tr w:rsidR="000444D1" w:rsidRPr="000444D1" w14:paraId="1ACBB870" w14:textId="77777777">
        <w:trPr>
          <w:tblCellSpacing w:w="15" w:type="dxa"/>
        </w:trPr>
        <w:tc>
          <w:tcPr>
            <w:tcW w:w="0" w:type="auto"/>
            <w:vAlign w:val="center"/>
            <w:hideMark/>
          </w:tcPr>
          <w:p w14:paraId="42AB97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Criterios de creación de un nuevo servicio</w:t>
            </w:r>
          </w:p>
        </w:tc>
        <w:tc>
          <w:tcPr>
            <w:tcW w:w="0" w:type="auto"/>
            <w:vAlign w:val="center"/>
            <w:hideMark/>
          </w:tcPr>
          <w:p w14:paraId="4BEB3E8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Evolución compatible de sus contratos</w:t>
            </w:r>
          </w:p>
        </w:tc>
      </w:tr>
    </w:tbl>
    <w:p w14:paraId="146F54E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16.2 Propiedad y responsabilidad</w:t>
      </w:r>
    </w:p>
    <w:p w14:paraId="0E195FA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Cada uno de los nueve dominios de la sección 5.2 tiene un equipo propietario. La propiedad no es nominal: comporta obligaciones concretas y verificables.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3"/>
        <w:gridCol w:w="3327"/>
      </w:tblGrid>
      <w:tr w:rsidR="000444D1" w:rsidRPr="000444D1" w14:paraId="669D54AD" w14:textId="77777777">
        <w:trPr>
          <w:tblHeader/>
          <w:tblCellSpacing w:w="15" w:type="dxa"/>
        </w:trPr>
        <w:tc>
          <w:tcPr>
            <w:tcW w:w="0" w:type="auto"/>
            <w:vAlign w:val="center"/>
            <w:hideMark/>
          </w:tcPr>
          <w:p w14:paraId="7E76C6C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Obligación del equipo propietario</w:t>
            </w:r>
          </w:p>
        </w:tc>
        <w:tc>
          <w:tcPr>
            <w:tcW w:w="0" w:type="auto"/>
            <w:vAlign w:val="center"/>
            <w:hideMark/>
          </w:tcPr>
          <w:p w14:paraId="2DB3D27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Verificación</w:t>
            </w:r>
          </w:p>
        </w:tc>
      </w:tr>
      <w:tr w:rsidR="000444D1" w:rsidRPr="000444D1" w14:paraId="1FA7CC16" w14:textId="77777777">
        <w:trPr>
          <w:tblCellSpacing w:w="15" w:type="dxa"/>
        </w:trPr>
        <w:tc>
          <w:tcPr>
            <w:tcW w:w="0" w:type="auto"/>
            <w:vAlign w:val="center"/>
            <w:hideMark/>
          </w:tcPr>
          <w:p w14:paraId="3CC654F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Mantener el contrato publicado y actualizado en el catálogo</w:t>
            </w:r>
          </w:p>
        </w:tc>
        <w:tc>
          <w:tcPr>
            <w:tcW w:w="0" w:type="auto"/>
            <w:vAlign w:val="center"/>
            <w:hideMark/>
          </w:tcPr>
          <w:p w14:paraId="1FB5E1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Automática en el despliegue</w:t>
            </w:r>
          </w:p>
        </w:tc>
      </w:tr>
      <w:tr w:rsidR="000444D1" w:rsidRPr="000444D1" w14:paraId="72222820" w14:textId="77777777">
        <w:trPr>
          <w:tblCellSpacing w:w="15" w:type="dxa"/>
        </w:trPr>
        <w:tc>
          <w:tcPr>
            <w:tcW w:w="0" w:type="auto"/>
            <w:vAlign w:val="center"/>
            <w:hideMark/>
          </w:tcPr>
          <w:p w14:paraId="034D1C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Atender la DLQ de sus consumidores dentro del día hábil siguiente (12.8)</w:t>
            </w:r>
          </w:p>
        </w:tc>
        <w:tc>
          <w:tcPr>
            <w:tcW w:w="0" w:type="auto"/>
            <w:vAlign w:val="center"/>
            <w:hideMark/>
          </w:tcPr>
          <w:p w14:paraId="405759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Alerta con responsable asignado (18.8)</w:t>
            </w:r>
          </w:p>
        </w:tc>
      </w:tr>
      <w:tr w:rsidR="000444D1" w:rsidRPr="000444D1" w14:paraId="051F13B9" w14:textId="77777777">
        <w:trPr>
          <w:tblCellSpacing w:w="15" w:type="dxa"/>
        </w:trPr>
        <w:tc>
          <w:tcPr>
            <w:tcW w:w="0" w:type="auto"/>
            <w:vAlign w:val="center"/>
            <w:hideMark/>
          </w:tcPr>
          <w:p w14:paraId="236A3F9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Mantener una fila vigente en la matriz de degradación (15.3)</w:t>
            </w:r>
          </w:p>
        </w:tc>
        <w:tc>
          <w:tcPr>
            <w:tcW w:w="0" w:type="auto"/>
            <w:vAlign w:val="center"/>
            <w:hideMark/>
          </w:tcPr>
          <w:p w14:paraId="3E16A0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Control de despliegue</w:t>
            </w:r>
          </w:p>
        </w:tc>
      </w:tr>
      <w:tr w:rsidR="000444D1" w:rsidRPr="000444D1" w14:paraId="353986E7" w14:textId="77777777">
        <w:trPr>
          <w:tblCellSpacing w:w="15" w:type="dxa"/>
        </w:trPr>
        <w:tc>
          <w:tcPr>
            <w:tcW w:w="0" w:type="auto"/>
            <w:vAlign w:val="center"/>
            <w:hideMark/>
          </w:tcPr>
          <w:p w14:paraId="144451E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Responder por los objetivos de nivel de servicio de su dominio (15.1)</w:t>
            </w:r>
          </w:p>
        </w:tc>
        <w:tc>
          <w:tcPr>
            <w:tcW w:w="0" w:type="auto"/>
            <w:vAlign w:val="center"/>
            <w:hideMark/>
          </w:tcPr>
          <w:p w14:paraId="1C0635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Tablero de operación</w:t>
            </w:r>
          </w:p>
        </w:tc>
      </w:tr>
      <w:tr w:rsidR="000444D1" w:rsidRPr="000444D1" w14:paraId="546DAC56" w14:textId="77777777">
        <w:trPr>
          <w:tblCellSpacing w:w="15" w:type="dxa"/>
        </w:trPr>
        <w:tc>
          <w:tcPr>
            <w:tcW w:w="0" w:type="auto"/>
            <w:vAlign w:val="center"/>
            <w:hideMark/>
          </w:tcPr>
          <w:p w14:paraId="7AF911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Declarar y sostener la compatibilidad de sus contratos</w:t>
            </w:r>
          </w:p>
        </w:tc>
        <w:tc>
          <w:tcPr>
            <w:tcW w:w="0" w:type="auto"/>
            <w:vAlign w:val="center"/>
            <w:hideMark/>
          </w:tcPr>
          <w:p w14:paraId="4013D8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Pruebas de contrato en la canalización</w:t>
            </w:r>
          </w:p>
        </w:tc>
      </w:tr>
    </w:tbl>
    <w:p w14:paraId="0E79408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Un dominio sin equipo propietario asignado no se despliega. Es la regla que impide la aparición de servicios huérfanos, que en una arquitectura distribuida terminan siendo mantenidos por nadie y temidos por todos.</w:t>
      </w:r>
    </w:p>
    <w:p w14:paraId="5CAC3F7F"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16.3 Ciclo de vida de una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4891"/>
        <w:gridCol w:w="3114"/>
      </w:tblGrid>
      <w:tr w:rsidR="000444D1" w:rsidRPr="000444D1" w14:paraId="6A53192E" w14:textId="77777777">
        <w:trPr>
          <w:tblHeader/>
          <w:tblCellSpacing w:w="15" w:type="dxa"/>
        </w:trPr>
        <w:tc>
          <w:tcPr>
            <w:tcW w:w="0" w:type="auto"/>
            <w:vAlign w:val="center"/>
            <w:hideMark/>
          </w:tcPr>
          <w:p w14:paraId="570CD28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Etapa</w:t>
            </w:r>
          </w:p>
        </w:tc>
        <w:tc>
          <w:tcPr>
            <w:tcW w:w="0" w:type="auto"/>
            <w:vAlign w:val="center"/>
            <w:hideMark/>
          </w:tcPr>
          <w:p w14:paraId="21F5C51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Qué ocurre</w:t>
            </w:r>
          </w:p>
        </w:tc>
        <w:tc>
          <w:tcPr>
            <w:tcW w:w="0" w:type="auto"/>
            <w:vAlign w:val="center"/>
            <w:hideMark/>
          </w:tcPr>
          <w:p w14:paraId="6C96A55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Quién decide</w:t>
            </w:r>
          </w:p>
        </w:tc>
      </w:tr>
      <w:tr w:rsidR="000444D1" w:rsidRPr="000444D1" w14:paraId="0B270F34" w14:textId="77777777">
        <w:trPr>
          <w:tblCellSpacing w:w="15" w:type="dxa"/>
        </w:trPr>
        <w:tc>
          <w:tcPr>
            <w:tcW w:w="0" w:type="auto"/>
            <w:vAlign w:val="center"/>
            <w:hideMark/>
          </w:tcPr>
          <w:p w14:paraId="10F9FA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Propuesta</w:t>
            </w:r>
          </w:p>
        </w:tc>
        <w:tc>
          <w:tcPr>
            <w:tcW w:w="0" w:type="auto"/>
            <w:vAlign w:val="center"/>
            <w:hideMark/>
          </w:tcPr>
          <w:p w14:paraId="611216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declara la necesidad, el consumidor previsto y por qué no basta con un contrato existente</w:t>
            </w:r>
          </w:p>
        </w:tc>
        <w:tc>
          <w:tcPr>
            <w:tcW w:w="0" w:type="auto"/>
            <w:vAlign w:val="center"/>
            <w:hideMark/>
          </w:tcPr>
          <w:p w14:paraId="0DF1AA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 de dominio</w:t>
            </w:r>
          </w:p>
        </w:tc>
      </w:tr>
      <w:tr w:rsidR="000444D1" w:rsidRPr="000444D1" w14:paraId="402DA4D5" w14:textId="77777777">
        <w:trPr>
          <w:tblCellSpacing w:w="15" w:type="dxa"/>
        </w:trPr>
        <w:tc>
          <w:tcPr>
            <w:tcW w:w="0" w:type="auto"/>
            <w:vAlign w:val="center"/>
            <w:hideMark/>
          </w:tcPr>
          <w:p w14:paraId="747EE6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Diseño</w:t>
            </w:r>
          </w:p>
        </w:tc>
        <w:tc>
          <w:tcPr>
            <w:tcW w:w="0" w:type="auto"/>
            <w:vAlign w:val="center"/>
            <w:hideMark/>
          </w:tcPr>
          <w:p w14:paraId="435AC7B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Especificación primero: el contrato se escribe y se revisa antes de implementarlo</w:t>
            </w:r>
          </w:p>
        </w:tc>
        <w:tc>
          <w:tcPr>
            <w:tcW w:w="0" w:type="auto"/>
            <w:vAlign w:val="center"/>
            <w:hideMark/>
          </w:tcPr>
          <w:p w14:paraId="0CAC11A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 con revisión de pares de otro dominio</w:t>
            </w:r>
          </w:p>
        </w:tc>
      </w:tr>
      <w:tr w:rsidR="000444D1" w:rsidRPr="000444D1" w14:paraId="02E55D59" w14:textId="77777777">
        <w:trPr>
          <w:tblCellSpacing w:w="15" w:type="dxa"/>
        </w:trPr>
        <w:tc>
          <w:tcPr>
            <w:tcW w:w="0" w:type="auto"/>
            <w:vAlign w:val="center"/>
            <w:hideMark/>
          </w:tcPr>
          <w:p w14:paraId="32195A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Publicación</w:t>
            </w:r>
          </w:p>
        </w:tc>
        <w:tc>
          <w:tcPr>
            <w:tcW w:w="0" w:type="auto"/>
            <w:vAlign w:val="center"/>
            <w:hideMark/>
          </w:tcPr>
          <w:p w14:paraId="11B448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Alta en el catálogo con versión, propietario, contrato y contacto</w:t>
            </w:r>
          </w:p>
        </w:tc>
        <w:tc>
          <w:tcPr>
            <w:tcW w:w="0" w:type="auto"/>
            <w:vAlign w:val="center"/>
            <w:hideMark/>
          </w:tcPr>
          <w:p w14:paraId="4C5563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Automática desde la canalización</w:t>
            </w:r>
          </w:p>
        </w:tc>
      </w:tr>
      <w:tr w:rsidR="000444D1" w:rsidRPr="000444D1" w14:paraId="271967EA" w14:textId="77777777">
        <w:trPr>
          <w:tblCellSpacing w:w="15" w:type="dxa"/>
        </w:trPr>
        <w:tc>
          <w:tcPr>
            <w:tcW w:w="0" w:type="auto"/>
            <w:vAlign w:val="center"/>
            <w:hideMark/>
          </w:tcPr>
          <w:p w14:paraId="343AD2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Vigencia</w:t>
            </w:r>
          </w:p>
        </w:tc>
        <w:tc>
          <w:tcPr>
            <w:tcW w:w="0" w:type="auto"/>
            <w:vAlign w:val="center"/>
            <w:hideMark/>
          </w:tcPr>
          <w:p w14:paraId="4F9962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Evolución solo aditiva dentro de la versión mayor</w:t>
            </w:r>
          </w:p>
        </w:tc>
        <w:tc>
          <w:tcPr>
            <w:tcW w:w="0" w:type="auto"/>
            <w:vAlign w:val="center"/>
            <w:hideMark/>
          </w:tcPr>
          <w:p w14:paraId="4A57D8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w:t>
            </w:r>
          </w:p>
        </w:tc>
      </w:tr>
      <w:tr w:rsidR="000444D1" w:rsidRPr="000444D1" w14:paraId="3C56D46F" w14:textId="77777777">
        <w:trPr>
          <w:tblCellSpacing w:w="15" w:type="dxa"/>
        </w:trPr>
        <w:tc>
          <w:tcPr>
            <w:tcW w:w="0" w:type="auto"/>
            <w:vAlign w:val="center"/>
            <w:hideMark/>
          </w:tcPr>
          <w:p w14:paraId="14B445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Deprecación</w:t>
            </w:r>
          </w:p>
        </w:tc>
        <w:tc>
          <w:tcPr>
            <w:tcW w:w="0" w:type="auto"/>
            <w:vAlign w:val="center"/>
            <w:hideMark/>
          </w:tcPr>
          <w:p w14:paraId="62D8B3D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Anuncio con fecha de retiro; la versión sigue operativa</w:t>
            </w:r>
          </w:p>
        </w:tc>
        <w:tc>
          <w:tcPr>
            <w:tcW w:w="0" w:type="auto"/>
            <w:vAlign w:val="center"/>
            <w:hideMark/>
          </w:tcPr>
          <w:p w14:paraId="2E77933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 con notificación a consumidores registrados</w:t>
            </w:r>
          </w:p>
        </w:tc>
      </w:tr>
      <w:tr w:rsidR="000444D1" w:rsidRPr="000444D1" w14:paraId="2A50410C" w14:textId="77777777">
        <w:trPr>
          <w:tblCellSpacing w:w="15" w:type="dxa"/>
        </w:trPr>
        <w:tc>
          <w:tcPr>
            <w:tcW w:w="0" w:type="auto"/>
            <w:vAlign w:val="center"/>
            <w:hideMark/>
          </w:tcPr>
          <w:p w14:paraId="6A20760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Retiro</w:t>
            </w:r>
          </w:p>
        </w:tc>
        <w:tc>
          <w:tcPr>
            <w:tcW w:w="0" w:type="auto"/>
            <w:vAlign w:val="center"/>
            <w:hideMark/>
          </w:tcPr>
          <w:p w14:paraId="7A5D8E6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Eliminación efectiva, previa verificación de ausencia de consumo</w:t>
            </w:r>
          </w:p>
        </w:tc>
        <w:tc>
          <w:tcPr>
            <w:tcW w:w="0" w:type="auto"/>
            <w:vAlign w:val="center"/>
            <w:hideMark/>
          </w:tcPr>
          <w:p w14:paraId="722C589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 con evidencia de telemetría</w:t>
            </w:r>
          </w:p>
        </w:tc>
      </w:tr>
    </w:tbl>
    <w:p w14:paraId="63DC443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diseño de contrato precede a la implementación. La razón no es formal: un contrato derivado del código refleja las decisiones de implementación, y esas decisiones acaban filtrándose a los consumidores como acoplamiento no deseado.</w:t>
      </w:r>
    </w:p>
    <w:p w14:paraId="14330B6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16.4 Versionado y deprecación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3123"/>
        <w:gridCol w:w="4432"/>
      </w:tblGrid>
      <w:tr w:rsidR="000444D1" w:rsidRPr="000444D1" w14:paraId="26E147E9" w14:textId="77777777">
        <w:trPr>
          <w:tblHeader/>
          <w:tblCellSpacing w:w="15" w:type="dxa"/>
        </w:trPr>
        <w:tc>
          <w:tcPr>
            <w:tcW w:w="0" w:type="auto"/>
            <w:vAlign w:val="center"/>
            <w:hideMark/>
          </w:tcPr>
          <w:p w14:paraId="0548C16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Ámbito</w:t>
            </w:r>
          </w:p>
        </w:tc>
        <w:tc>
          <w:tcPr>
            <w:tcW w:w="0" w:type="auto"/>
            <w:vAlign w:val="center"/>
            <w:hideMark/>
          </w:tcPr>
          <w:p w14:paraId="532FC66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Periodo mínimo de deprecación</w:t>
            </w:r>
          </w:p>
        </w:tc>
        <w:tc>
          <w:tcPr>
            <w:tcW w:w="0" w:type="auto"/>
            <w:vAlign w:val="center"/>
            <w:hideMark/>
          </w:tcPr>
          <w:p w14:paraId="6ADC778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Condición de retiro</w:t>
            </w:r>
          </w:p>
        </w:tc>
      </w:tr>
      <w:tr w:rsidR="000444D1" w:rsidRPr="000444D1" w14:paraId="53079B3C" w14:textId="77777777">
        <w:trPr>
          <w:tblCellSpacing w:w="15" w:type="dxa"/>
        </w:trPr>
        <w:tc>
          <w:tcPr>
            <w:tcW w:w="0" w:type="auto"/>
            <w:vAlign w:val="center"/>
            <w:hideMark/>
          </w:tcPr>
          <w:p w14:paraId="2B908A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interna</w:t>
            </w:r>
          </w:p>
        </w:tc>
        <w:tc>
          <w:tcPr>
            <w:tcW w:w="0" w:type="auto"/>
            <w:vAlign w:val="center"/>
            <w:hideMark/>
          </w:tcPr>
          <w:p w14:paraId="6319E28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 meses</w:t>
            </w:r>
          </w:p>
        </w:tc>
        <w:tc>
          <w:tcPr>
            <w:tcW w:w="0" w:type="auto"/>
            <w:vAlign w:val="center"/>
            <w:hideMark/>
          </w:tcPr>
          <w:p w14:paraId="7313A0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Telemetría sin consumo durante 30 días consecutivos</w:t>
            </w:r>
          </w:p>
        </w:tc>
      </w:tr>
      <w:tr w:rsidR="000444D1" w:rsidRPr="000444D1" w14:paraId="32E947CF" w14:textId="77777777">
        <w:trPr>
          <w:tblCellSpacing w:w="15" w:type="dxa"/>
        </w:trPr>
        <w:tc>
          <w:tcPr>
            <w:tcW w:w="0" w:type="auto"/>
            <w:vAlign w:val="center"/>
            <w:hideMark/>
          </w:tcPr>
          <w:p w14:paraId="65DB21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API externa (Open Finance)</w:t>
            </w:r>
          </w:p>
        </w:tc>
        <w:tc>
          <w:tcPr>
            <w:tcW w:w="0" w:type="auto"/>
            <w:vAlign w:val="center"/>
            <w:hideMark/>
          </w:tcPr>
          <w:p w14:paraId="22AE15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12 meses, o el que exija la normativa si es mayor</w:t>
            </w:r>
          </w:p>
        </w:tc>
        <w:tc>
          <w:tcPr>
            <w:tcW w:w="0" w:type="auto"/>
            <w:vAlign w:val="center"/>
            <w:hideMark/>
          </w:tcPr>
          <w:p w14:paraId="0B6EC0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Notificación formal a todos los terceros registrados y confirmación de migración</w:t>
            </w:r>
          </w:p>
        </w:tc>
      </w:tr>
      <w:tr w:rsidR="000444D1" w:rsidRPr="000444D1" w14:paraId="7E6B6AB2" w14:textId="77777777">
        <w:trPr>
          <w:tblCellSpacing w:w="15" w:type="dxa"/>
        </w:trPr>
        <w:tc>
          <w:tcPr>
            <w:tcW w:w="0" w:type="auto"/>
            <w:vAlign w:val="center"/>
            <w:hideMark/>
          </w:tcPr>
          <w:p w14:paraId="3A7497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 de dominio</w:t>
            </w:r>
          </w:p>
        </w:tc>
        <w:tc>
          <w:tcPr>
            <w:tcW w:w="0" w:type="auto"/>
            <w:vAlign w:val="center"/>
            <w:hideMark/>
          </w:tcPr>
          <w:p w14:paraId="25D7B3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 meses, con ambas versiones publicadas en paralelo</w:t>
            </w:r>
          </w:p>
        </w:tc>
        <w:tc>
          <w:tcPr>
            <w:tcW w:w="0" w:type="auto"/>
            <w:vAlign w:val="center"/>
            <w:hideMark/>
          </w:tcPr>
          <w:p w14:paraId="5F1D344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Ningún consumidor registrado en la versión anterior</w:t>
            </w:r>
          </w:p>
        </w:tc>
      </w:tr>
    </w:tbl>
    <w:p w14:paraId="79E925D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Ninguna versión se retira por calendario.</w:t>
      </w:r>
      <w:r w:rsidRPr="000444D1">
        <w:rPr>
          <w:rFonts w:ascii="Times New Roman" w:eastAsia="Times New Roman" w:hAnsi="Times New Roman" w:cs="Times New Roman"/>
          <w:kern w:val="0"/>
          <w14:ligatures w14:val="none"/>
        </w:rPr>
        <w:t xml:space="preserve"> El vencimiento del plazo habilita el retiro; la condición que lo autoriza es la evidencia de que nadie la consume. Un plazo cumplido con consumidores activos obliga a escalar la migración, no a romperlos.</w:t>
      </w:r>
    </w:p>
    <w:p w14:paraId="005EDBE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16.5 Catálogo y descubrimiento</w:t>
      </w:r>
    </w:p>
    <w:p w14:paraId="52277C3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catálogo es la fuente única sobre qué existe, quién lo mantiene y cómo se consume. Se alimenta de la canalización de despliegue, no de una carga manual: un catálogo que se mantiene a mano queda desactualizado en semanas.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5"/>
        <w:gridCol w:w="3981"/>
      </w:tblGrid>
      <w:tr w:rsidR="000444D1" w:rsidRPr="000444D1" w14:paraId="4DB1127F" w14:textId="77777777">
        <w:trPr>
          <w:tblHeader/>
          <w:tblCellSpacing w:w="15" w:type="dxa"/>
        </w:trPr>
        <w:tc>
          <w:tcPr>
            <w:tcW w:w="0" w:type="auto"/>
            <w:vAlign w:val="center"/>
            <w:hideMark/>
          </w:tcPr>
          <w:p w14:paraId="4FD6475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lastRenderedPageBreak/>
              <w:t>Contenido por entrada</w:t>
            </w:r>
          </w:p>
        </w:tc>
        <w:tc>
          <w:tcPr>
            <w:tcW w:w="0" w:type="auto"/>
            <w:vAlign w:val="center"/>
            <w:hideMark/>
          </w:tcPr>
          <w:p w14:paraId="6A7CB82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Origen</w:t>
            </w:r>
          </w:p>
        </w:tc>
      </w:tr>
      <w:tr w:rsidR="000444D1" w:rsidRPr="000444D1" w14:paraId="59A4CA3A" w14:textId="77777777">
        <w:trPr>
          <w:tblCellSpacing w:w="15" w:type="dxa"/>
        </w:trPr>
        <w:tc>
          <w:tcPr>
            <w:tcW w:w="0" w:type="auto"/>
            <w:vAlign w:val="center"/>
            <w:hideMark/>
          </w:tcPr>
          <w:p w14:paraId="1D1F6EA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 vigente (OpenAPI / AsyncAPI)</w:t>
            </w:r>
          </w:p>
        </w:tc>
        <w:tc>
          <w:tcPr>
            <w:tcW w:w="0" w:type="auto"/>
            <w:vAlign w:val="center"/>
            <w:hideMark/>
          </w:tcPr>
          <w:p w14:paraId="59E5A2D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Repositorio del servicio</w:t>
            </w:r>
          </w:p>
        </w:tc>
      </w:tr>
      <w:tr w:rsidR="000444D1" w:rsidRPr="000444D1" w14:paraId="730BEC14" w14:textId="77777777">
        <w:trPr>
          <w:tblCellSpacing w:w="15" w:type="dxa"/>
        </w:trPr>
        <w:tc>
          <w:tcPr>
            <w:tcW w:w="0" w:type="auto"/>
            <w:vAlign w:val="center"/>
            <w:hideMark/>
          </w:tcPr>
          <w:p w14:paraId="21EEEE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Versión desplegada por entorno</w:t>
            </w:r>
          </w:p>
        </w:tc>
        <w:tc>
          <w:tcPr>
            <w:tcW w:w="0" w:type="auto"/>
            <w:vAlign w:val="center"/>
            <w:hideMark/>
          </w:tcPr>
          <w:p w14:paraId="664B551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Canalización</w:t>
            </w:r>
          </w:p>
        </w:tc>
      </w:tr>
      <w:tr w:rsidR="000444D1" w:rsidRPr="000444D1" w14:paraId="7EE5CD3D" w14:textId="77777777">
        <w:trPr>
          <w:tblCellSpacing w:w="15" w:type="dxa"/>
        </w:trPr>
        <w:tc>
          <w:tcPr>
            <w:tcW w:w="0" w:type="auto"/>
            <w:vAlign w:val="center"/>
            <w:hideMark/>
          </w:tcPr>
          <w:p w14:paraId="2B6CB9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 propietario y contacto</w:t>
            </w:r>
          </w:p>
        </w:tc>
        <w:tc>
          <w:tcPr>
            <w:tcW w:w="0" w:type="auto"/>
            <w:vAlign w:val="center"/>
            <w:hideMark/>
          </w:tcPr>
          <w:p w14:paraId="050A803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propiedad</w:t>
            </w:r>
          </w:p>
        </w:tc>
      </w:tr>
      <w:tr w:rsidR="000444D1" w:rsidRPr="000444D1" w14:paraId="58E98325" w14:textId="77777777">
        <w:trPr>
          <w:tblCellSpacing w:w="15" w:type="dxa"/>
        </w:trPr>
        <w:tc>
          <w:tcPr>
            <w:tcW w:w="0" w:type="auto"/>
            <w:vAlign w:val="center"/>
            <w:hideMark/>
          </w:tcPr>
          <w:p w14:paraId="50FFA8C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Consumidores registrados</w:t>
            </w:r>
          </w:p>
        </w:tc>
        <w:tc>
          <w:tcPr>
            <w:tcW w:w="0" w:type="auto"/>
            <w:vAlign w:val="center"/>
            <w:hideMark/>
          </w:tcPr>
          <w:p w14:paraId="7AF9B6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Declaración del consumidor y telemetría</w:t>
            </w:r>
          </w:p>
        </w:tc>
      </w:tr>
      <w:tr w:rsidR="000444D1" w:rsidRPr="000444D1" w14:paraId="271F8141" w14:textId="77777777">
        <w:trPr>
          <w:tblCellSpacing w:w="15" w:type="dxa"/>
        </w:trPr>
        <w:tc>
          <w:tcPr>
            <w:tcW w:w="0" w:type="auto"/>
            <w:vAlign w:val="center"/>
            <w:hideMark/>
          </w:tcPr>
          <w:p w14:paraId="1158FF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Estado del ciclo de vida</w:t>
            </w:r>
          </w:p>
        </w:tc>
        <w:tc>
          <w:tcPr>
            <w:tcW w:w="0" w:type="auto"/>
            <w:vAlign w:val="center"/>
            <w:hideMark/>
          </w:tcPr>
          <w:p w14:paraId="1E4062E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Canalización</w:t>
            </w:r>
          </w:p>
        </w:tc>
      </w:tr>
      <w:tr w:rsidR="000444D1" w:rsidRPr="000444D1" w14:paraId="4620522E" w14:textId="77777777">
        <w:trPr>
          <w:tblCellSpacing w:w="15" w:type="dxa"/>
        </w:trPr>
        <w:tc>
          <w:tcPr>
            <w:tcW w:w="0" w:type="auto"/>
            <w:vAlign w:val="center"/>
            <w:hideMark/>
          </w:tcPr>
          <w:p w14:paraId="7EAE50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Objetivos de nivel de servicio</w:t>
            </w:r>
          </w:p>
        </w:tc>
        <w:tc>
          <w:tcPr>
            <w:tcW w:w="0" w:type="auto"/>
            <w:vAlign w:val="center"/>
            <w:hideMark/>
          </w:tcPr>
          <w:p w14:paraId="005B35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Definición del dominio</w:t>
            </w:r>
          </w:p>
        </w:tc>
      </w:tr>
      <w:tr w:rsidR="000444D1" w:rsidRPr="000444D1" w14:paraId="7C248164" w14:textId="77777777">
        <w:trPr>
          <w:tblCellSpacing w:w="15" w:type="dxa"/>
        </w:trPr>
        <w:tc>
          <w:tcPr>
            <w:tcW w:w="0" w:type="auto"/>
            <w:vAlign w:val="center"/>
            <w:hideMark/>
          </w:tcPr>
          <w:p w14:paraId="60FD91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 asociados a decisiones relevantes</w:t>
            </w:r>
          </w:p>
        </w:tc>
        <w:tc>
          <w:tcPr>
            <w:tcW w:w="0" w:type="auto"/>
            <w:vAlign w:val="center"/>
            <w:hideMark/>
          </w:tcPr>
          <w:p w14:paraId="7AB13A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Repositorio de decisiones</w:t>
            </w:r>
          </w:p>
        </w:tc>
      </w:tr>
    </w:tbl>
    <w:p w14:paraId="1F84E04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registro de consumidores es lo que hace viable la política de deprecación: sin saber quién consume qué, la única alternativa sería no retirar nunca nada, que es como las arquitecturas distribuidas acumulan deuda hasta volverse inmodificables.</w:t>
      </w:r>
    </w:p>
    <w:p w14:paraId="479CBC83"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16.6 Compatibilidad y pruebas de contrato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7"/>
        <w:gridCol w:w="6073"/>
      </w:tblGrid>
      <w:tr w:rsidR="000444D1" w:rsidRPr="000444D1" w14:paraId="5C27A624" w14:textId="77777777">
        <w:trPr>
          <w:tblHeader/>
          <w:tblCellSpacing w:w="15" w:type="dxa"/>
        </w:trPr>
        <w:tc>
          <w:tcPr>
            <w:tcW w:w="0" w:type="auto"/>
            <w:vAlign w:val="center"/>
            <w:hideMark/>
          </w:tcPr>
          <w:p w14:paraId="62F8DAA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Mecanismo</w:t>
            </w:r>
          </w:p>
        </w:tc>
        <w:tc>
          <w:tcPr>
            <w:tcW w:w="0" w:type="auto"/>
            <w:vAlign w:val="center"/>
            <w:hideMark/>
          </w:tcPr>
          <w:p w14:paraId="7FEA576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Qué previene</w:t>
            </w:r>
          </w:p>
        </w:tc>
      </w:tr>
      <w:tr w:rsidR="000444D1" w:rsidRPr="000444D1" w14:paraId="598E88CB" w14:textId="77777777">
        <w:trPr>
          <w:tblCellSpacing w:w="15" w:type="dxa"/>
        </w:trPr>
        <w:tc>
          <w:tcPr>
            <w:tcW w:w="0" w:type="auto"/>
            <w:vAlign w:val="center"/>
            <w:hideMark/>
          </w:tcPr>
          <w:p w14:paraId="781D94D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Pruebas de contrato dirigidas por el consumidor</w:t>
            </w:r>
          </w:p>
        </w:tc>
        <w:tc>
          <w:tcPr>
            <w:tcW w:w="0" w:type="auto"/>
            <w:vAlign w:val="center"/>
            <w:hideMark/>
          </w:tcPr>
          <w:p w14:paraId="21E497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Que un cambio del productor rompa a un consumidor real. Los contratos esperados se verifican en la canalización del productor</w:t>
            </w:r>
          </w:p>
        </w:tc>
      </w:tr>
      <w:tr w:rsidR="000444D1" w:rsidRPr="000444D1" w14:paraId="3145B2A6" w14:textId="77777777">
        <w:trPr>
          <w:tblCellSpacing w:w="15" w:type="dxa"/>
        </w:trPr>
        <w:tc>
          <w:tcPr>
            <w:tcW w:w="0" w:type="auto"/>
            <w:vAlign w:val="center"/>
            <w:hideMark/>
          </w:tcPr>
          <w:p w14:paraId="4C22C9A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Validación automática de compatibilidad de esquema</w:t>
            </w:r>
          </w:p>
        </w:tc>
        <w:tc>
          <w:tcPr>
            <w:tcW w:w="0" w:type="auto"/>
            <w:vAlign w:val="center"/>
            <w:hideMark/>
          </w:tcPr>
          <w:p w14:paraId="6DA014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Que un cambio incompatible se publique por descuido: la canalización compara con la versión vigente y falla</w:t>
            </w:r>
          </w:p>
        </w:tc>
      </w:tr>
      <w:tr w:rsidR="000444D1" w:rsidRPr="000444D1" w14:paraId="70B0D2C9" w14:textId="77777777">
        <w:trPr>
          <w:tblCellSpacing w:w="15" w:type="dxa"/>
        </w:trPr>
        <w:tc>
          <w:tcPr>
            <w:tcW w:w="0" w:type="auto"/>
            <w:vAlign w:val="center"/>
            <w:hideMark/>
          </w:tcPr>
          <w:p w14:paraId="59E34B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Registro de esquemas de eventos</w:t>
            </w:r>
          </w:p>
        </w:tc>
        <w:tc>
          <w:tcPr>
            <w:tcW w:w="0" w:type="auto"/>
            <w:vAlign w:val="center"/>
            <w:hideMark/>
          </w:tcPr>
          <w:p w14:paraId="7FD6DB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Que se publique un evento que no cumple su esquema declarado</w:t>
            </w:r>
          </w:p>
        </w:tc>
      </w:tr>
      <w:tr w:rsidR="000444D1" w:rsidRPr="000444D1" w14:paraId="33D467B5" w14:textId="77777777">
        <w:trPr>
          <w:tblCellSpacing w:w="15" w:type="dxa"/>
        </w:trPr>
        <w:tc>
          <w:tcPr>
            <w:tcW w:w="0" w:type="auto"/>
            <w:vAlign w:val="center"/>
            <w:hideMark/>
          </w:tcPr>
          <w:p w14:paraId="4A9355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Análisis del contrato contra la guía de estilo</w:t>
            </w:r>
          </w:p>
        </w:tc>
        <w:tc>
          <w:tcPr>
            <w:tcW w:w="0" w:type="auto"/>
            <w:vAlign w:val="center"/>
            <w:hideMark/>
          </w:tcPr>
          <w:p w14:paraId="1152E2D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Desviaciones de nomenclatura, formato de errores o versionado</w:t>
            </w:r>
          </w:p>
        </w:tc>
      </w:tr>
    </w:tbl>
    <w:p w14:paraId="769B674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comprobación de compatibilidad se ejecuta en la canalización del productor, no en una revisión posterior. Un cambio incompatible no se rechaza en una reunión: no llega a desplegarse.</w:t>
      </w:r>
    </w:p>
    <w:p w14:paraId="42D6683C"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16.7 Plantilla de servicio</w:t>
      </w:r>
    </w:p>
    <w:p w14:paraId="3669A44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servicio nuevo parte de una plantilla que incorpora, sin que el equipo deba solicitarlo: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0"/>
        <w:gridCol w:w="2315"/>
      </w:tblGrid>
      <w:tr w:rsidR="000444D1" w:rsidRPr="000444D1" w14:paraId="6EC91E5A" w14:textId="77777777">
        <w:trPr>
          <w:tblHeader/>
          <w:tblCellSpacing w:w="15" w:type="dxa"/>
        </w:trPr>
        <w:tc>
          <w:tcPr>
            <w:tcW w:w="0" w:type="auto"/>
            <w:vAlign w:val="center"/>
            <w:hideMark/>
          </w:tcPr>
          <w:p w14:paraId="0DD039D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Elemento incluido</w:t>
            </w:r>
          </w:p>
        </w:tc>
        <w:tc>
          <w:tcPr>
            <w:tcW w:w="0" w:type="auto"/>
            <w:vAlign w:val="center"/>
            <w:hideMark/>
          </w:tcPr>
          <w:p w14:paraId="0848E01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Sección que lo exige</w:t>
            </w:r>
          </w:p>
        </w:tc>
      </w:tr>
      <w:tr w:rsidR="000444D1" w:rsidRPr="000444D1" w14:paraId="7090789C" w14:textId="77777777">
        <w:trPr>
          <w:tblCellSpacing w:w="15" w:type="dxa"/>
        </w:trPr>
        <w:tc>
          <w:tcPr>
            <w:tcW w:w="0" w:type="auto"/>
            <w:vAlign w:val="center"/>
            <w:hideMark/>
          </w:tcPr>
          <w:p w14:paraId="349E60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Instrumentación OpenTelemetry y propagación de contexto</w:t>
            </w:r>
          </w:p>
        </w:tc>
        <w:tc>
          <w:tcPr>
            <w:tcW w:w="0" w:type="auto"/>
            <w:vAlign w:val="center"/>
            <w:hideMark/>
          </w:tcPr>
          <w:p w14:paraId="3AEEA72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18.3</w:t>
            </w:r>
          </w:p>
        </w:tc>
      </w:tr>
      <w:tr w:rsidR="000444D1" w:rsidRPr="000444D1" w14:paraId="0D9A4C0F" w14:textId="77777777">
        <w:trPr>
          <w:tblCellSpacing w:w="15" w:type="dxa"/>
        </w:trPr>
        <w:tc>
          <w:tcPr>
            <w:tcW w:w="0" w:type="auto"/>
            <w:vAlign w:val="center"/>
            <w:hideMark/>
          </w:tcPr>
          <w:p w14:paraId="716FDD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Biblioteca de enmascaramiento en registros</w:t>
            </w:r>
          </w:p>
        </w:tc>
        <w:tc>
          <w:tcPr>
            <w:tcW w:w="0" w:type="auto"/>
            <w:vAlign w:val="center"/>
            <w:hideMark/>
          </w:tcPr>
          <w:p w14:paraId="6BA0A9A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13.6 control C-10, 18.6</w:t>
            </w:r>
          </w:p>
        </w:tc>
      </w:tr>
      <w:tr w:rsidR="000444D1" w:rsidRPr="000444D1" w14:paraId="4D6F5786" w14:textId="77777777">
        <w:trPr>
          <w:tblCellSpacing w:w="15" w:type="dxa"/>
        </w:trPr>
        <w:tc>
          <w:tcPr>
            <w:tcW w:w="0" w:type="auto"/>
            <w:vAlign w:val="center"/>
            <w:hideMark/>
          </w:tcPr>
          <w:p w14:paraId="736498D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Buzón transaccional con su despachador</w:t>
            </w:r>
          </w:p>
        </w:tc>
        <w:tc>
          <w:tcPr>
            <w:tcW w:w="0" w:type="auto"/>
            <w:vAlign w:val="center"/>
            <w:hideMark/>
          </w:tcPr>
          <w:p w14:paraId="75475AB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8.1</w:t>
            </w:r>
          </w:p>
        </w:tc>
      </w:tr>
      <w:tr w:rsidR="000444D1" w:rsidRPr="000444D1" w14:paraId="1F813BF5" w14:textId="77777777">
        <w:trPr>
          <w:tblCellSpacing w:w="15" w:type="dxa"/>
        </w:trPr>
        <w:tc>
          <w:tcPr>
            <w:tcW w:w="0" w:type="auto"/>
            <w:vAlign w:val="center"/>
            <w:hideMark/>
          </w:tcPr>
          <w:p w14:paraId="437D891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Consumo idempotente y configuración de DLQ</w:t>
            </w:r>
          </w:p>
        </w:tc>
        <w:tc>
          <w:tcPr>
            <w:tcW w:w="0" w:type="auto"/>
            <w:vAlign w:val="center"/>
            <w:hideMark/>
          </w:tcPr>
          <w:p w14:paraId="420045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12.8</w:t>
            </w:r>
          </w:p>
        </w:tc>
      </w:tr>
      <w:tr w:rsidR="000444D1" w:rsidRPr="000444D1" w14:paraId="14925FB3" w14:textId="77777777">
        <w:trPr>
          <w:tblCellSpacing w:w="15" w:type="dxa"/>
        </w:trPr>
        <w:tc>
          <w:tcPr>
            <w:tcW w:w="0" w:type="auto"/>
            <w:vAlign w:val="center"/>
            <w:hideMark/>
          </w:tcPr>
          <w:p w14:paraId="3BE5F1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Verificaciones de salud y disponibilidad</w:t>
            </w:r>
          </w:p>
        </w:tc>
        <w:tc>
          <w:tcPr>
            <w:tcW w:w="0" w:type="auto"/>
            <w:vAlign w:val="center"/>
            <w:hideMark/>
          </w:tcPr>
          <w:p w14:paraId="7F810B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15.2</w:t>
            </w:r>
          </w:p>
        </w:tc>
      </w:tr>
      <w:tr w:rsidR="000444D1" w:rsidRPr="000444D1" w14:paraId="24161649" w14:textId="77777777">
        <w:trPr>
          <w:tblCellSpacing w:w="15" w:type="dxa"/>
        </w:trPr>
        <w:tc>
          <w:tcPr>
            <w:tcW w:w="0" w:type="auto"/>
            <w:vAlign w:val="center"/>
            <w:hideMark/>
          </w:tcPr>
          <w:p w14:paraId="4E6E054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Identidad de carga de trabajo y obtención de secretos</w:t>
            </w:r>
          </w:p>
        </w:tc>
        <w:tc>
          <w:tcPr>
            <w:tcW w:w="0" w:type="auto"/>
            <w:vAlign w:val="center"/>
            <w:hideMark/>
          </w:tcPr>
          <w:p w14:paraId="6DCE72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14.4</w:t>
            </w:r>
          </w:p>
        </w:tc>
      </w:tr>
      <w:tr w:rsidR="000444D1" w:rsidRPr="000444D1" w14:paraId="16CB4490" w14:textId="77777777">
        <w:trPr>
          <w:tblCellSpacing w:w="15" w:type="dxa"/>
        </w:trPr>
        <w:tc>
          <w:tcPr>
            <w:tcW w:w="0" w:type="auto"/>
            <w:vAlign w:val="center"/>
            <w:hideMark/>
          </w:tcPr>
          <w:p w14:paraId="7E61A7D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Estructura de puertos y adaptadores</w:t>
            </w:r>
          </w:p>
        </w:tc>
        <w:tc>
          <w:tcPr>
            <w:tcW w:w="0" w:type="auto"/>
            <w:vAlign w:val="center"/>
            <w:hideMark/>
          </w:tcPr>
          <w:p w14:paraId="0370BB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8.1</w:t>
            </w:r>
          </w:p>
        </w:tc>
      </w:tr>
      <w:tr w:rsidR="000444D1" w:rsidRPr="000444D1" w14:paraId="7A3094C7" w14:textId="77777777">
        <w:trPr>
          <w:tblCellSpacing w:w="15" w:type="dxa"/>
        </w:trPr>
        <w:tc>
          <w:tcPr>
            <w:tcW w:w="0" w:type="auto"/>
            <w:vAlign w:val="center"/>
            <w:hideMark/>
          </w:tcPr>
          <w:p w14:paraId="0F120D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Publicación automática del contrato en el catálogo</w:t>
            </w:r>
          </w:p>
        </w:tc>
        <w:tc>
          <w:tcPr>
            <w:tcW w:w="0" w:type="auto"/>
            <w:vAlign w:val="center"/>
            <w:hideMark/>
          </w:tcPr>
          <w:p w14:paraId="4298C7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16.5</w:t>
            </w:r>
          </w:p>
        </w:tc>
      </w:tr>
    </w:tbl>
    <w:p w14:paraId="34C8963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 es la pieza que convierte el gobierno en algo aplicable. La mayoría de los requisitos transversales del documento —observabilidad, enmascaramiento, idempotencia, outbox— no se cumplen porque una norma los exija, sino porque vienen resueltos de origen y desviarse cuesta más que acatarlos.</w:t>
      </w:r>
    </w:p>
    <w:p w14:paraId="0E36D867"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16.8 Criterios de creación de un nuevo servicio</w:t>
      </w:r>
    </w:p>
    <w:p w14:paraId="6918B1E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Derivan de las reglas de descomposición de la sección 5.4 y funcionan como condiciones, no como recomendaciones.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930"/>
        <w:gridCol w:w="4235"/>
      </w:tblGrid>
      <w:tr w:rsidR="000444D1" w:rsidRPr="000444D1" w14:paraId="0DBF2CF1" w14:textId="77777777">
        <w:trPr>
          <w:tblHeader/>
          <w:tblCellSpacing w:w="15" w:type="dxa"/>
        </w:trPr>
        <w:tc>
          <w:tcPr>
            <w:tcW w:w="0" w:type="auto"/>
            <w:vAlign w:val="center"/>
            <w:hideMark/>
          </w:tcPr>
          <w:p w14:paraId="736D8D2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4CCD381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Criterio</w:t>
            </w:r>
          </w:p>
        </w:tc>
        <w:tc>
          <w:tcPr>
            <w:tcW w:w="0" w:type="auto"/>
            <w:vAlign w:val="center"/>
            <w:hideMark/>
          </w:tcPr>
          <w:p w14:paraId="77EE585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Consecuencia si no se cumple</w:t>
            </w:r>
          </w:p>
        </w:tc>
      </w:tr>
      <w:tr w:rsidR="000444D1" w:rsidRPr="000444D1" w14:paraId="1539FA75" w14:textId="77777777">
        <w:trPr>
          <w:tblCellSpacing w:w="15" w:type="dxa"/>
        </w:trPr>
        <w:tc>
          <w:tcPr>
            <w:tcW w:w="0" w:type="auto"/>
            <w:vAlign w:val="center"/>
            <w:hideMark/>
          </w:tcPr>
          <w:p w14:paraId="7A2BC3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w:t>
            </w:r>
          </w:p>
        </w:tc>
        <w:tc>
          <w:tcPr>
            <w:tcW w:w="0" w:type="auto"/>
            <w:vAlign w:val="center"/>
            <w:hideMark/>
          </w:tcPr>
          <w:p w14:paraId="7BEFA8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 system of record de al menos una entidad, o una proyección declarada?</w:t>
            </w:r>
          </w:p>
        </w:tc>
        <w:tc>
          <w:tcPr>
            <w:tcW w:w="0" w:type="auto"/>
            <w:vAlign w:val="center"/>
            <w:hideMark/>
          </w:tcPr>
          <w:p w14:paraId="340DEC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Probablemente es un adaptador o una biblioteca, no un servicio</w:t>
            </w:r>
          </w:p>
        </w:tc>
      </w:tr>
      <w:tr w:rsidR="000444D1" w:rsidRPr="000444D1" w14:paraId="6EFB0F4A" w14:textId="77777777">
        <w:trPr>
          <w:tblCellSpacing w:w="15" w:type="dxa"/>
        </w:trPr>
        <w:tc>
          <w:tcPr>
            <w:tcW w:w="0" w:type="auto"/>
            <w:vAlign w:val="center"/>
            <w:hideMark/>
          </w:tcPr>
          <w:p w14:paraId="6C4A04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w:t>
            </w:r>
          </w:p>
        </w:tc>
        <w:tc>
          <w:tcPr>
            <w:tcW w:w="0" w:type="auto"/>
            <w:vAlign w:val="center"/>
            <w:hideMark/>
          </w:tcPr>
          <w:p w14:paraId="6E9458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 responsabilidad se enuncia en una sola frase?</w:t>
            </w:r>
          </w:p>
        </w:tc>
        <w:tc>
          <w:tcPr>
            <w:tcW w:w="0" w:type="auto"/>
            <w:vAlign w:val="center"/>
            <w:hideMark/>
          </w:tcPr>
          <w:p w14:paraId="4C157A2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corte es incorrecto</w:t>
            </w:r>
          </w:p>
        </w:tc>
      </w:tr>
      <w:tr w:rsidR="000444D1" w:rsidRPr="000444D1" w14:paraId="42F4BF31" w14:textId="77777777">
        <w:trPr>
          <w:tblCellSpacing w:w="15" w:type="dxa"/>
        </w:trPr>
        <w:tc>
          <w:tcPr>
            <w:tcW w:w="0" w:type="auto"/>
            <w:vAlign w:val="center"/>
            <w:hideMark/>
          </w:tcPr>
          <w:p w14:paraId="308678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c>
          <w:tcPr>
            <w:tcW w:w="0" w:type="auto"/>
            <w:vAlign w:val="center"/>
            <w:hideMark/>
          </w:tcPr>
          <w:p w14:paraId="31D43D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¿Tiene equipo propietario asignado?</w:t>
            </w:r>
          </w:p>
        </w:tc>
        <w:tc>
          <w:tcPr>
            <w:tcW w:w="0" w:type="auto"/>
            <w:vAlign w:val="center"/>
            <w:hideMark/>
          </w:tcPr>
          <w:p w14:paraId="3649A96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se despliega</w:t>
            </w:r>
          </w:p>
        </w:tc>
      </w:tr>
      <w:tr w:rsidR="000444D1" w:rsidRPr="000444D1" w14:paraId="2F7141FA" w14:textId="77777777">
        <w:trPr>
          <w:tblCellSpacing w:w="15" w:type="dxa"/>
        </w:trPr>
        <w:tc>
          <w:tcPr>
            <w:tcW w:w="0" w:type="auto"/>
            <w:vAlign w:val="center"/>
            <w:hideMark/>
          </w:tcPr>
          <w:p w14:paraId="42578E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w:t>
            </w:r>
          </w:p>
        </w:tc>
        <w:tc>
          <w:tcPr>
            <w:tcW w:w="0" w:type="auto"/>
            <w:vAlign w:val="center"/>
            <w:hideMark/>
          </w:tcPr>
          <w:p w14:paraId="33FF93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¿Requiere una transacción atómica con datos de otro servicio?</w:t>
            </w:r>
          </w:p>
        </w:tc>
        <w:tc>
          <w:tcPr>
            <w:tcW w:w="0" w:type="auto"/>
            <w:vAlign w:val="center"/>
            <w:hideMark/>
          </w:tcPr>
          <w:p w14:paraId="6EDD00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Pertenece al mismo dominio que aquel</w:t>
            </w:r>
          </w:p>
        </w:tc>
      </w:tr>
      <w:tr w:rsidR="000444D1" w:rsidRPr="000444D1" w14:paraId="15353A72" w14:textId="77777777">
        <w:trPr>
          <w:tblCellSpacing w:w="15" w:type="dxa"/>
        </w:trPr>
        <w:tc>
          <w:tcPr>
            <w:tcW w:w="0" w:type="auto"/>
            <w:vAlign w:val="center"/>
            <w:hideMark/>
          </w:tcPr>
          <w:p w14:paraId="26FCD10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w:t>
            </w:r>
          </w:p>
        </w:tc>
        <w:tc>
          <w:tcPr>
            <w:tcW w:w="0" w:type="auto"/>
            <w:vAlign w:val="center"/>
            <w:hideMark/>
          </w:tcPr>
          <w:p w14:paraId="4BEC2F7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¿Tiene fila en la matriz de degradación?</w:t>
            </w:r>
          </w:p>
        </w:tc>
        <w:tc>
          <w:tcPr>
            <w:tcW w:w="0" w:type="auto"/>
            <w:vAlign w:val="center"/>
            <w:hideMark/>
          </w:tcPr>
          <w:p w14:paraId="3EE5E9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se despliega</w:t>
            </w:r>
          </w:p>
        </w:tc>
      </w:tr>
      <w:tr w:rsidR="000444D1" w:rsidRPr="000444D1" w14:paraId="7E22CAA4" w14:textId="77777777">
        <w:trPr>
          <w:tblCellSpacing w:w="15" w:type="dxa"/>
        </w:trPr>
        <w:tc>
          <w:tcPr>
            <w:tcW w:w="0" w:type="auto"/>
            <w:vAlign w:val="center"/>
            <w:hideMark/>
          </w:tcPr>
          <w:p w14:paraId="360FF5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w:t>
            </w:r>
          </w:p>
        </w:tc>
        <w:tc>
          <w:tcPr>
            <w:tcW w:w="0" w:type="auto"/>
            <w:vAlign w:val="center"/>
            <w:hideMark/>
          </w:tcPr>
          <w:p w14:paraId="1D5240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 creación reduce el acoplamiento o solo lo desplaza?</w:t>
            </w:r>
          </w:p>
        </w:tc>
        <w:tc>
          <w:tcPr>
            <w:tcW w:w="0" w:type="auto"/>
            <w:vAlign w:val="center"/>
            <w:hideMark/>
          </w:tcPr>
          <w:p w14:paraId="7775D2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Reconsiderar</w:t>
            </w:r>
          </w:p>
        </w:tc>
      </w:tr>
    </w:tbl>
    <w:p w14:paraId="17C4ECF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criterio 4 es el que más servicios evita. Cuando dos conjuntos de datos requieren cambiar juntos de forma atómica y recurrente, separarlos no elimina la transacción: la convierte en una saga, con su compensación y su complejidad. La pregunta correcta no es si pueden separarse, sino si deben.</w:t>
      </w:r>
    </w:p>
    <w:p w14:paraId="78C29AA9"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16.9 Gobierno de eventos</w:t>
      </w:r>
    </w:p>
    <w:p w14:paraId="5CB43FA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gobierno de eventos es más difícil que el de APIs por una razón estructural: </w:t>
      </w:r>
      <w:r w:rsidRPr="000444D1">
        <w:rPr>
          <w:rFonts w:ascii="Times New Roman" w:eastAsia="Times New Roman" w:hAnsi="Times New Roman" w:cs="Times New Roman"/>
          <w:b/>
          <w:bCs/>
          <w:kern w:val="0"/>
          <w14:ligatures w14:val="none"/>
        </w:rPr>
        <w:t>en una API el productor conoce a sus consumidores; en un bus, no</w:t>
      </w:r>
      <w:r w:rsidRPr="000444D1">
        <w:rPr>
          <w:rFonts w:ascii="Times New Roman" w:eastAsia="Times New Roman" w:hAnsi="Times New Roman" w:cs="Times New Roman"/>
          <w:kern w:val="0"/>
          <w14:ligatures w14:val="none"/>
        </w:rPr>
        <w:t>. Esa opacidad es justamente lo que aporta el desacoplamiento, y también lo que impide saber a quién se rompe con un cambio.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2"/>
        <w:gridCol w:w="5778"/>
      </w:tblGrid>
      <w:tr w:rsidR="000444D1" w:rsidRPr="000444D1" w14:paraId="00A05F93" w14:textId="77777777">
        <w:trPr>
          <w:tblHeader/>
          <w:tblCellSpacing w:w="15" w:type="dxa"/>
        </w:trPr>
        <w:tc>
          <w:tcPr>
            <w:tcW w:w="0" w:type="auto"/>
            <w:vAlign w:val="center"/>
            <w:hideMark/>
          </w:tcPr>
          <w:p w14:paraId="09FBBA7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Problema</w:t>
            </w:r>
          </w:p>
        </w:tc>
        <w:tc>
          <w:tcPr>
            <w:tcW w:w="0" w:type="auto"/>
            <w:vAlign w:val="center"/>
            <w:hideMark/>
          </w:tcPr>
          <w:p w14:paraId="192D79A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w:t>
            </w:r>
          </w:p>
        </w:tc>
      </w:tr>
      <w:tr w:rsidR="000444D1" w:rsidRPr="000444D1" w14:paraId="4B0FE37C" w14:textId="77777777">
        <w:trPr>
          <w:tblCellSpacing w:w="15" w:type="dxa"/>
        </w:trPr>
        <w:tc>
          <w:tcPr>
            <w:tcW w:w="0" w:type="auto"/>
            <w:vAlign w:val="center"/>
            <w:hideMark/>
          </w:tcPr>
          <w:p w14:paraId="237F39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productor no sabe quién consume</w:t>
            </w:r>
          </w:p>
        </w:tc>
        <w:tc>
          <w:tcPr>
            <w:tcW w:w="0" w:type="auto"/>
            <w:vAlign w:val="center"/>
            <w:hideMark/>
          </w:tcPr>
          <w:p w14:paraId="62CC1A0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obligatorio de suscripción en el catálogo, contrastado con la telemetría de los grupos de consumo</w:t>
            </w:r>
          </w:p>
        </w:tc>
      </w:tr>
      <w:tr w:rsidR="000444D1" w:rsidRPr="000444D1" w14:paraId="1D5B5AE6" w14:textId="77777777">
        <w:trPr>
          <w:tblCellSpacing w:w="15" w:type="dxa"/>
        </w:trPr>
        <w:tc>
          <w:tcPr>
            <w:tcW w:w="0" w:type="auto"/>
            <w:vAlign w:val="center"/>
            <w:hideMark/>
          </w:tcPr>
          <w:p w14:paraId="3B96F9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cambio incompatible pasa desapercibido</w:t>
            </w:r>
          </w:p>
        </w:tc>
        <w:tc>
          <w:tcPr>
            <w:tcW w:w="0" w:type="auto"/>
            <w:vAlign w:val="center"/>
            <w:hideMark/>
          </w:tcPr>
          <w:p w14:paraId="29E3A5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esquemas con validación de compatibilidad en la publicación</w:t>
            </w:r>
          </w:p>
        </w:tc>
      </w:tr>
      <w:tr w:rsidR="000444D1" w:rsidRPr="000444D1" w14:paraId="333AEA05" w14:textId="77777777">
        <w:trPr>
          <w:tblCellSpacing w:w="15" w:type="dxa"/>
        </w:trPr>
        <w:tc>
          <w:tcPr>
            <w:tcW w:w="0" w:type="auto"/>
            <w:vAlign w:val="center"/>
            <w:hideMark/>
          </w:tcPr>
          <w:p w14:paraId="54BAE5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evento se convierte en interfaz de facto de datos internos</w:t>
            </w:r>
          </w:p>
        </w:tc>
        <w:tc>
          <w:tcPr>
            <w:tcW w:w="0" w:type="auto"/>
            <w:vAlign w:val="center"/>
            <w:hideMark/>
          </w:tcPr>
          <w:p w14:paraId="20FD5F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Revisión de pares del payload: los eventos transportan hechos de negocio, no volcados del modelo interno</w:t>
            </w:r>
          </w:p>
        </w:tc>
      </w:tr>
      <w:tr w:rsidR="000444D1" w:rsidRPr="000444D1" w14:paraId="30737807" w14:textId="77777777">
        <w:trPr>
          <w:tblCellSpacing w:w="15" w:type="dxa"/>
        </w:trPr>
        <w:tc>
          <w:tcPr>
            <w:tcW w:w="0" w:type="auto"/>
            <w:vAlign w:val="center"/>
            <w:hideMark/>
          </w:tcPr>
          <w:p w14:paraId="763093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Proliferación de tipos de evento</w:t>
            </w:r>
          </w:p>
        </w:tc>
        <w:tc>
          <w:tcPr>
            <w:tcW w:w="0" w:type="auto"/>
            <w:vAlign w:val="center"/>
            <w:hideMark/>
          </w:tcPr>
          <w:p w14:paraId="408E5C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Alta en el catálogo con justificación; los eventos son contrato público del dominio</w:t>
            </w:r>
          </w:p>
        </w:tc>
      </w:tr>
    </w:tbl>
    <w:p w14:paraId="58D06F2C"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tercera fila es la degradación más común y la más difícil de revertir. Un evento que expone la estructura interna del productor crea un acoplamiento invisible: el productor no puede cambiar su modelo sin romper a consumidores que ni siquiera conoce.</w:t>
      </w:r>
    </w:p>
    <w:p w14:paraId="4F45C187"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16.10 Órganos y cadencia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2168"/>
        <w:gridCol w:w="3381"/>
        <w:gridCol w:w="1211"/>
      </w:tblGrid>
      <w:tr w:rsidR="000444D1" w:rsidRPr="000444D1" w14:paraId="6654A089" w14:textId="77777777">
        <w:trPr>
          <w:tblHeader/>
          <w:tblCellSpacing w:w="15" w:type="dxa"/>
        </w:trPr>
        <w:tc>
          <w:tcPr>
            <w:tcW w:w="0" w:type="auto"/>
            <w:vAlign w:val="center"/>
            <w:hideMark/>
          </w:tcPr>
          <w:p w14:paraId="421E2A0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Instancia</w:t>
            </w:r>
          </w:p>
        </w:tc>
        <w:tc>
          <w:tcPr>
            <w:tcW w:w="0" w:type="auto"/>
            <w:vAlign w:val="center"/>
            <w:hideMark/>
          </w:tcPr>
          <w:p w14:paraId="1A3EAA5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Composición</w:t>
            </w:r>
          </w:p>
        </w:tc>
        <w:tc>
          <w:tcPr>
            <w:tcW w:w="0" w:type="auto"/>
            <w:vAlign w:val="center"/>
            <w:hideMark/>
          </w:tcPr>
          <w:p w14:paraId="711A22C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12B5DFB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Cadencia</w:t>
            </w:r>
          </w:p>
        </w:tc>
      </w:tr>
      <w:tr w:rsidR="000444D1" w:rsidRPr="000444D1" w14:paraId="57F04517" w14:textId="77777777">
        <w:trPr>
          <w:tblCellSpacing w:w="15" w:type="dxa"/>
        </w:trPr>
        <w:tc>
          <w:tcPr>
            <w:tcW w:w="0" w:type="auto"/>
            <w:vAlign w:val="center"/>
            <w:hideMark/>
          </w:tcPr>
          <w:p w14:paraId="579F89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Revisión de pares de contrato</w:t>
            </w:r>
          </w:p>
        </w:tc>
        <w:tc>
          <w:tcPr>
            <w:tcW w:w="0" w:type="auto"/>
            <w:vAlign w:val="center"/>
            <w:hideMark/>
          </w:tcPr>
          <w:p w14:paraId="1E7B20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ingeniero de otro dominio</w:t>
            </w:r>
          </w:p>
        </w:tc>
        <w:tc>
          <w:tcPr>
            <w:tcW w:w="0" w:type="auto"/>
            <w:vAlign w:val="center"/>
            <w:hideMark/>
          </w:tcPr>
          <w:p w14:paraId="74AD66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Todo contrato nuevo o cambio de versión mayor</w:t>
            </w:r>
          </w:p>
        </w:tc>
        <w:tc>
          <w:tcPr>
            <w:tcW w:w="0" w:type="auto"/>
            <w:vAlign w:val="center"/>
            <w:hideMark/>
          </w:tcPr>
          <w:p w14:paraId="3B376A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Por cambio</w:t>
            </w:r>
          </w:p>
        </w:tc>
      </w:tr>
      <w:tr w:rsidR="000444D1" w:rsidRPr="000444D1" w14:paraId="035D2987" w14:textId="77777777">
        <w:trPr>
          <w:tblCellSpacing w:w="15" w:type="dxa"/>
        </w:trPr>
        <w:tc>
          <w:tcPr>
            <w:tcW w:w="0" w:type="auto"/>
            <w:vAlign w:val="center"/>
            <w:hideMark/>
          </w:tcPr>
          <w:p w14:paraId="379764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Grupo de arquitectura</w:t>
            </w:r>
          </w:p>
        </w:tc>
        <w:tc>
          <w:tcPr>
            <w:tcW w:w="0" w:type="auto"/>
            <w:vAlign w:val="center"/>
            <w:hideMark/>
          </w:tcPr>
          <w:p w14:paraId="46072B8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Representantes de cada dominio</w:t>
            </w:r>
          </w:p>
        </w:tc>
        <w:tc>
          <w:tcPr>
            <w:tcW w:w="0" w:type="auto"/>
            <w:vAlign w:val="center"/>
            <w:hideMark/>
          </w:tcPr>
          <w:p w14:paraId="1C1D3D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Estándares transversales, creación de servicios, ADR de alcance general</w:t>
            </w:r>
          </w:p>
        </w:tc>
        <w:tc>
          <w:tcPr>
            <w:tcW w:w="0" w:type="auto"/>
            <w:vAlign w:val="center"/>
            <w:hideMark/>
          </w:tcPr>
          <w:p w14:paraId="28DB62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Quincenal</w:t>
            </w:r>
          </w:p>
        </w:tc>
      </w:tr>
      <w:tr w:rsidR="000444D1" w:rsidRPr="000444D1" w14:paraId="2871CB0F" w14:textId="77777777">
        <w:trPr>
          <w:tblCellSpacing w:w="15" w:type="dxa"/>
        </w:trPr>
        <w:tc>
          <w:tcPr>
            <w:tcW w:w="0" w:type="auto"/>
            <w:vAlign w:val="center"/>
            <w:hideMark/>
          </w:tcPr>
          <w:p w14:paraId="280EDFA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Revisión de excepciones</w:t>
            </w:r>
          </w:p>
        </w:tc>
        <w:tc>
          <w:tcPr>
            <w:tcW w:w="0" w:type="auto"/>
            <w:vAlign w:val="center"/>
            <w:hideMark/>
          </w:tcPr>
          <w:p w14:paraId="5DA712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Grupo de arquitectura y seguridad</w:t>
            </w:r>
          </w:p>
        </w:tc>
        <w:tc>
          <w:tcPr>
            <w:tcW w:w="0" w:type="auto"/>
            <w:vAlign w:val="center"/>
            <w:hideMark/>
          </w:tcPr>
          <w:p w14:paraId="6D6BD3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Desviaciones de la plantilla o de los estándares</w:t>
            </w:r>
          </w:p>
        </w:tc>
        <w:tc>
          <w:tcPr>
            <w:tcW w:w="0" w:type="auto"/>
            <w:vAlign w:val="center"/>
            <w:hideMark/>
          </w:tcPr>
          <w:p w14:paraId="5CA106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Bajo demanda</w:t>
            </w:r>
          </w:p>
        </w:tc>
      </w:tr>
      <w:tr w:rsidR="000444D1" w:rsidRPr="000444D1" w14:paraId="1380F9A3" w14:textId="77777777">
        <w:trPr>
          <w:tblCellSpacing w:w="15" w:type="dxa"/>
        </w:trPr>
        <w:tc>
          <w:tcPr>
            <w:tcW w:w="0" w:type="auto"/>
            <w:vAlign w:val="center"/>
            <w:hideMark/>
          </w:tcPr>
          <w:p w14:paraId="3087C9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Revisión de la matriz de degradación y de los ADR</w:t>
            </w:r>
          </w:p>
        </w:tc>
        <w:tc>
          <w:tcPr>
            <w:tcW w:w="0" w:type="auto"/>
            <w:vAlign w:val="center"/>
            <w:hideMark/>
          </w:tcPr>
          <w:p w14:paraId="645C59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Grupo de arquitectura</w:t>
            </w:r>
          </w:p>
        </w:tc>
        <w:tc>
          <w:tcPr>
            <w:tcW w:w="0" w:type="auto"/>
            <w:vAlign w:val="center"/>
            <w:hideMark/>
          </w:tcPr>
          <w:p w14:paraId="45D8FFD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Vigencia frente al sistema real</w:t>
            </w:r>
          </w:p>
        </w:tc>
        <w:tc>
          <w:tcPr>
            <w:tcW w:w="0" w:type="auto"/>
            <w:vAlign w:val="center"/>
            <w:hideMark/>
          </w:tcPr>
          <w:p w14:paraId="30DC6E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Trimestral</w:t>
            </w:r>
          </w:p>
        </w:tc>
      </w:tr>
    </w:tbl>
    <w:p w14:paraId="55F59E6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Las decisiones del grupo de arquitectura se registran como ADR con el formato de la sección 4. Una decisión sin registro escrito se reabre cada seis meses, y su contexto original se pierde.</w:t>
      </w:r>
    </w:p>
    <w:p w14:paraId="4AC9E9F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16.11 Indicadores del gobierno</w:t>
      </w:r>
    </w:p>
    <w:p w14:paraId="3F21BD2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modelo de gobierno también se mide. Sin indicadores, se degrada en un conjunto de normas que todos citan y nadie verifica.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3"/>
        <w:gridCol w:w="4337"/>
      </w:tblGrid>
      <w:tr w:rsidR="000444D1" w:rsidRPr="000444D1" w14:paraId="4949D704" w14:textId="77777777">
        <w:trPr>
          <w:tblHeader/>
          <w:tblCellSpacing w:w="15" w:type="dxa"/>
        </w:trPr>
        <w:tc>
          <w:tcPr>
            <w:tcW w:w="0" w:type="auto"/>
            <w:vAlign w:val="center"/>
            <w:hideMark/>
          </w:tcPr>
          <w:p w14:paraId="0C62C79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Indicador</w:t>
            </w:r>
          </w:p>
        </w:tc>
        <w:tc>
          <w:tcPr>
            <w:tcW w:w="0" w:type="auto"/>
            <w:vAlign w:val="center"/>
            <w:hideMark/>
          </w:tcPr>
          <w:p w14:paraId="448F520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Qué revela</w:t>
            </w:r>
          </w:p>
        </w:tc>
      </w:tr>
      <w:tr w:rsidR="000444D1" w:rsidRPr="000444D1" w14:paraId="376C614A" w14:textId="77777777">
        <w:trPr>
          <w:tblCellSpacing w:w="15" w:type="dxa"/>
        </w:trPr>
        <w:tc>
          <w:tcPr>
            <w:tcW w:w="0" w:type="auto"/>
            <w:vAlign w:val="center"/>
            <w:hideMark/>
          </w:tcPr>
          <w:p w14:paraId="30CA88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Proporción de servicios con propietario, fila de degradación y contrato publicado</w:t>
            </w:r>
          </w:p>
        </w:tc>
        <w:tc>
          <w:tcPr>
            <w:tcW w:w="0" w:type="auto"/>
            <w:vAlign w:val="center"/>
            <w:hideMark/>
          </w:tcPr>
          <w:p w14:paraId="64E16F0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Cobertura real del modelo</w:t>
            </w:r>
          </w:p>
        </w:tc>
      </w:tr>
      <w:tr w:rsidR="000444D1" w:rsidRPr="000444D1" w14:paraId="7C3261BC" w14:textId="77777777">
        <w:trPr>
          <w:tblCellSpacing w:w="15" w:type="dxa"/>
        </w:trPr>
        <w:tc>
          <w:tcPr>
            <w:tcW w:w="0" w:type="auto"/>
            <w:vAlign w:val="center"/>
            <w:hideMark/>
          </w:tcPr>
          <w:p w14:paraId="53DD2B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Proporción de contratos con pruebas dirigidas por el consumidor</w:t>
            </w:r>
          </w:p>
        </w:tc>
        <w:tc>
          <w:tcPr>
            <w:tcW w:w="0" w:type="auto"/>
            <w:vAlign w:val="center"/>
            <w:hideMark/>
          </w:tcPr>
          <w:p w14:paraId="66D108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Riesgo de ruptura no detectada</w:t>
            </w:r>
          </w:p>
        </w:tc>
      </w:tr>
      <w:tr w:rsidR="000444D1" w:rsidRPr="000444D1" w14:paraId="2645653C" w14:textId="77777777">
        <w:trPr>
          <w:tblCellSpacing w:w="15" w:type="dxa"/>
        </w:trPr>
        <w:tc>
          <w:tcPr>
            <w:tcW w:w="0" w:type="auto"/>
            <w:vAlign w:val="center"/>
            <w:hideMark/>
          </w:tcPr>
          <w:p w14:paraId="33DC518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Antigüedad media de las versiones en deprecación</w:t>
            </w:r>
          </w:p>
        </w:tc>
        <w:tc>
          <w:tcPr>
            <w:tcW w:w="0" w:type="auto"/>
            <w:vAlign w:val="center"/>
            <w:hideMark/>
          </w:tcPr>
          <w:p w14:paraId="26304E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las migraciones avanzan o se acumulan</w:t>
            </w:r>
          </w:p>
        </w:tc>
      </w:tr>
      <w:tr w:rsidR="000444D1" w:rsidRPr="000444D1" w14:paraId="79B0D5CF" w14:textId="77777777">
        <w:trPr>
          <w:tblCellSpacing w:w="15" w:type="dxa"/>
        </w:trPr>
        <w:tc>
          <w:tcPr>
            <w:tcW w:w="0" w:type="auto"/>
            <w:vAlign w:val="center"/>
            <w:hideMark/>
          </w:tcPr>
          <w:p w14:paraId="4F4974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Número de eventos sin consumidor registrado</w:t>
            </w:r>
          </w:p>
        </w:tc>
        <w:tc>
          <w:tcPr>
            <w:tcW w:w="0" w:type="auto"/>
            <w:vAlign w:val="center"/>
            <w:hideMark/>
          </w:tcPr>
          <w:p w14:paraId="4FF80A5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Contratos publicados que nadie usa, o registro incompleto</w:t>
            </w:r>
          </w:p>
        </w:tc>
      </w:tr>
      <w:tr w:rsidR="000444D1" w:rsidRPr="000444D1" w14:paraId="091D8B8C" w14:textId="77777777">
        <w:trPr>
          <w:tblCellSpacing w:w="15" w:type="dxa"/>
        </w:trPr>
        <w:tc>
          <w:tcPr>
            <w:tcW w:w="0" w:type="auto"/>
            <w:vAlign w:val="center"/>
            <w:hideMark/>
          </w:tcPr>
          <w:p w14:paraId="100767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Tiempo desde la propuesta de una API hasta su publicación</w:t>
            </w:r>
          </w:p>
        </w:tc>
        <w:tc>
          <w:tcPr>
            <w:tcW w:w="0" w:type="auto"/>
            <w:vAlign w:val="center"/>
            <w:hideMark/>
          </w:tcPr>
          <w:p w14:paraId="070FED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Si el gobierno se ha convertido en un cuello de botella</w:t>
            </w:r>
          </w:p>
        </w:tc>
      </w:tr>
      <w:tr w:rsidR="000444D1" w:rsidRPr="000444D1" w14:paraId="00D04656" w14:textId="77777777">
        <w:trPr>
          <w:tblCellSpacing w:w="15" w:type="dxa"/>
        </w:trPr>
        <w:tc>
          <w:tcPr>
            <w:tcW w:w="0" w:type="auto"/>
            <w:vAlign w:val="center"/>
            <w:hideMark/>
          </w:tcPr>
          <w:p w14:paraId="4D7F25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Excepciones concedidas por trimestre</w:t>
            </w:r>
          </w:p>
        </w:tc>
        <w:tc>
          <w:tcPr>
            <w:tcW w:w="0" w:type="auto"/>
            <w:vAlign w:val="center"/>
            <w:hideMark/>
          </w:tcPr>
          <w:p w14:paraId="21DB9A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 los estándares son aplicables o se incumplen sistemáticamente</w:t>
            </w:r>
          </w:p>
        </w:tc>
      </w:tr>
    </w:tbl>
    <w:p w14:paraId="5126FA0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Los dos últimos indicadores vigilan al propio modelo de gobierno. Un tiempo de publicación creciente o un número alto de excepciones no indican indisciplina de los equipos: indican que la norma no se ajusta a la realidad del trabajo y debe revisarse.</w:t>
      </w:r>
    </w:p>
    <w:p w14:paraId="5F51CB02"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7EDCB628">
          <v:rect id="Horizontal Line 550"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FE5FE71"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17. Plan de migración gradual</w:t>
      </w:r>
    </w:p>
    <w:p w14:paraId="155F126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plan desarrolla el ADR-001. Su objetivo declarado no es llegar rápido al core digital, sino </w:t>
      </w:r>
      <w:r w:rsidRPr="000444D1">
        <w:rPr>
          <w:rFonts w:ascii="Times New Roman" w:eastAsia="Times New Roman" w:hAnsi="Times New Roman" w:cs="Times New Roman"/>
          <w:b/>
          <w:bCs/>
          <w:kern w:val="0"/>
          <w14:ligatures w14:val="none"/>
        </w:rPr>
        <w:t>que ninguna fase pueda causar un incidente que afecte a saldos de clientes sin posibilidad de retorno</w:t>
      </w:r>
      <w:r w:rsidRPr="000444D1">
        <w:rPr>
          <w:rFonts w:ascii="Times New Roman" w:eastAsia="Times New Roman" w:hAnsi="Times New Roman" w:cs="Times New Roman"/>
          <w:kern w:val="0"/>
          <w14:ligatures w14:val="none"/>
        </w:rPr>
        <w:t>. Todo lo demás está subordinado a eso.</w:t>
      </w:r>
    </w:p>
    <w:p w14:paraId="7B522C6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17.1 Principios del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
        <w:gridCol w:w="4399"/>
        <w:gridCol w:w="4552"/>
      </w:tblGrid>
      <w:tr w:rsidR="000444D1" w:rsidRPr="000444D1" w14:paraId="430A76B0" w14:textId="77777777">
        <w:trPr>
          <w:tblHeader/>
          <w:tblCellSpacing w:w="15" w:type="dxa"/>
        </w:trPr>
        <w:tc>
          <w:tcPr>
            <w:tcW w:w="0" w:type="auto"/>
            <w:vAlign w:val="center"/>
            <w:hideMark/>
          </w:tcPr>
          <w:p w14:paraId="1A7F02C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15995F9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Principio</w:t>
            </w:r>
          </w:p>
        </w:tc>
        <w:tc>
          <w:tcPr>
            <w:tcW w:w="0" w:type="auto"/>
            <w:vAlign w:val="center"/>
            <w:hideMark/>
          </w:tcPr>
          <w:p w14:paraId="37F4BD2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Consecuencia práctica</w:t>
            </w:r>
          </w:p>
        </w:tc>
      </w:tr>
      <w:tr w:rsidR="000444D1" w:rsidRPr="000444D1" w14:paraId="36868459" w14:textId="77777777">
        <w:trPr>
          <w:tblCellSpacing w:w="15" w:type="dxa"/>
        </w:trPr>
        <w:tc>
          <w:tcPr>
            <w:tcW w:w="0" w:type="auto"/>
            <w:vAlign w:val="center"/>
            <w:hideMark/>
          </w:tcPr>
          <w:p w14:paraId="037803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M1</w:t>
            </w:r>
          </w:p>
        </w:tc>
        <w:tc>
          <w:tcPr>
            <w:tcW w:w="0" w:type="auto"/>
            <w:vAlign w:val="center"/>
            <w:hideMark/>
          </w:tcPr>
          <w:p w14:paraId="2E3581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Ninguna fase migra saldos y cambia comportamiento a la vez</w:t>
            </w:r>
          </w:p>
        </w:tc>
        <w:tc>
          <w:tcPr>
            <w:tcW w:w="0" w:type="auto"/>
            <w:vAlign w:val="center"/>
            <w:hideMark/>
          </w:tcPr>
          <w:p w14:paraId="55B5B25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separa el traslado de datos del cambio de lógica; si algo falla, se sabe qué lo causó</w:t>
            </w:r>
          </w:p>
        </w:tc>
      </w:tr>
      <w:tr w:rsidR="000444D1" w:rsidRPr="000444D1" w14:paraId="2B472F43" w14:textId="77777777">
        <w:trPr>
          <w:tblCellSpacing w:w="15" w:type="dxa"/>
        </w:trPr>
        <w:tc>
          <w:tcPr>
            <w:tcW w:w="0" w:type="auto"/>
            <w:vAlign w:val="center"/>
            <w:hideMark/>
          </w:tcPr>
          <w:p w14:paraId="619029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M2</w:t>
            </w:r>
          </w:p>
        </w:tc>
        <w:tc>
          <w:tcPr>
            <w:tcW w:w="0" w:type="auto"/>
            <w:vAlign w:val="center"/>
            <w:hideMark/>
          </w:tcPr>
          <w:p w14:paraId="729A54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Toda fase tiene punto de retorno definido antes de comenzar</w:t>
            </w:r>
          </w:p>
        </w:tc>
        <w:tc>
          <w:tcPr>
            <w:tcW w:w="0" w:type="auto"/>
            <w:vAlign w:val="center"/>
            <w:hideMark/>
          </w:tcPr>
          <w:p w14:paraId="259DA1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Una fase sin retorno posible no se aprueba</w:t>
            </w:r>
          </w:p>
        </w:tc>
      </w:tr>
      <w:tr w:rsidR="000444D1" w:rsidRPr="000444D1" w14:paraId="5F650866" w14:textId="77777777">
        <w:trPr>
          <w:tblCellSpacing w:w="15" w:type="dxa"/>
        </w:trPr>
        <w:tc>
          <w:tcPr>
            <w:tcW w:w="0" w:type="auto"/>
            <w:vAlign w:val="center"/>
            <w:hideMark/>
          </w:tcPr>
          <w:p w14:paraId="64ECF48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M3</w:t>
            </w:r>
          </w:p>
        </w:tc>
        <w:tc>
          <w:tcPr>
            <w:tcW w:w="0" w:type="auto"/>
            <w:vAlign w:val="center"/>
            <w:hideMark/>
          </w:tcPr>
          <w:p w14:paraId="716ED5E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core tradicional sigue siendo la verdad hasta que se demuestre paridad</w:t>
            </w:r>
          </w:p>
        </w:tc>
        <w:tc>
          <w:tcPr>
            <w:tcW w:w="0" w:type="auto"/>
            <w:vAlign w:val="center"/>
            <w:hideMark/>
          </w:tcPr>
          <w:p w14:paraId="44111B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comparación precede a la sustitución, siempre</w:t>
            </w:r>
          </w:p>
        </w:tc>
      </w:tr>
      <w:tr w:rsidR="000444D1" w:rsidRPr="000444D1" w14:paraId="738301DE" w14:textId="77777777">
        <w:trPr>
          <w:tblCellSpacing w:w="15" w:type="dxa"/>
        </w:trPr>
        <w:tc>
          <w:tcPr>
            <w:tcW w:w="0" w:type="auto"/>
            <w:vAlign w:val="center"/>
            <w:hideMark/>
          </w:tcPr>
          <w:p w14:paraId="42002B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M4</w:t>
            </w:r>
          </w:p>
        </w:tc>
        <w:tc>
          <w:tcPr>
            <w:tcW w:w="0" w:type="auto"/>
            <w:vAlign w:val="center"/>
            <w:hideMark/>
          </w:tcPr>
          <w:p w14:paraId="1B8B6C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Se despliega primero lo que no cambia nada</w:t>
            </w:r>
          </w:p>
        </w:tc>
        <w:tc>
          <w:tcPr>
            <w:tcW w:w="0" w:type="auto"/>
            <w:vAlign w:val="center"/>
            <w:hideMark/>
          </w:tcPr>
          <w:p w14:paraId="4EDC46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capa de integración se construye y se valida antes de que sustituya a nada</w:t>
            </w:r>
          </w:p>
        </w:tc>
      </w:tr>
      <w:tr w:rsidR="000444D1" w:rsidRPr="000444D1" w14:paraId="5C5138E5" w14:textId="77777777">
        <w:trPr>
          <w:tblCellSpacing w:w="15" w:type="dxa"/>
        </w:trPr>
        <w:tc>
          <w:tcPr>
            <w:tcW w:w="0" w:type="auto"/>
            <w:vAlign w:val="center"/>
            <w:hideMark/>
          </w:tcPr>
          <w:p w14:paraId="03EB9D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M5</w:t>
            </w:r>
          </w:p>
        </w:tc>
        <w:tc>
          <w:tcPr>
            <w:tcW w:w="0" w:type="auto"/>
            <w:vAlign w:val="center"/>
            <w:hideMark/>
          </w:tcPr>
          <w:p w14:paraId="010361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Un producto se migra completo o no se migra</w:t>
            </w:r>
          </w:p>
        </w:tc>
        <w:tc>
          <w:tcPr>
            <w:tcW w:w="0" w:type="auto"/>
            <w:vAlign w:val="center"/>
            <w:hideMark/>
          </w:tcPr>
          <w:p w14:paraId="79C02B7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Evita el estado intermedio donde una misma cuenta existe en dos cores</w:t>
            </w:r>
          </w:p>
        </w:tc>
      </w:tr>
      <w:tr w:rsidR="000444D1" w:rsidRPr="000444D1" w14:paraId="6635CED9" w14:textId="77777777">
        <w:trPr>
          <w:tblCellSpacing w:w="15" w:type="dxa"/>
        </w:trPr>
        <w:tc>
          <w:tcPr>
            <w:tcW w:w="0" w:type="auto"/>
            <w:vAlign w:val="center"/>
            <w:hideMark/>
          </w:tcPr>
          <w:p w14:paraId="3300905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M6</w:t>
            </w:r>
          </w:p>
        </w:tc>
        <w:tc>
          <w:tcPr>
            <w:tcW w:w="0" w:type="auto"/>
            <w:vAlign w:val="center"/>
            <w:hideMark/>
          </w:tcPr>
          <w:p w14:paraId="37AF448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avance lo determinan indicadores, no el calendario</w:t>
            </w:r>
          </w:p>
        </w:tc>
        <w:tc>
          <w:tcPr>
            <w:tcW w:w="0" w:type="auto"/>
            <w:vAlign w:val="center"/>
            <w:hideMark/>
          </w:tcPr>
          <w:p w14:paraId="59E5F6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criterios de salida de 17.3 son condiciones, no objetivos deseables</w:t>
            </w:r>
          </w:p>
        </w:tc>
      </w:tr>
    </w:tbl>
    <w:p w14:paraId="394D3FE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M4 es el principio que más reduce el riesgo operativo.</w:t>
      </w:r>
      <w:r w:rsidRPr="000444D1">
        <w:rPr>
          <w:rFonts w:ascii="Times New Roman" w:eastAsia="Times New Roman" w:hAnsi="Times New Roman" w:cs="Times New Roman"/>
          <w:kern w:val="0"/>
          <w14:ligatures w14:val="none"/>
        </w:rPr>
        <w:t xml:space="preserve"> La primera mitad del programa no sustituye nada: construye la capa de integración en paralelo al sistema existente y la valida comparándola contra él. Cuando llega el momento de conmutar, la capa lleva meses procesando el tráfico real en modo observación. La alternativa —construir y conmutar en el mismo paso— concentra todo el riesgo en un único evento.</w:t>
      </w:r>
    </w:p>
    <w:p w14:paraId="6399A8C1"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17.2 Modos de transición de un producto</w:t>
      </w:r>
    </w:p>
    <w:p w14:paraId="18EBEF86"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No todos los productos requieren mover datos. La distinción reduce sustancialmente el riesgo del programa y determina el orden de las fases.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2440"/>
        <w:gridCol w:w="3473"/>
        <w:gridCol w:w="1946"/>
      </w:tblGrid>
      <w:tr w:rsidR="000444D1" w:rsidRPr="000444D1" w14:paraId="3DB5E5FB" w14:textId="77777777">
        <w:trPr>
          <w:tblHeader/>
          <w:tblCellSpacing w:w="15" w:type="dxa"/>
        </w:trPr>
        <w:tc>
          <w:tcPr>
            <w:tcW w:w="0" w:type="auto"/>
            <w:vAlign w:val="center"/>
            <w:hideMark/>
          </w:tcPr>
          <w:p w14:paraId="2E50A16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Modo</w:t>
            </w:r>
          </w:p>
        </w:tc>
        <w:tc>
          <w:tcPr>
            <w:tcW w:w="0" w:type="auto"/>
            <w:vAlign w:val="center"/>
            <w:hideMark/>
          </w:tcPr>
          <w:p w14:paraId="664BB47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Aplicable a</w:t>
            </w:r>
          </w:p>
        </w:tc>
        <w:tc>
          <w:tcPr>
            <w:tcW w:w="0" w:type="auto"/>
            <w:vAlign w:val="center"/>
            <w:hideMark/>
          </w:tcPr>
          <w:p w14:paraId="01573C3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Mecánica</w:t>
            </w:r>
          </w:p>
        </w:tc>
        <w:tc>
          <w:tcPr>
            <w:tcW w:w="0" w:type="auto"/>
            <w:vAlign w:val="center"/>
            <w:hideMark/>
          </w:tcPr>
          <w:p w14:paraId="0AAD843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Riesgo sobre saldos</w:t>
            </w:r>
          </w:p>
        </w:tc>
      </w:tr>
      <w:tr w:rsidR="000444D1" w:rsidRPr="000444D1" w14:paraId="73AC6DE8" w14:textId="77777777">
        <w:trPr>
          <w:tblCellSpacing w:w="15" w:type="dxa"/>
        </w:trPr>
        <w:tc>
          <w:tcPr>
            <w:tcW w:w="0" w:type="auto"/>
            <w:vAlign w:val="center"/>
            <w:hideMark/>
          </w:tcPr>
          <w:p w14:paraId="0644B5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Nacimiento en digital</w:t>
            </w:r>
          </w:p>
        </w:tc>
        <w:tc>
          <w:tcPr>
            <w:tcW w:w="0" w:type="auto"/>
            <w:vAlign w:val="center"/>
            <w:hideMark/>
          </w:tcPr>
          <w:p w14:paraId="14FE382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Productos nuevos que no existen hoy</w:t>
            </w:r>
          </w:p>
        </w:tc>
        <w:tc>
          <w:tcPr>
            <w:tcW w:w="0" w:type="auto"/>
            <w:vAlign w:val="center"/>
            <w:hideMark/>
          </w:tcPr>
          <w:p w14:paraId="77BD3E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originan directamente en el core digital</w:t>
            </w:r>
          </w:p>
        </w:tc>
        <w:tc>
          <w:tcPr>
            <w:tcW w:w="0" w:type="auto"/>
            <w:vAlign w:val="center"/>
            <w:hideMark/>
          </w:tcPr>
          <w:p w14:paraId="3211E5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Ninguno: no hay dato preexistente</w:t>
            </w:r>
          </w:p>
        </w:tc>
      </w:tr>
      <w:tr w:rsidR="000444D1" w:rsidRPr="000444D1" w14:paraId="14658AC0" w14:textId="77777777">
        <w:trPr>
          <w:tblCellSpacing w:w="15" w:type="dxa"/>
        </w:trPr>
        <w:tc>
          <w:tcPr>
            <w:tcW w:w="0" w:type="auto"/>
            <w:vAlign w:val="center"/>
            <w:hideMark/>
          </w:tcPr>
          <w:p w14:paraId="39014B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Extinción natural</w:t>
            </w:r>
          </w:p>
        </w:tc>
        <w:tc>
          <w:tcPr>
            <w:tcW w:w="0" w:type="auto"/>
            <w:vAlign w:val="center"/>
            <w:hideMark/>
          </w:tcPr>
          <w:p w14:paraId="01BD2E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Productos con vencimiento: depósitos a plazo, créditos, préstamos</w:t>
            </w:r>
          </w:p>
        </w:tc>
        <w:tc>
          <w:tcPr>
            <w:tcW w:w="0" w:type="auto"/>
            <w:vAlign w:val="center"/>
            <w:hideMark/>
          </w:tcPr>
          <w:p w14:paraId="51B2A3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Dejan de originarse en el core tradicional; los vigentes permanecen allí hasta vencer. Los nuevos nacen en el digital</w:t>
            </w:r>
          </w:p>
        </w:tc>
        <w:tc>
          <w:tcPr>
            <w:tcW w:w="0" w:type="auto"/>
            <w:vAlign w:val="center"/>
            <w:hideMark/>
          </w:tcPr>
          <w:p w14:paraId="4D320E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Ninguno: no se migra ningún saldo</w:t>
            </w:r>
          </w:p>
        </w:tc>
      </w:tr>
      <w:tr w:rsidR="000444D1" w:rsidRPr="000444D1" w14:paraId="690CF0F3" w14:textId="77777777">
        <w:trPr>
          <w:tblCellSpacing w:w="15" w:type="dxa"/>
        </w:trPr>
        <w:tc>
          <w:tcPr>
            <w:tcW w:w="0" w:type="auto"/>
            <w:vAlign w:val="center"/>
            <w:hideMark/>
          </w:tcPr>
          <w:p w14:paraId="168892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Migración por cohorte</w:t>
            </w:r>
          </w:p>
        </w:tc>
        <w:tc>
          <w:tcPr>
            <w:tcW w:w="0" w:type="auto"/>
            <w:vAlign w:val="center"/>
            <w:hideMark/>
          </w:tcPr>
          <w:p w14:paraId="106780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Productos sin vencimiento: cuentas de ahorro y corriente</w:t>
            </w:r>
          </w:p>
        </w:tc>
        <w:tc>
          <w:tcPr>
            <w:tcW w:w="0" w:type="auto"/>
            <w:vAlign w:val="center"/>
            <w:hideMark/>
          </w:tcPr>
          <w:p w14:paraId="6DC7DA3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Traslado de contrato y saldo con ventana operativa acotada, por grupos de clientes</w:t>
            </w:r>
          </w:p>
        </w:tc>
        <w:tc>
          <w:tcPr>
            <w:tcW w:w="0" w:type="auto"/>
            <w:vAlign w:val="center"/>
            <w:hideMark/>
          </w:tcPr>
          <w:p w14:paraId="270AEC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 exige el procedimiento de 17.5</w:t>
            </w:r>
          </w:p>
        </w:tc>
      </w:tr>
    </w:tbl>
    <w:p w14:paraId="30848D8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consecuencia es que </w:t>
      </w:r>
      <w:r w:rsidRPr="000444D1">
        <w:rPr>
          <w:rFonts w:ascii="Times New Roman" w:eastAsia="Times New Roman" w:hAnsi="Times New Roman" w:cs="Times New Roman"/>
          <w:b/>
          <w:bCs/>
          <w:kern w:val="0"/>
          <w14:ligatures w14:val="none"/>
        </w:rPr>
        <w:t>la mayor parte del catálogo no requiere migrar saldos</w:t>
      </w:r>
      <w:r w:rsidRPr="000444D1">
        <w:rPr>
          <w:rFonts w:ascii="Times New Roman" w:eastAsia="Times New Roman" w:hAnsi="Times New Roman" w:cs="Times New Roman"/>
          <w:kern w:val="0"/>
          <w14:ligatures w14:val="none"/>
        </w:rPr>
        <w:t>. Solo las cuentas sin vencimiento lo exigen, y son las últimas del plan. Un programa que empieza migrando cuentas corrientes asume su mayor riesgo cuando menos experiencia operativa tiene; este empieza por donde el riesgo es estructuralmente nulo.</w:t>
      </w:r>
    </w:p>
    <w:p w14:paraId="6835E8B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17.3 Fases</w:t>
      </w:r>
    </w:p>
    <w:p w14:paraId="772E175C"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0 — Fundaciones y observabilidad (no sustituye nada)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7565"/>
      </w:tblGrid>
      <w:tr w:rsidR="000444D1" w:rsidRPr="000444D1" w14:paraId="7712F5EE" w14:textId="77777777">
        <w:trPr>
          <w:tblHeader/>
          <w:tblCellSpacing w:w="15" w:type="dxa"/>
        </w:trPr>
        <w:tc>
          <w:tcPr>
            <w:tcW w:w="0" w:type="auto"/>
            <w:vAlign w:val="center"/>
            <w:hideMark/>
          </w:tcPr>
          <w:p w14:paraId="3E4324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30EC5F5B"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7D671FFE" w14:textId="77777777">
        <w:trPr>
          <w:tblCellSpacing w:w="15" w:type="dxa"/>
        </w:trPr>
        <w:tc>
          <w:tcPr>
            <w:tcW w:w="0" w:type="auto"/>
            <w:vAlign w:val="center"/>
            <w:hideMark/>
          </w:tcPr>
          <w:p w14:paraId="2D719D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7AB143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del core tradicional, CDC, bus de eventos, D1, D2, D8, gateway interno, IdP, plataforma de observabilidad</w:t>
            </w:r>
          </w:p>
        </w:tc>
      </w:tr>
      <w:tr w:rsidR="000444D1" w:rsidRPr="000444D1" w14:paraId="0BF2C87B" w14:textId="77777777">
        <w:trPr>
          <w:tblCellSpacing w:w="15" w:type="dxa"/>
        </w:trPr>
        <w:tc>
          <w:tcPr>
            <w:tcW w:w="0" w:type="auto"/>
            <w:vAlign w:val="center"/>
            <w:hideMark/>
          </w:tcPr>
          <w:p w14:paraId="784349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Qué cambia para el cliente</w:t>
            </w:r>
          </w:p>
        </w:tc>
        <w:tc>
          <w:tcPr>
            <w:tcW w:w="0" w:type="auto"/>
            <w:vAlign w:val="center"/>
            <w:hideMark/>
          </w:tcPr>
          <w:p w14:paraId="485F52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Nada</w:t>
            </w:r>
          </w:p>
        </w:tc>
      </w:tr>
      <w:tr w:rsidR="000444D1" w:rsidRPr="000444D1" w14:paraId="6F837151" w14:textId="77777777">
        <w:trPr>
          <w:tblCellSpacing w:w="15" w:type="dxa"/>
        </w:trPr>
        <w:tc>
          <w:tcPr>
            <w:tcW w:w="0" w:type="auto"/>
            <w:vAlign w:val="center"/>
            <w:hideMark/>
          </w:tcPr>
          <w:p w14:paraId="7C01DB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Valor entregado</w:t>
            </w:r>
          </w:p>
        </w:tc>
        <w:tc>
          <w:tcPr>
            <w:tcW w:w="0" w:type="auto"/>
            <w:vAlign w:val="center"/>
            <w:hideMark/>
          </w:tcPr>
          <w:p w14:paraId="6E41DB3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Por primera vez existe visibilidad unificada de lo que ocurre en el core, incluidas las operaciones presenciales</w:t>
            </w:r>
          </w:p>
        </w:tc>
      </w:tr>
      <w:tr w:rsidR="000444D1" w:rsidRPr="000444D1" w14:paraId="709B26AF" w14:textId="77777777">
        <w:trPr>
          <w:tblCellSpacing w:w="15" w:type="dxa"/>
        </w:trPr>
        <w:tc>
          <w:tcPr>
            <w:tcW w:w="0" w:type="auto"/>
            <w:vAlign w:val="center"/>
            <w:hideMark/>
          </w:tcPr>
          <w:p w14:paraId="209F346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Criterio de salida</w:t>
            </w:r>
          </w:p>
        </w:tc>
        <w:tc>
          <w:tcPr>
            <w:tcW w:w="0" w:type="auto"/>
            <w:vAlign w:val="center"/>
            <w:hideMark/>
          </w:tcPr>
          <w:p w14:paraId="16A91B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CDC captura el 100 % de movimientos durante 30 días consecutivos; la brecha entre eventos del ACL y del CDC es explicable en su totalidad; D8 registra sin pérdidas</w:t>
            </w:r>
          </w:p>
        </w:tc>
      </w:tr>
      <w:tr w:rsidR="000444D1" w:rsidRPr="000444D1" w14:paraId="117CFE9F" w14:textId="77777777">
        <w:trPr>
          <w:tblCellSpacing w:w="15" w:type="dxa"/>
        </w:trPr>
        <w:tc>
          <w:tcPr>
            <w:tcW w:w="0" w:type="auto"/>
            <w:vAlign w:val="center"/>
            <w:hideMark/>
          </w:tcPr>
          <w:p w14:paraId="0B280AC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 de retorno</w:t>
            </w:r>
          </w:p>
        </w:tc>
        <w:tc>
          <w:tcPr>
            <w:tcW w:w="0" w:type="auto"/>
            <w:vAlign w:val="center"/>
            <w:hideMark/>
          </w:tcPr>
          <w:p w14:paraId="1A3229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Apagar los componentes nuevos; el sistema existente no fue modificado</w:t>
            </w:r>
          </w:p>
        </w:tc>
      </w:tr>
    </w:tbl>
    <w:p w14:paraId="0340CC7E"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1 — Lecturas por la nueva capa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7510"/>
      </w:tblGrid>
      <w:tr w:rsidR="000444D1" w:rsidRPr="000444D1" w14:paraId="6B14DAC4" w14:textId="77777777">
        <w:trPr>
          <w:tblHeader/>
          <w:tblCellSpacing w:w="15" w:type="dxa"/>
        </w:trPr>
        <w:tc>
          <w:tcPr>
            <w:tcW w:w="0" w:type="auto"/>
            <w:vAlign w:val="center"/>
            <w:hideMark/>
          </w:tcPr>
          <w:p w14:paraId="67F1B0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3DFE97DD"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064E4FE9" w14:textId="77777777">
        <w:trPr>
          <w:tblCellSpacing w:w="15" w:type="dxa"/>
        </w:trPr>
        <w:tc>
          <w:tcPr>
            <w:tcW w:w="0" w:type="auto"/>
            <w:vAlign w:val="center"/>
            <w:hideMark/>
          </w:tcPr>
          <w:p w14:paraId="1A1977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5DFB21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Posición consolidada, D9 Entitlements, BFF, canales apuntando a la nueva capa</w:t>
            </w:r>
          </w:p>
        </w:tc>
      </w:tr>
      <w:tr w:rsidR="000444D1" w:rsidRPr="000444D1" w14:paraId="464A3620" w14:textId="77777777">
        <w:trPr>
          <w:tblCellSpacing w:w="15" w:type="dxa"/>
        </w:trPr>
        <w:tc>
          <w:tcPr>
            <w:tcW w:w="0" w:type="auto"/>
            <w:vAlign w:val="center"/>
            <w:hideMark/>
          </w:tcPr>
          <w:p w14:paraId="055C5B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Qué cambia para el cliente</w:t>
            </w:r>
          </w:p>
        </w:tc>
        <w:tc>
          <w:tcPr>
            <w:tcW w:w="0" w:type="auto"/>
            <w:vAlign w:val="center"/>
            <w:hideMark/>
          </w:tcPr>
          <w:p w14:paraId="432D92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Consultas más rápidas y disponibles durante la ventana de cierre</w:t>
            </w:r>
          </w:p>
        </w:tc>
      </w:tr>
      <w:tr w:rsidR="000444D1" w:rsidRPr="000444D1" w14:paraId="2897E3CB" w14:textId="77777777">
        <w:trPr>
          <w:tblCellSpacing w:w="15" w:type="dxa"/>
        </w:trPr>
        <w:tc>
          <w:tcPr>
            <w:tcW w:w="0" w:type="auto"/>
            <w:vAlign w:val="center"/>
            <w:hideMark/>
          </w:tcPr>
          <w:p w14:paraId="280B45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Modo de validación</w:t>
            </w:r>
          </w:p>
        </w:tc>
        <w:tc>
          <w:tcPr>
            <w:tcW w:w="0" w:type="auto"/>
            <w:vAlign w:val="center"/>
            <w:hideMark/>
          </w:tcPr>
          <w:p w14:paraId="536A1A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Lectura en sombra: durante al menos 60 días D3 se compara contra el core en cada consulta, sin servir su resultado</w:t>
            </w:r>
          </w:p>
        </w:tc>
      </w:tr>
      <w:tr w:rsidR="000444D1" w:rsidRPr="000444D1" w14:paraId="4866D105" w14:textId="77777777">
        <w:trPr>
          <w:tblCellSpacing w:w="15" w:type="dxa"/>
        </w:trPr>
        <w:tc>
          <w:tcPr>
            <w:tcW w:w="0" w:type="auto"/>
            <w:vAlign w:val="center"/>
            <w:hideMark/>
          </w:tcPr>
          <w:p w14:paraId="660AB9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Criterio de salida</w:t>
            </w:r>
          </w:p>
        </w:tc>
        <w:tc>
          <w:tcPr>
            <w:tcW w:w="0" w:type="auto"/>
            <w:vAlign w:val="center"/>
            <w:hideMark/>
          </w:tcPr>
          <w:p w14:paraId="447E9D5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Paridad de saldos ≥ 99,99 % en la comparación en sombra; p95 de consulta por debajo de 500 ms; deriva diaria de reconciliación por debajo del umbral acordado</w:t>
            </w:r>
          </w:p>
        </w:tc>
      </w:tr>
      <w:tr w:rsidR="000444D1" w:rsidRPr="000444D1" w14:paraId="2BC43F9E" w14:textId="77777777">
        <w:trPr>
          <w:tblCellSpacing w:w="15" w:type="dxa"/>
        </w:trPr>
        <w:tc>
          <w:tcPr>
            <w:tcW w:w="0" w:type="auto"/>
            <w:vAlign w:val="center"/>
            <w:hideMark/>
          </w:tcPr>
          <w:p w14:paraId="2B6D92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Punto de retorno</w:t>
            </w:r>
          </w:p>
        </w:tc>
        <w:tc>
          <w:tcPr>
            <w:tcW w:w="0" w:type="auto"/>
            <w:vAlign w:val="center"/>
            <w:hideMark/>
          </w:tcPr>
          <w:p w14:paraId="2596F8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Conmutador de configuración que devuelve las consultas al core; sin migración de datos que revertir</w:t>
            </w:r>
          </w:p>
        </w:tc>
      </w:tr>
    </w:tbl>
    <w:p w14:paraId="22C94CB8"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2 — Pagos por la nueva orquestación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7842"/>
      </w:tblGrid>
      <w:tr w:rsidR="000444D1" w:rsidRPr="000444D1" w14:paraId="37EF86E7" w14:textId="77777777">
        <w:trPr>
          <w:tblHeader/>
          <w:tblCellSpacing w:w="15" w:type="dxa"/>
        </w:trPr>
        <w:tc>
          <w:tcPr>
            <w:tcW w:w="0" w:type="auto"/>
            <w:vAlign w:val="center"/>
            <w:hideMark/>
          </w:tcPr>
          <w:p w14:paraId="1F90EA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158C06DA"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17913B59" w14:textId="77777777">
        <w:trPr>
          <w:tblCellSpacing w:w="15" w:type="dxa"/>
        </w:trPr>
        <w:tc>
          <w:tcPr>
            <w:tcW w:w="0" w:type="auto"/>
            <w:vAlign w:val="center"/>
            <w:hideMark/>
          </w:tcPr>
          <w:p w14:paraId="7B171E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40EB22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 D5 Evaluación de fraude, adaptador de redes de pago</w:t>
            </w:r>
          </w:p>
        </w:tc>
      </w:tr>
      <w:tr w:rsidR="000444D1" w:rsidRPr="000444D1" w14:paraId="64A1B926" w14:textId="77777777">
        <w:trPr>
          <w:tblCellSpacing w:w="15" w:type="dxa"/>
        </w:trPr>
        <w:tc>
          <w:tcPr>
            <w:tcW w:w="0" w:type="auto"/>
            <w:vAlign w:val="center"/>
            <w:hideMark/>
          </w:tcPr>
          <w:p w14:paraId="399E93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Qué cambia</w:t>
            </w:r>
          </w:p>
        </w:tc>
        <w:tc>
          <w:tcPr>
            <w:tcW w:w="0" w:type="auto"/>
            <w:vAlign w:val="center"/>
            <w:hideMark/>
          </w:tcPr>
          <w:p w14:paraId="139560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Los pagos digitales se originan en D4 y se ejecutan contra el core mediante el puerto de ejecución. </w:t>
            </w:r>
            <w:r w:rsidRPr="000444D1">
              <w:rPr>
                <w:rFonts w:ascii="Times New Roman" w:eastAsia="Times New Roman" w:hAnsi="Times New Roman" w:cs="Times New Roman"/>
                <w:b/>
                <w:bCs/>
                <w:kern w:val="0"/>
                <w14:ligatures w14:val="none"/>
              </w:rPr>
              <w:t>El core sigue siendo el system of record de todo</w:t>
            </w:r>
          </w:p>
        </w:tc>
      </w:tr>
      <w:tr w:rsidR="000444D1" w:rsidRPr="000444D1" w14:paraId="48E3A40E" w14:textId="77777777">
        <w:trPr>
          <w:tblCellSpacing w:w="15" w:type="dxa"/>
        </w:trPr>
        <w:tc>
          <w:tcPr>
            <w:tcW w:w="0" w:type="auto"/>
            <w:vAlign w:val="center"/>
            <w:hideMark/>
          </w:tcPr>
          <w:p w14:paraId="2B48C8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Modo de despliegue</w:t>
            </w:r>
          </w:p>
        </w:tc>
        <w:tc>
          <w:tcPr>
            <w:tcW w:w="0" w:type="auto"/>
            <w:vAlign w:val="center"/>
            <w:hideMark/>
          </w:tcPr>
          <w:p w14:paraId="223E3E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Progresivo por porcentaje de tráfico, comenzando por transferencias internas de monto bajo</w:t>
            </w:r>
          </w:p>
        </w:tc>
      </w:tr>
      <w:tr w:rsidR="000444D1" w:rsidRPr="000444D1" w14:paraId="1BE0A808" w14:textId="77777777">
        <w:trPr>
          <w:tblCellSpacing w:w="15" w:type="dxa"/>
        </w:trPr>
        <w:tc>
          <w:tcPr>
            <w:tcW w:w="0" w:type="auto"/>
            <w:vAlign w:val="center"/>
            <w:hideMark/>
          </w:tcPr>
          <w:p w14:paraId="60197B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Criterio de salida</w:t>
            </w:r>
          </w:p>
        </w:tc>
        <w:tc>
          <w:tcPr>
            <w:tcW w:w="0" w:type="auto"/>
            <w:vAlign w:val="center"/>
            <w:hideMark/>
          </w:tcPr>
          <w:p w14:paraId="4CB376C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100 % de pagos digitales por D4 durante 30 días; tasa de órdenes en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por debajo del umbral definido; cero descuadres no explicados en la reconciliación diaria</w:t>
            </w:r>
          </w:p>
        </w:tc>
      </w:tr>
      <w:tr w:rsidR="000444D1" w:rsidRPr="000444D1" w14:paraId="63717F2B" w14:textId="77777777">
        <w:trPr>
          <w:tblCellSpacing w:w="15" w:type="dxa"/>
        </w:trPr>
        <w:tc>
          <w:tcPr>
            <w:tcW w:w="0" w:type="auto"/>
            <w:vAlign w:val="center"/>
            <w:hideMark/>
          </w:tcPr>
          <w:p w14:paraId="149AF8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 de retorno</w:t>
            </w:r>
          </w:p>
        </w:tc>
        <w:tc>
          <w:tcPr>
            <w:tcW w:w="0" w:type="auto"/>
            <w:vAlign w:val="center"/>
            <w:hideMark/>
          </w:tcPr>
          <w:p w14:paraId="183925F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Devolver el tráfico al camino anterior. Las órdenes en curso se resuelven por reconciliación antes de conmutar</w:t>
            </w:r>
          </w:p>
        </w:tc>
      </w:tr>
    </w:tbl>
    <w:p w14:paraId="14286EB0"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3 — Open Finance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7557"/>
      </w:tblGrid>
      <w:tr w:rsidR="000444D1" w:rsidRPr="000444D1" w14:paraId="6E6A8483" w14:textId="77777777">
        <w:trPr>
          <w:tblHeader/>
          <w:tblCellSpacing w:w="15" w:type="dxa"/>
        </w:trPr>
        <w:tc>
          <w:tcPr>
            <w:tcW w:w="0" w:type="auto"/>
            <w:vAlign w:val="center"/>
            <w:hideMark/>
          </w:tcPr>
          <w:p w14:paraId="6E2B16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05FDA333"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5A11F23B" w14:textId="77777777">
        <w:trPr>
          <w:tblCellSpacing w:w="15" w:type="dxa"/>
        </w:trPr>
        <w:tc>
          <w:tcPr>
            <w:tcW w:w="0" w:type="auto"/>
            <w:vAlign w:val="center"/>
            <w:hideMark/>
          </w:tcPr>
          <w:p w14:paraId="076A7D2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1B4FA8F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 Consentimientos, gateway externo, APIs externas</w:t>
            </w:r>
          </w:p>
        </w:tc>
      </w:tr>
      <w:tr w:rsidR="000444D1" w:rsidRPr="000444D1" w14:paraId="5097B9B8" w14:textId="77777777">
        <w:trPr>
          <w:tblCellSpacing w:w="15" w:type="dxa"/>
        </w:trPr>
        <w:tc>
          <w:tcPr>
            <w:tcW w:w="0" w:type="auto"/>
            <w:vAlign w:val="center"/>
            <w:hideMark/>
          </w:tcPr>
          <w:p w14:paraId="7D86AD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Dependencia</w:t>
            </w:r>
          </w:p>
        </w:tc>
        <w:tc>
          <w:tcPr>
            <w:tcW w:w="0" w:type="auto"/>
            <w:vAlign w:val="center"/>
            <w:hideMark/>
          </w:tcPr>
          <w:p w14:paraId="32C87E0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Solo requiere la Fase 1, no la 2</w:t>
            </w:r>
          </w:p>
        </w:tc>
      </w:tr>
      <w:tr w:rsidR="000444D1" w:rsidRPr="000444D1" w14:paraId="5FA5ED9B" w14:textId="77777777">
        <w:trPr>
          <w:tblCellSpacing w:w="15" w:type="dxa"/>
        </w:trPr>
        <w:tc>
          <w:tcPr>
            <w:tcW w:w="0" w:type="auto"/>
            <w:vAlign w:val="center"/>
            <w:hideMark/>
          </w:tcPr>
          <w:p w14:paraId="67BCA6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Criterio de salida</w:t>
            </w:r>
          </w:p>
        </w:tc>
        <w:tc>
          <w:tcPr>
            <w:tcW w:w="0" w:type="auto"/>
            <w:vAlign w:val="center"/>
            <w:hideMark/>
          </w:tcPr>
          <w:p w14:paraId="4B42E0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Certificación regulatoria obtenida; pruebas de interoperabilidad con terceros superadas</w:t>
            </w:r>
          </w:p>
        </w:tc>
      </w:tr>
      <w:tr w:rsidR="000444D1" w:rsidRPr="000444D1" w14:paraId="020A1950" w14:textId="77777777">
        <w:trPr>
          <w:tblCellSpacing w:w="15" w:type="dxa"/>
        </w:trPr>
        <w:tc>
          <w:tcPr>
            <w:tcW w:w="0" w:type="auto"/>
            <w:vAlign w:val="center"/>
            <w:hideMark/>
          </w:tcPr>
          <w:p w14:paraId="7B9938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 de retorno</w:t>
            </w:r>
          </w:p>
        </w:tc>
        <w:tc>
          <w:tcPr>
            <w:tcW w:w="0" w:type="auto"/>
            <w:vAlign w:val="center"/>
            <w:hideMark/>
          </w:tcPr>
          <w:p w14:paraId="4015091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Suspensión de la exposición externa; no afecta a la operativa propia</w:t>
            </w:r>
          </w:p>
        </w:tc>
      </w:tr>
    </w:tbl>
    <w:p w14:paraId="5879CBC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 fase es paralelizable. Su calendario lo marca la normativa, no el avance del resto del programa, y por eso se diseña sin dependencia del núcleo transaccional.</w:t>
      </w:r>
    </w:p>
    <w:p w14:paraId="538AA612"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4 — Primer producto en el core digital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7112"/>
      </w:tblGrid>
      <w:tr w:rsidR="000444D1" w:rsidRPr="000444D1" w14:paraId="250FEA6D" w14:textId="77777777">
        <w:trPr>
          <w:tblHeader/>
          <w:tblCellSpacing w:w="15" w:type="dxa"/>
        </w:trPr>
        <w:tc>
          <w:tcPr>
            <w:tcW w:w="0" w:type="auto"/>
            <w:vAlign w:val="center"/>
            <w:hideMark/>
          </w:tcPr>
          <w:p w14:paraId="0911F4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10D0606D"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379A44B2" w14:textId="77777777">
        <w:trPr>
          <w:tblCellSpacing w:w="15" w:type="dxa"/>
        </w:trPr>
        <w:tc>
          <w:tcPr>
            <w:tcW w:w="0" w:type="auto"/>
            <w:vAlign w:val="center"/>
            <w:hideMark/>
          </w:tcPr>
          <w:p w14:paraId="6EA10D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338605D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producto nuevo —cuenta digital— originado en el core digital</w:t>
            </w:r>
          </w:p>
        </w:tc>
      </w:tr>
      <w:tr w:rsidR="000444D1" w:rsidRPr="000444D1" w14:paraId="1D610E16" w14:textId="77777777">
        <w:trPr>
          <w:tblCellSpacing w:w="15" w:type="dxa"/>
        </w:trPr>
        <w:tc>
          <w:tcPr>
            <w:tcW w:w="0" w:type="auto"/>
            <w:vAlign w:val="center"/>
            <w:hideMark/>
          </w:tcPr>
          <w:p w14:paraId="344A40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Qué se demuestra</w:t>
            </w:r>
          </w:p>
        </w:tc>
        <w:tc>
          <w:tcPr>
            <w:tcW w:w="0" w:type="auto"/>
            <w:vAlign w:val="center"/>
            <w:hideMark/>
          </w:tcPr>
          <w:p w14:paraId="1FA1CD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camino completo funciona: enrutamiento por producto, adaptador digital, coexistencia real en la posición consolidada</w:t>
            </w:r>
          </w:p>
        </w:tc>
      </w:tr>
      <w:tr w:rsidR="000444D1" w:rsidRPr="000444D1" w14:paraId="46E08BAA" w14:textId="77777777">
        <w:trPr>
          <w:tblCellSpacing w:w="15" w:type="dxa"/>
        </w:trPr>
        <w:tc>
          <w:tcPr>
            <w:tcW w:w="0" w:type="auto"/>
            <w:vAlign w:val="center"/>
            <w:hideMark/>
          </w:tcPr>
          <w:p w14:paraId="2F6628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Riesgo sobre saldos existentes</w:t>
            </w:r>
          </w:p>
        </w:tc>
        <w:tc>
          <w:tcPr>
            <w:tcW w:w="0" w:type="auto"/>
            <w:vAlign w:val="center"/>
            <w:hideMark/>
          </w:tcPr>
          <w:p w14:paraId="7D3DCC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Ninguno</w:t>
            </w:r>
            <w:r w:rsidRPr="000444D1">
              <w:rPr>
                <w:rFonts w:ascii="Times New Roman" w:eastAsia="Times New Roman" w:hAnsi="Times New Roman" w:cs="Times New Roman"/>
                <w:kern w:val="0"/>
                <w14:ligatures w14:val="none"/>
              </w:rPr>
              <w:t>: no se migra nada, se crea</w:t>
            </w:r>
          </w:p>
        </w:tc>
      </w:tr>
      <w:tr w:rsidR="000444D1" w:rsidRPr="000444D1" w14:paraId="3C5452AA" w14:textId="77777777">
        <w:trPr>
          <w:tblCellSpacing w:w="15" w:type="dxa"/>
        </w:trPr>
        <w:tc>
          <w:tcPr>
            <w:tcW w:w="0" w:type="auto"/>
            <w:vAlign w:val="center"/>
            <w:hideMark/>
          </w:tcPr>
          <w:p w14:paraId="2F5ADB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Criterio de salida</w:t>
            </w:r>
          </w:p>
        </w:tc>
        <w:tc>
          <w:tcPr>
            <w:tcW w:w="0" w:type="auto"/>
            <w:vAlign w:val="center"/>
            <w:hideMark/>
          </w:tcPr>
          <w:p w14:paraId="4BACB9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Operación estable durante 90 días; posición consolidada correcta para clientes con productos en ambos cores</w:t>
            </w:r>
          </w:p>
        </w:tc>
      </w:tr>
      <w:tr w:rsidR="000444D1" w:rsidRPr="000444D1" w14:paraId="64D32B3C" w14:textId="77777777">
        <w:trPr>
          <w:tblCellSpacing w:w="15" w:type="dxa"/>
        </w:trPr>
        <w:tc>
          <w:tcPr>
            <w:tcW w:w="0" w:type="auto"/>
            <w:vAlign w:val="center"/>
            <w:hideMark/>
          </w:tcPr>
          <w:p w14:paraId="09F4195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 de retorno</w:t>
            </w:r>
          </w:p>
        </w:tc>
        <w:tc>
          <w:tcPr>
            <w:tcW w:w="0" w:type="auto"/>
            <w:vAlign w:val="center"/>
            <w:hideMark/>
          </w:tcPr>
          <w:p w14:paraId="747C6F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Suspender la originación del producto nuevo</w:t>
            </w:r>
          </w:p>
        </w:tc>
      </w:tr>
    </w:tbl>
    <w:p w14:paraId="142E7C0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Esta es la fase que valida la estrategia multicore sin arriesgar un solo saldo preexistente.</w:t>
      </w:r>
      <w:r w:rsidRPr="000444D1">
        <w:rPr>
          <w:rFonts w:ascii="Times New Roman" w:eastAsia="Times New Roman" w:hAnsi="Times New Roman" w:cs="Times New Roman"/>
          <w:kern w:val="0"/>
          <w14:ligatures w14:val="none"/>
        </w:rPr>
        <w:t xml:space="preserve"> Cuando termina, el banco ha demostrado en producción que dos cores pueden coexistir, que el </w:t>
      </w:r>
      <w:r w:rsidRPr="000444D1">
        <w:rPr>
          <w:rFonts w:ascii="Times New Roman" w:eastAsia="Times New Roman" w:hAnsi="Times New Roman" w:cs="Times New Roman"/>
          <w:kern w:val="0"/>
          <w14:ligatures w14:val="none"/>
        </w:rPr>
        <w:lastRenderedPageBreak/>
        <w:t>enrutamiento por producto funciona y que la posición consolidada es correcta. Todo ello antes de mover un centavo de una cuenta existente.</w:t>
      </w:r>
    </w:p>
    <w:p w14:paraId="56591393"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5 — Extinción natural del catálogo con vencimiento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7370"/>
      </w:tblGrid>
      <w:tr w:rsidR="000444D1" w:rsidRPr="000444D1" w14:paraId="171B5158" w14:textId="77777777">
        <w:trPr>
          <w:tblHeader/>
          <w:tblCellSpacing w:w="15" w:type="dxa"/>
        </w:trPr>
        <w:tc>
          <w:tcPr>
            <w:tcW w:w="0" w:type="auto"/>
            <w:vAlign w:val="center"/>
            <w:hideMark/>
          </w:tcPr>
          <w:p w14:paraId="3250D1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61947362"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6144D83D" w14:textId="77777777">
        <w:trPr>
          <w:tblCellSpacing w:w="15" w:type="dxa"/>
        </w:trPr>
        <w:tc>
          <w:tcPr>
            <w:tcW w:w="0" w:type="auto"/>
            <w:vAlign w:val="center"/>
            <w:hideMark/>
          </w:tcPr>
          <w:p w14:paraId="0E0C4F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094619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Depósitos a plazo, créditos y préstamos dejan de originarse en el core tradicional</w:t>
            </w:r>
          </w:p>
        </w:tc>
      </w:tr>
      <w:tr w:rsidR="000444D1" w:rsidRPr="000444D1" w14:paraId="3A87B523" w14:textId="77777777">
        <w:trPr>
          <w:tblCellSpacing w:w="15" w:type="dxa"/>
        </w:trPr>
        <w:tc>
          <w:tcPr>
            <w:tcW w:w="0" w:type="auto"/>
            <w:vAlign w:val="center"/>
            <w:hideMark/>
          </w:tcPr>
          <w:p w14:paraId="29288A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Mecánica</w:t>
            </w:r>
          </w:p>
        </w:tc>
        <w:tc>
          <w:tcPr>
            <w:tcW w:w="0" w:type="auto"/>
            <w:vAlign w:val="center"/>
            <w:hideMark/>
          </w:tcPr>
          <w:p w14:paraId="13518C8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nuevos nacen en el digital; los vigentes vencen en el tradicional</w:t>
            </w:r>
          </w:p>
        </w:tc>
      </w:tr>
      <w:tr w:rsidR="000444D1" w:rsidRPr="000444D1" w14:paraId="4F20498F" w14:textId="77777777">
        <w:trPr>
          <w:tblCellSpacing w:w="15" w:type="dxa"/>
        </w:trPr>
        <w:tc>
          <w:tcPr>
            <w:tcW w:w="0" w:type="auto"/>
            <w:vAlign w:val="center"/>
            <w:hideMark/>
          </w:tcPr>
          <w:p w14:paraId="033CC0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Duración</w:t>
            </w:r>
          </w:p>
        </w:tc>
        <w:tc>
          <w:tcPr>
            <w:tcW w:w="0" w:type="auto"/>
            <w:vAlign w:val="center"/>
            <w:hideMark/>
          </w:tcPr>
          <w:p w14:paraId="4CBB79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Determinada por el plazo del producto, no por el programa</w:t>
            </w:r>
          </w:p>
        </w:tc>
      </w:tr>
      <w:tr w:rsidR="000444D1" w:rsidRPr="000444D1" w14:paraId="1B321FDF" w14:textId="77777777">
        <w:trPr>
          <w:tblCellSpacing w:w="15" w:type="dxa"/>
        </w:trPr>
        <w:tc>
          <w:tcPr>
            <w:tcW w:w="0" w:type="auto"/>
            <w:vAlign w:val="center"/>
            <w:hideMark/>
          </w:tcPr>
          <w:p w14:paraId="24B2CF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Riesgo sobre saldos</w:t>
            </w:r>
          </w:p>
        </w:tc>
        <w:tc>
          <w:tcPr>
            <w:tcW w:w="0" w:type="auto"/>
            <w:vAlign w:val="center"/>
            <w:hideMark/>
          </w:tcPr>
          <w:p w14:paraId="7AC60EC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Ninguno</w:t>
            </w:r>
          </w:p>
        </w:tc>
      </w:tr>
      <w:tr w:rsidR="000444D1" w:rsidRPr="000444D1" w14:paraId="75C283EC" w14:textId="77777777">
        <w:trPr>
          <w:tblCellSpacing w:w="15" w:type="dxa"/>
        </w:trPr>
        <w:tc>
          <w:tcPr>
            <w:tcW w:w="0" w:type="auto"/>
            <w:vAlign w:val="center"/>
            <w:hideMark/>
          </w:tcPr>
          <w:p w14:paraId="6CFD62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 de retorno</w:t>
            </w:r>
          </w:p>
        </w:tc>
        <w:tc>
          <w:tcPr>
            <w:tcW w:w="0" w:type="auto"/>
            <w:vAlign w:val="center"/>
            <w:hideMark/>
          </w:tcPr>
          <w:p w14:paraId="4FAE88C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Reactivar la originación en el core tradicional</w:t>
            </w:r>
          </w:p>
        </w:tc>
      </w:tr>
    </w:tbl>
    <w:p w14:paraId="424BED12"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6 — Migración por cohorte de cuentas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7592"/>
      </w:tblGrid>
      <w:tr w:rsidR="000444D1" w:rsidRPr="000444D1" w14:paraId="40879EFF" w14:textId="77777777">
        <w:trPr>
          <w:tblHeader/>
          <w:tblCellSpacing w:w="15" w:type="dxa"/>
        </w:trPr>
        <w:tc>
          <w:tcPr>
            <w:tcW w:w="0" w:type="auto"/>
            <w:vAlign w:val="center"/>
            <w:hideMark/>
          </w:tcPr>
          <w:p w14:paraId="75D29A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2B7B9ECB" w14:textId="77777777" w:rsidR="000444D1" w:rsidRPr="000444D1" w:rsidRDefault="000444D1" w:rsidP="000444D1">
            <w:pPr>
              <w:spacing w:after="0" w:line="240" w:lineRule="auto"/>
              <w:jc w:val="center"/>
              <w:rPr>
                <w:rFonts w:ascii="Times New Roman" w:eastAsia="Times New Roman" w:hAnsi="Times New Roman" w:cs="Times New Roman"/>
                <w:kern w:val="0"/>
                <w:sz w:val="20"/>
                <w:szCs w:val="20"/>
                <w14:ligatures w14:val="none"/>
              </w:rPr>
            </w:pPr>
          </w:p>
        </w:tc>
      </w:tr>
      <w:tr w:rsidR="000444D1" w:rsidRPr="000444D1" w14:paraId="616E2377" w14:textId="77777777">
        <w:trPr>
          <w:tblCellSpacing w:w="15" w:type="dxa"/>
        </w:trPr>
        <w:tc>
          <w:tcPr>
            <w:tcW w:w="0" w:type="auto"/>
            <w:vAlign w:val="center"/>
            <w:hideMark/>
          </w:tcPr>
          <w:p w14:paraId="2DEB80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3EBC86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Cuentas de ahorro primero, cuentas corrientes al final</w:t>
            </w:r>
          </w:p>
        </w:tc>
      </w:tr>
      <w:tr w:rsidR="000444D1" w:rsidRPr="000444D1" w14:paraId="1BCC8FF3" w14:textId="77777777">
        <w:trPr>
          <w:tblCellSpacing w:w="15" w:type="dxa"/>
        </w:trPr>
        <w:tc>
          <w:tcPr>
            <w:tcW w:w="0" w:type="auto"/>
            <w:vAlign w:val="center"/>
            <w:hideMark/>
          </w:tcPr>
          <w:p w14:paraId="595368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Mecánica</w:t>
            </w:r>
          </w:p>
        </w:tc>
        <w:tc>
          <w:tcPr>
            <w:tcW w:w="0" w:type="auto"/>
            <w:vAlign w:val="center"/>
            <w:hideMark/>
          </w:tcPr>
          <w:p w14:paraId="6FD00E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Procedimiento de 17.5, por grupos de clientes</w:t>
            </w:r>
          </w:p>
        </w:tc>
      </w:tr>
      <w:tr w:rsidR="000444D1" w:rsidRPr="000444D1" w14:paraId="1A3866F1" w14:textId="77777777">
        <w:trPr>
          <w:tblCellSpacing w:w="15" w:type="dxa"/>
        </w:trPr>
        <w:tc>
          <w:tcPr>
            <w:tcW w:w="0" w:type="auto"/>
            <w:vAlign w:val="center"/>
            <w:hideMark/>
          </w:tcPr>
          <w:p w14:paraId="11BB0F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Riesgo</w:t>
            </w:r>
          </w:p>
        </w:tc>
        <w:tc>
          <w:tcPr>
            <w:tcW w:w="0" w:type="auto"/>
            <w:vAlign w:val="center"/>
            <w:hideMark/>
          </w:tcPr>
          <w:p w14:paraId="50564F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más alto del programa; se aborda con la mayor experiencia operativa acumulada</w:t>
            </w:r>
          </w:p>
        </w:tc>
      </w:tr>
      <w:tr w:rsidR="000444D1" w:rsidRPr="000444D1" w14:paraId="166E8AFF" w14:textId="77777777">
        <w:trPr>
          <w:tblCellSpacing w:w="15" w:type="dxa"/>
        </w:trPr>
        <w:tc>
          <w:tcPr>
            <w:tcW w:w="0" w:type="auto"/>
            <w:vAlign w:val="center"/>
            <w:hideMark/>
          </w:tcPr>
          <w:p w14:paraId="00D1F48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Punto de retorno</w:t>
            </w:r>
          </w:p>
        </w:tc>
        <w:tc>
          <w:tcPr>
            <w:tcW w:w="0" w:type="auto"/>
            <w:vAlign w:val="center"/>
            <w:hideMark/>
          </w:tcPr>
          <w:p w14:paraId="119EDC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Reversión de la cohorte al core tradicional dentro de la ventana definida</w:t>
            </w:r>
          </w:p>
        </w:tc>
      </w:tr>
    </w:tbl>
    <w:p w14:paraId="29D7046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Orden dentro de la fase.</w:t>
      </w:r>
      <w:r w:rsidRPr="000444D1">
        <w:rPr>
          <w:rFonts w:ascii="Times New Roman" w:eastAsia="Times New Roman" w:hAnsi="Times New Roman" w:cs="Times New Roman"/>
          <w:kern w:val="0"/>
          <w14:ligatures w14:val="none"/>
        </w:rPr>
        <w:t xml:space="preserve"> Las cuentas corrientes se dejan para el final porque concentran la mayor densidad de integraciones —acreditación de nómina, débitos automáticos, tarjetas asociadas, órdenes permanentes— y cada una de ellas es una superficie de fallo adicional. Las cuentas de ahorro, con menor volumen de movimientos y menos vínculos, permiten depurar el procedimiento antes de aplicarlo donde más duele.</w:t>
      </w:r>
    </w:p>
    <w:p w14:paraId="38D1E377" w14:textId="77777777" w:rsidR="000444D1" w:rsidRPr="000444D1" w:rsidRDefault="000444D1" w:rsidP="000444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Fase 7 — Decisión sobre el core tradicional</w:t>
      </w:r>
    </w:p>
    <w:p w14:paraId="671012D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 término de la Fase 6, el core tradicional conserva únicamente productos en extinción y datos históricos. La decisión de retirarlo, mantenerlo como repositorio histórico de solo lectura o prolongar su vida es económica y no técnica, y se toma con la información que el programa habrá generado. El diseño no la prejuzga.</w:t>
      </w:r>
    </w:p>
    <w:p w14:paraId="6EB0036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17.4 Criterios de selección y orden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1367"/>
        <w:gridCol w:w="5267"/>
      </w:tblGrid>
      <w:tr w:rsidR="000444D1" w:rsidRPr="000444D1" w14:paraId="7CA4179C" w14:textId="77777777">
        <w:trPr>
          <w:tblHeader/>
          <w:tblCellSpacing w:w="15" w:type="dxa"/>
        </w:trPr>
        <w:tc>
          <w:tcPr>
            <w:tcW w:w="0" w:type="auto"/>
            <w:vAlign w:val="center"/>
            <w:hideMark/>
          </w:tcPr>
          <w:p w14:paraId="718011F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Criterio</w:t>
            </w:r>
          </w:p>
        </w:tc>
        <w:tc>
          <w:tcPr>
            <w:tcW w:w="0" w:type="auto"/>
            <w:vAlign w:val="center"/>
            <w:hideMark/>
          </w:tcPr>
          <w:p w14:paraId="593EE2F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Peso</w:t>
            </w:r>
          </w:p>
        </w:tc>
        <w:tc>
          <w:tcPr>
            <w:tcW w:w="0" w:type="auto"/>
            <w:vAlign w:val="center"/>
            <w:hideMark/>
          </w:tcPr>
          <w:p w14:paraId="5C95DF4B"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Razón</w:t>
            </w:r>
          </w:p>
        </w:tc>
      </w:tr>
      <w:tr w:rsidR="000444D1" w:rsidRPr="000444D1" w14:paraId="5A171B5F" w14:textId="77777777">
        <w:trPr>
          <w:tblCellSpacing w:w="15" w:type="dxa"/>
        </w:trPr>
        <w:tc>
          <w:tcPr>
            <w:tcW w:w="0" w:type="auto"/>
            <w:vAlign w:val="center"/>
            <w:hideMark/>
          </w:tcPr>
          <w:p w14:paraId="3E2AB3E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¿Requiere migrar saldos?</w:t>
            </w:r>
          </w:p>
        </w:tc>
        <w:tc>
          <w:tcPr>
            <w:tcW w:w="0" w:type="auto"/>
            <w:vAlign w:val="center"/>
            <w:hideMark/>
          </w:tcPr>
          <w:p w14:paraId="07459FD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Determinante</w:t>
            </w:r>
          </w:p>
        </w:tc>
        <w:tc>
          <w:tcPr>
            <w:tcW w:w="0" w:type="auto"/>
            <w:vAlign w:val="center"/>
            <w:hideMark/>
          </w:tcPr>
          <w:p w14:paraId="1511773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que no lo requieren van primero, sin excepción</w:t>
            </w:r>
          </w:p>
        </w:tc>
      </w:tr>
      <w:tr w:rsidR="000444D1" w:rsidRPr="000444D1" w14:paraId="5A02DD16" w14:textId="77777777">
        <w:trPr>
          <w:tblCellSpacing w:w="15" w:type="dxa"/>
        </w:trPr>
        <w:tc>
          <w:tcPr>
            <w:tcW w:w="0" w:type="auto"/>
            <w:vAlign w:val="center"/>
            <w:hideMark/>
          </w:tcPr>
          <w:p w14:paraId="4381F3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Volumen transaccional</w:t>
            </w:r>
          </w:p>
        </w:tc>
        <w:tc>
          <w:tcPr>
            <w:tcW w:w="0" w:type="auto"/>
            <w:vAlign w:val="center"/>
            <w:hideMark/>
          </w:tcPr>
          <w:p w14:paraId="6B6D86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w:t>
            </w:r>
          </w:p>
        </w:tc>
        <w:tc>
          <w:tcPr>
            <w:tcW w:w="0" w:type="auto"/>
            <w:vAlign w:val="center"/>
            <w:hideMark/>
          </w:tcPr>
          <w:p w14:paraId="63D413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Menor volumen, menor impacto de un fallo</w:t>
            </w:r>
          </w:p>
        </w:tc>
      </w:tr>
      <w:tr w:rsidR="000444D1" w:rsidRPr="000444D1" w14:paraId="1110C81B" w14:textId="77777777">
        <w:trPr>
          <w:tblCellSpacing w:w="15" w:type="dxa"/>
        </w:trPr>
        <w:tc>
          <w:tcPr>
            <w:tcW w:w="0" w:type="auto"/>
            <w:vAlign w:val="center"/>
            <w:hideMark/>
          </w:tcPr>
          <w:p w14:paraId="3AE872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Densidad de integraciones</w:t>
            </w:r>
          </w:p>
        </w:tc>
        <w:tc>
          <w:tcPr>
            <w:tcW w:w="0" w:type="auto"/>
            <w:vAlign w:val="center"/>
            <w:hideMark/>
          </w:tcPr>
          <w:p w14:paraId="02834C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Alto</w:t>
            </w:r>
          </w:p>
        </w:tc>
        <w:tc>
          <w:tcPr>
            <w:tcW w:w="0" w:type="auto"/>
            <w:vAlign w:val="center"/>
            <w:hideMark/>
          </w:tcPr>
          <w:p w14:paraId="0218EB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Cada integración asociada es una superficie de fallo</w:t>
            </w:r>
          </w:p>
        </w:tc>
      </w:tr>
      <w:tr w:rsidR="000444D1" w:rsidRPr="000444D1" w14:paraId="78078AD7" w14:textId="77777777">
        <w:trPr>
          <w:tblCellSpacing w:w="15" w:type="dxa"/>
        </w:trPr>
        <w:tc>
          <w:tcPr>
            <w:tcW w:w="0" w:type="auto"/>
            <w:vAlign w:val="center"/>
            <w:hideMark/>
          </w:tcPr>
          <w:p w14:paraId="4BD97C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Complejidad contable</w:t>
            </w:r>
          </w:p>
        </w:tc>
        <w:tc>
          <w:tcPr>
            <w:tcW w:w="0" w:type="auto"/>
            <w:vAlign w:val="center"/>
            <w:hideMark/>
          </w:tcPr>
          <w:p w14:paraId="71869A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Medio</w:t>
            </w:r>
          </w:p>
        </w:tc>
        <w:tc>
          <w:tcPr>
            <w:tcW w:w="0" w:type="auto"/>
            <w:vAlign w:val="center"/>
            <w:hideMark/>
          </w:tcPr>
          <w:p w14:paraId="53EAF6B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Productos con devengo, intereses o comisiones complejas exigen más validación</w:t>
            </w:r>
          </w:p>
        </w:tc>
      </w:tr>
      <w:tr w:rsidR="000444D1" w:rsidRPr="000444D1" w14:paraId="47506A2F" w14:textId="77777777">
        <w:trPr>
          <w:tblCellSpacing w:w="15" w:type="dxa"/>
        </w:trPr>
        <w:tc>
          <w:tcPr>
            <w:tcW w:w="0" w:type="auto"/>
            <w:vAlign w:val="center"/>
            <w:hideMark/>
          </w:tcPr>
          <w:p w14:paraId="54665B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Proporción de clientes digitales</w:t>
            </w:r>
          </w:p>
        </w:tc>
        <w:tc>
          <w:tcPr>
            <w:tcW w:w="0" w:type="auto"/>
            <w:vAlign w:val="center"/>
            <w:hideMark/>
          </w:tcPr>
          <w:p w14:paraId="75CE78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Medio</w:t>
            </w:r>
          </w:p>
        </w:tc>
        <w:tc>
          <w:tcPr>
            <w:tcW w:w="0" w:type="auto"/>
            <w:vAlign w:val="center"/>
            <w:hideMark/>
          </w:tcPr>
          <w:p w14:paraId="0CEEFC4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Mayor proporción digital facilita la comunicación y el soporte</w:t>
            </w:r>
          </w:p>
        </w:tc>
      </w:tr>
      <w:tr w:rsidR="000444D1" w:rsidRPr="000444D1" w14:paraId="10A1F89B" w14:textId="77777777">
        <w:trPr>
          <w:tblCellSpacing w:w="15" w:type="dxa"/>
        </w:trPr>
        <w:tc>
          <w:tcPr>
            <w:tcW w:w="0" w:type="auto"/>
            <w:vAlign w:val="center"/>
            <w:hideMark/>
          </w:tcPr>
          <w:p w14:paraId="730670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Valor de negocio del producto nuevo</w:t>
            </w:r>
          </w:p>
        </w:tc>
        <w:tc>
          <w:tcPr>
            <w:tcW w:w="0" w:type="auto"/>
            <w:vAlign w:val="center"/>
            <w:hideMark/>
          </w:tcPr>
          <w:p w14:paraId="591F7FB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Bajo</w:t>
            </w:r>
          </w:p>
        </w:tc>
        <w:tc>
          <w:tcPr>
            <w:tcW w:w="0" w:type="auto"/>
            <w:vAlign w:val="center"/>
            <w:hideMark/>
          </w:tcPr>
          <w:p w14:paraId="28744C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Relevante para priorizar, nunca para adelantar una migración riesgosa</w:t>
            </w:r>
          </w:p>
        </w:tc>
      </w:tr>
    </w:tbl>
    <w:p w14:paraId="30CB18F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17.5 Procedimiento de migración de una cohorte</w:t>
      </w:r>
    </w:p>
    <w:p w14:paraId="7A89A095"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Aplica exclusivamente a la Fase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063"/>
        <w:gridCol w:w="3102"/>
      </w:tblGrid>
      <w:tr w:rsidR="000444D1" w:rsidRPr="000444D1" w14:paraId="6DB73E06" w14:textId="77777777">
        <w:trPr>
          <w:tblHeader/>
          <w:tblCellSpacing w:w="15" w:type="dxa"/>
        </w:trPr>
        <w:tc>
          <w:tcPr>
            <w:tcW w:w="0" w:type="auto"/>
            <w:vAlign w:val="center"/>
            <w:hideMark/>
          </w:tcPr>
          <w:p w14:paraId="0CE260B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w:t>
            </w:r>
          </w:p>
        </w:tc>
        <w:tc>
          <w:tcPr>
            <w:tcW w:w="0" w:type="auto"/>
            <w:vAlign w:val="center"/>
            <w:hideMark/>
          </w:tcPr>
          <w:p w14:paraId="63A4948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Paso</w:t>
            </w:r>
          </w:p>
        </w:tc>
        <w:tc>
          <w:tcPr>
            <w:tcW w:w="0" w:type="auto"/>
            <w:vAlign w:val="center"/>
            <w:hideMark/>
          </w:tcPr>
          <w:p w14:paraId="3BE2252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Reversible</w:t>
            </w:r>
          </w:p>
        </w:tc>
      </w:tr>
      <w:tr w:rsidR="000444D1" w:rsidRPr="000444D1" w14:paraId="3AF3B9AE" w14:textId="77777777">
        <w:trPr>
          <w:tblCellSpacing w:w="15" w:type="dxa"/>
        </w:trPr>
        <w:tc>
          <w:tcPr>
            <w:tcW w:w="0" w:type="auto"/>
            <w:vAlign w:val="center"/>
            <w:hideMark/>
          </w:tcPr>
          <w:p w14:paraId="29D360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w:t>
            </w:r>
          </w:p>
        </w:tc>
        <w:tc>
          <w:tcPr>
            <w:tcW w:w="0" w:type="auto"/>
            <w:vAlign w:val="center"/>
            <w:hideMark/>
          </w:tcPr>
          <w:p w14:paraId="2D2E71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Selección de la cohorte, con criterios de exclusión: cuentas con operaciones en curso, litigios o embargos</w:t>
            </w:r>
          </w:p>
        </w:tc>
        <w:tc>
          <w:tcPr>
            <w:tcW w:w="0" w:type="auto"/>
            <w:vAlign w:val="center"/>
            <w:hideMark/>
          </w:tcPr>
          <w:p w14:paraId="69C80E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w:t>
            </w:r>
          </w:p>
        </w:tc>
      </w:tr>
      <w:tr w:rsidR="000444D1" w:rsidRPr="000444D1" w14:paraId="611D4284" w14:textId="77777777">
        <w:trPr>
          <w:tblCellSpacing w:w="15" w:type="dxa"/>
        </w:trPr>
        <w:tc>
          <w:tcPr>
            <w:tcW w:w="0" w:type="auto"/>
            <w:vAlign w:val="center"/>
            <w:hideMark/>
          </w:tcPr>
          <w:p w14:paraId="332723C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w:t>
            </w:r>
          </w:p>
        </w:tc>
        <w:tc>
          <w:tcPr>
            <w:tcW w:w="0" w:type="auto"/>
            <w:vAlign w:val="center"/>
            <w:hideMark/>
          </w:tcPr>
          <w:p w14:paraId="7F943B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Ejecución en sombra: durante 30 días el core digital replica los movimientos de la cohorte sin ser autoritativo, y se comparan saldos diariamente</w:t>
            </w:r>
          </w:p>
        </w:tc>
        <w:tc>
          <w:tcPr>
            <w:tcW w:w="0" w:type="auto"/>
            <w:vAlign w:val="center"/>
            <w:hideMark/>
          </w:tcPr>
          <w:p w14:paraId="74B865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7CDCD4E7" w14:textId="77777777">
        <w:trPr>
          <w:tblCellSpacing w:w="15" w:type="dxa"/>
        </w:trPr>
        <w:tc>
          <w:tcPr>
            <w:tcW w:w="0" w:type="auto"/>
            <w:vAlign w:val="center"/>
            <w:hideMark/>
          </w:tcPr>
          <w:p w14:paraId="3A8DAF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c>
          <w:tcPr>
            <w:tcW w:w="0" w:type="auto"/>
            <w:vAlign w:val="center"/>
            <w:hideMark/>
          </w:tcPr>
          <w:p w14:paraId="68A0E9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Comunicación al cliente con antelación, indicando la ventana y su duración</w:t>
            </w:r>
          </w:p>
        </w:tc>
        <w:tc>
          <w:tcPr>
            <w:tcW w:w="0" w:type="auto"/>
            <w:vAlign w:val="center"/>
            <w:hideMark/>
          </w:tcPr>
          <w:p w14:paraId="003498F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1E13A292" w14:textId="77777777">
        <w:trPr>
          <w:tblCellSpacing w:w="15" w:type="dxa"/>
        </w:trPr>
        <w:tc>
          <w:tcPr>
            <w:tcW w:w="0" w:type="auto"/>
            <w:vAlign w:val="center"/>
            <w:hideMark/>
          </w:tcPr>
          <w:p w14:paraId="3EE0A35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w:t>
            </w:r>
          </w:p>
        </w:tc>
        <w:tc>
          <w:tcPr>
            <w:tcW w:w="0" w:type="auto"/>
            <w:vAlign w:val="center"/>
            <w:hideMark/>
          </w:tcPr>
          <w:p w14:paraId="4AE65D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Ventana operativa: suspensión de operaciones de la cohorte, fuera del horario de mayor actividad</w:t>
            </w:r>
          </w:p>
        </w:tc>
        <w:tc>
          <w:tcPr>
            <w:tcW w:w="0" w:type="auto"/>
            <w:vAlign w:val="center"/>
            <w:hideMark/>
          </w:tcPr>
          <w:p w14:paraId="02915F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1ECC33A8" w14:textId="77777777">
        <w:trPr>
          <w:tblCellSpacing w:w="15" w:type="dxa"/>
        </w:trPr>
        <w:tc>
          <w:tcPr>
            <w:tcW w:w="0" w:type="auto"/>
            <w:vAlign w:val="center"/>
            <w:hideMark/>
          </w:tcPr>
          <w:p w14:paraId="72506F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w:t>
            </w:r>
          </w:p>
        </w:tc>
        <w:tc>
          <w:tcPr>
            <w:tcW w:w="0" w:type="auto"/>
            <w:vAlign w:val="center"/>
            <w:hideMark/>
          </w:tcPr>
          <w:p w14:paraId="12D7C4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Traslado de contratos y saldos; cuadre contable; verificación automatizada cuenta por cuenta</w:t>
            </w:r>
          </w:p>
        </w:tc>
        <w:tc>
          <w:tcPr>
            <w:tcW w:w="0" w:type="auto"/>
            <w:vAlign w:val="center"/>
            <w:hideMark/>
          </w:tcPr>
          <w:p w14:paraId="7AA173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 dentro de la ventana</w:t>
            </w:r>
          </w:p>
        </w:tc>
      </w:tr>
      <w:tr w:rsidR="000444D1" w:rsidRPr="000444D1" w14:paraId="72718B7F" w14:textId="77777777">
        <w:trPr>
          <w:tblCellSpacing w:w="15" w:type="dxa"/>
        </w:trPr>
        <w:tc>
          <w:tcPr>
            <w:tcW w:w="0" w:type="auto"/>
            <w:vAlign w:val="center"/>
            <w:hideMark/>
          </w:tcPr>
          <w:p w14:paraId="1AE671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w:t>
            </w:r>
          </w:p>
        </w:tc>
        <w:tc>
          <w:tcPr>
            <w:tcW w:w="0" w:type="auto"/>
            <w:vAlign w:val="center"/>
            <w:hideMark/>
          </w:tcPr>
          <w:p w14:paraId="159367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Actualización del catálogo de productos (D2): la cuenta pasa a resolver al core digital</w:t>
            </w:r>
          </w:p>
        </w:tc>
        <w:tc>
          <w:tcPr>
            <w:tcW w:w="0" w:type="auto"/>
            <w:vAlign w:val="center"/>
            <w:hideMark/>
          </w:tcPr>
          <w:p w14:paraId="52E691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Sí</w:t>
            </w:r>
          </w:p>
        </w:tc>
      </w:tr>
      <w:tr w:rsidR="000444D1" w:rsidRPr="000444D1" w14:paraId="480402F7" w14:textId="77777777">
        <w:trPr>
          <w:tblCellSpacing w:w="15" w:type="dxa"/>
        </w:trPr>
        <w:tc>
          <w:tcPr>
            <w:tcW w:w="0" w:type="auto"/>
            <w:vAlign w:val="center"/>
            <w:hideMark/>
          </w:tcPr>
          <w:p w14:paraId="09017B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w:t>
            </w:r>
          </w:p>
        </w:tc>
        <w:tc>
          <w:tcPr>
            <w:tcW w:w="0" w:type="auto"/>
            <w:vAlign w:val="center"/>
            <w:hideMark/>
          </w:tcPr>
          <w:p w14:paraId="18F73A4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Reapertura y observación reforzada durante 72 horas</w:t>
            </w:r>
          </w:p>
        </w:tc>
        <w:tc>
          <w:tcPr>
            <w:tcW w:w="0" w:type="auto"/>
            <w:vAlign w:val="center"/>
            <w:hideMark/>
          </w:tcPr>
          <w:p w14:paraId="5F8337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Reversión posible durante este periodo</w:t>
            </w:r>
          </w:p>
        </w:tc>
      </w:tr>
      <w:tr w:rsidR="000444D1" w:rsidRPr="000444D1" w14:paraId="7DFADA89" w14:textId="77777777">
        <w:trPr>
          <w:tblCellSpacing w:w="15" w:type="dxa"/>
        </w:trPr>
        <w:tc>
          <w:tcPr>
            <w:tcW w:w="0" w:type="auto"/>
            <w:vAlign w:val="center"/>
            <w:hideMark/>
          </w:tcPr>
          <w:p w14:paraId="5CF28F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8</w:t>
            </w:r>
          </w:p>
        </w:tc>
        <w:tc>
          <w:tcPr>
            <w:tcW w:w="0" w:type="auto"/>
            <w:vAlign w:val="center"/>
            <w:hideMark/>
          </w:tcPr>
          <w:p w14:paraId="6068BC5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Confirmación y cierre de la cohorte</w:t>
            </w:r>
          </w:p>
        </w:tc>
        <w:tc>
          <w:tcPr>
            <w:tcW w:w="0" w:type="auto"/>
            <w:vAlign w:val="center"/>
            <w:hideMark/>
          </w:tcPr>
          <w:p w14:paraId="2D0D9A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Desde aquí la reversión es un proyecto, no un procedimiento</w:t>
            </w:r>
          </w:p>
        </w:tc>
      </w:tr>
    </w:tbl>
    <w:p w14:paraId="1B9EBA33"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paso 6 es el conmutador real.</w:t>
      </w:r>
      <w:r w:rsidRPr="000444D1">
        <w:rPr>
          <w:rFonts w:ascii="Times New Roman" w:eastAsia="Times New Roman" w:hAnsi="Times New Roman" w:cs="Times New Roman"/>
          <w:kern w:val="0"/>
          <w14:ligatures w14:val="none"/>
        </w:rPr>
        <w:t xml:space="preserve"> Toda la estrategia multicore converge en una actualización del catálogo de productos: es lo que hace que el enrutador de core dirija esa cuenta al otro sistema. Que la conmutación sea un cambio de dato y no un despliegue es lo que la hace reversible en segundos.</w:t>
      </w:r>
    </w:p>
    <w:p w14:paraId="3359F6B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17.6 Indicadores del programa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0"/>
        <w:gridCol w:w="2813"/>
        <w:gridCol w:w="2987"/>
      </w:tblGrid>
      <w:tr w:rsidR="000444D1" w:rsidRPr="000444D1" w14:paraId="7951C53E" w14:textId="77777777">
        <w:trPr>
          <w:tblHeader/>
          <w:tblCellSpacing w:w="15" w:type="dxa"/>
        </w:trPr>
        <w:tc>
          <w:tcPr>
            <w:tcW w:w="0" w:type="auto"/>
            <w:vAlign w:val="center"/>
            <w:hideMark/>
          </w:tcPr>
          <w:p w14:paraId="1D5BA40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Indicador</w:t>
            </w:r>
          </w:p>
        </w:tc>
        <w:tc>
          <w:tcPr>
            <w:tcW w:w="0" w:type="auto"/>
            <w:vAlign w:val="center"/>
            <w:hideMark/>
          </w:tcPr>
          <w:p w14:paraId="5FB1561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Qué vigila</w:t>
            </w:r>
          </w:p>
        </w:tc>
        <w:tc>
          <w:tcPr>
            <w:tcW w:w="0" w:type="auto"/>
            <w:vAlign w:val="center"/>
            <w:hideMark/>
          </w:tcPr>
          <w:p w14:paraId="313FD81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Umbral de alarma</w:t>
            </w:r>
          </w:p>
        </w:tc>
      </w:tr>
      <w:tr w:rsidR="000444D1" w:rsidRPr="000444D1" w14:paraId="3E1160AF" w14:textId="77777777">
        <w:trPr>
          <w:tblCellSpacing w:w="15" w:type="dxa"/>
        </w:trPr>
        <w:tc>
          <w:tcPr>
            <w:tcW w:w="0" w:type="auto"/>
            <w:vAlign w:val="center"/>
            <w:hideMark/>
          </w:tcPr>
          <w:p w14:paraId="5108C20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Paridad de saldos en comparación en sombra</w:t>
            </w:r>
          </w:p>
        </w:tc>
        <w:tc>
          <w:tcPr>
            <w:tcW w:w="0" w:type="auto"/>
            <w:vAlign w:val="center"/>
            <w:hideMark/>
          </w:tcPr>
          <w:p w14:paraId="58084C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Corrección de la proyección y del core digital</w:t>
            </w:r>
          </w:p>
        </w:tc>
        <w:tc>
          <w:tcPr>
            <w:tcW w:w="0" w:type="auto"/>
            <w:vAlign w:val="center"/>
            <w:hideMark/>
          </w:tcPr>
          <w:p w14:paraId="516F836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Por debajo de 99,99 % detiene el avance</w:t>
            </w:r>
          </w:p>
        </w:tc>
      </w:tr>
      <w:tr w:rsidR="000444D1" w:rsidRPr="000444D1" w14:paraId="5077E90A" w14:textId="77777777">
        <w:trPr>
          <w:tblCellSpacing w:w="15" w:type="dxa"/>
        </w:trPr>
        <w:tc>
          <w:tcPr>
            <w:tcW w:w="0" w:type="auto"/>
            <w:vAlign w:val="center"/>
            <w:hideMark/>
          </w:tcPr>
          <w:p w14:paraId="3BB6F7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 xml:space="preserve">Órdenes en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sobre el total</w:t>
            </w:r>
          </w:p>
        </w:tc>
        <w:tc>
          <w:tcPr>
            <w:tcW w:w="0" w:type="auto"/>
            <w:vAlign w:val="center"/>
            <w:hideMark/>
          </w:tcPr>
          <w:p w14:paraId="755453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Salud de la integración con el core</w:t>
            </w:r>
          </w:p>
        </w:tc>
        <w:tc>
          <w:tcPr>
            <w:tcW w:w="0" w:type="auto"/>
            <w:vAlign w:val="center"/>
            <w:hideMark/>
          </w:tcPr>
          <w:p w14:paraId="3F0C28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Tendencia creciente detiene el avance</w:t>
            </w:r>
          </w:p>
        </w:tc>
      </w:tr>
      <w:tr w:rsidR="000444D1" w:rsidRPr="000444D1" w14:paraId="46CC0F69" w14:textId="77777777">
        <w:trPr>
          <w:tblCellSpacing w:w="15" w:type="dxa"/>
        </w:trPr>
        <w:tc>
          <w:tcPr>
            <w:tcW w:w="0" w:type="auto"/>
            <w:vAlign w:val="center"/>
            <w:hideMark/>
          </w:tcPr>
          <w:p w14:paraId="2333FF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Diferencias no resueltas en reconciliación diaria</w:t>
            </w:r>
          </w:p>
        </w:tc>
        <w:tc>
          <w:tcPr>
            <w:tcW w:w="0" w:type="auto"/>
            <w:vAlign w:val="center"/>
            <w:hideMark/>
          </w:tcPr>
          <w:p w14:paraId="1CE717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Integridad contable</w:t>
            </w:r>
          </w:p>
        </w:tc>
        <w:tc>
          <w:tcPr>
            <w:tcW w:w="0" w:type="auto"/>
            <w:vAlign w:val="center"/>
            <w:hideMark/>
          </w:tcPr>
          <w:p w14:paraId="687AB7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Cualquier diferencia sin explicar detiene el avance</w:t>
            </w:r>
          </w:p>
        </w:tc>
      </w:tr>
      <w:tr w:rsidR="000444D1" w:rsidRPr="000444D1" w14:paraId="6245E006" w14:textId="77777777">
        <w:trPr>
          <w:tblCellSpacing w:w="15" w:type="dxa"/>
        </w:trPr>
        <w:tc>
          <w:tcPr>
            <w:tcW w:w="0" w:type="auto"/>
            <w:vAlign w:val="center"/>
            <w:hideMark/>
          </w:tcPr>
          <w:p w14:paraId="1D780BC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Proporción de eventos capturados por CDC frente a ACL</w:t>
            </w:r>
          </w:p>
        </w:tc>
        <w:tc>
          <w:tcPr>
            <w:tcW w:w="0" w:type="auto"/>
            <w:vAlign w:val="center"/>
            <w:hideMark/>
          </w:tcPr>
          <w:p w14:paraId="2167D8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Salud del doble mecanismo del ADR-004</w:t>
            </w:r>
          </w:p>
        </w:tc>
        <w:tc>
          <w:tcPr>
            <w:tcW w:w="0" w:type="auto"/>
            <w:vAlign w:val="center"/>
            <w:hideMark/>
          </w:tcPr>
          <w:p w14:paraId="27E6F4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Desviación respecto de la línea base</w:t>
            </w:r>
          </w:p>
        </w:tc>
      </w:tr>
      <w:tr w:rsidR="000444D1" w:rsidRPr="000444D1" w14:paraId="02D2AC3D" w14:textId="77777777">
        <w:trPr>
          <w:tblCellSpacing w:w="15" w:type="dxa"/>
        </w:trPr>
        <w:tc>
          <w:tcPr>
            <w:tcW w:w="0" w:type="auto"/>
            <w:vAlign w:val="center"/>
            <w:hideMark/>
          </w:tcPr>
          <w:p w14:paraId="2DB0291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p95 de las operaciones por fase</w:t>
            </w:r>
          </w:p>
        </w:tc>
        <w:tc>
          <w:tcPr>
            <w:tcW w:w="0" w:type="auto"/>
            <w:vAlign w:val="center"/>
            <w:hideMark/>
          </w:tcPr>
          <w:p w14:paraId="5A2501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Cumplimiento de los objetivos de latencia</w:t>
            </w:r>
          </w:p>
        </w:tc>
        <w:tc>
          <w:tcPr>
            <w:tcW w:w="0" w:type="auto"/>
            <w:vAlign w:val="center"/>
            <w:hideMark/>
          </w:tcPr>
          <w:p w14:paraId="58C46E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Superación sostenida detiene el avance</w:t>
            </w:r>
          </w:p>
        </w:tc>
      </w:tr>
      <w:tr w:rsidR="000444D1" w:rsidRPr="000444D1" w14:paraId="409F8CCF" w14:textId="77777777">
        <w:trPr>
          <w:tblCellSpacing w:w="15" w:type="dxa"/>
        </w:trPr>
        <w:tc>
          <w:tcPr>
            <w:tcW w:w="0" w:type="auto"/>
            <w:vAlign w:val="center"/>
            <w:hideMark/>
          </w:tcPr>
          <w:p w14:paraId="672641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Incidentes de severidad alta por fase</w:t>
            </w:r>
          </w:p>
        </w:tc>
        <w:tc>
          <w:tcPr>
            <w:tcW w:w="0" w:type="auto"/>
            <w:vAlign w:val="center"/>
            <w:hideMark/>
          </w:tcPr>
          <w:p w14:paraId="41A8E55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Estabilidad</w:t>
            </w:r>
          </w:p>
        </w:tc>
        <w:tc>
          <w:tcPr>
            <w:tcW w:w="0" w:type="auto"/>
            <w:vAlign w:val="center"/>
            <w:hideMark/>
          </w:tcPr>
          <w:p w14:paraId="077222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Dos en una fase obligan a revisión antes de continuar</w:t>
            </w:r>
          </w:p>
        </w:tc>
      </w:tr>
      <w:tr w:rsidR="000444D1" w:rsidRPr="000444D1" w14:paraId="23256ED1" w14:textId="77777777">
        <w:trPr>
          <w:tblCellSpacing w:w="15" w:type="dxa"/>
        </w:trPr>
        <w:tc>
          <w:tcPr>
            <w:tcW w:w="0" w:type="auto"/>
            <w:vAlign w:val="center"/>
            <w:hideMark/>
          </w:tcPr>
          <w:p w14:paraId="43E9B98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Proporción de transacciones por core</w:t>
            </w:r>
          </w:p>
        </w:tc>
        <w:tc>
          <w:tcPr>
            <w:tcW w:w="0" w:type="auto"/>
            <w:vAlign w:val="center"/>
            <w:hideMark/>
          </w:tcPr>
          <w:p w14:paraId="787FC2E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Avance real de la migración</w:t>
            </w:r>
          </w:p>
        </w:tc>
        <w:tc>
          <w:tcPr>
            <w:tcW w:w="0" w:type="auto"/>
            <w:vAlign w:val="center"/>
            <w:hideMark/>
          </w:tcPr>
          <w:p w14:paraId="586483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Indicador de progreso, no de alarma</w:t>
            </w:r>
          </w:p>
        </w:tc>
      </w:tr>
    </w:tbl>
    <w:p w14:paraId="6E19145A"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indicador de avance figura deliberadamente en último lugar. Un programa de este tipo fracasa cuando el porcentaje migrado se convierte en el objetivo y desplaza a los indicadores de corrección.</w:t>
      </w:r>
    </w:p>
    <w:p w14:paraId="532EA506"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17.7 Riesgos del programa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2040"/>
        <w:gridCol w:w="4619"/>
      </w:tblGrid>
      <w:tr w:rsidR="000444D1" w:rsidRPr="000444D1" w14:paraId="5A6FAF68" w14:textId="77777777">
        <w:trPr>
          <w:tblHeader/>
          <w:tblCellSpacing w:w="15" w:type="dxa"/>
        </w:trPr>
        <w:tc>
          <w:tcPr>
            <w:tcW w:w="0" w:type="auto"/>
            <w:vAlign w:val="center"/>
            <w:hideMark/>
          </w:tcPr>
          <w:p w14:paraId="3F7DB969"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Riesgo</w:t>
            </w:r>
          </w:p>
        </w:tc>
        <w:tc>
          <w:tcPr>
            <w:tcW w:w="0" w:type="auto"/>
            <w:vAlign w:val="center"/>
            <w:hideMark/>
          </w:tcPr>
          <w:p w14:paraId="553ED00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Impacto</w:t>
            </w:r>
          </w:p>
        </w:tc>
        <w:tc>
          <w:tcPr>
            <w:tcW w:w="0" w:type="auto"/>
            <w:vAlign w:val="center"/>
            <w:hideMark/>
          </w:tcPr>
          <w:p w14:paraId="65BE8E8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Mitigación</w:t>
            </w:r>
          </w:p>
        </w:tc>
      </w:tr>
      <w:tr w:rsidR="000444D1" w:rsidRPr="000444D1" w14:paraId="7F3BE533" w14:textId="77777777">
        <w:trPr>
          <w:tblCellSpacing w:w="15" w:type="dxa"/>
        </w:trPr>
        <w:tc>
          <w:tcPr>
            <w:tcW w:w="0" w:type="auto"/>
            <w:vAlign w:val="center"/>
            <w:hideMark/>
          </w:tcPr>
          <w:p w14:paraId="09A910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Calidad de los datos del core tradicional inferior a la esperada</w:t>
            </w:r>
          </w:p>
        </w:tc>
        <w:tc>
          <w:tcPr>
            <w:tcW w:w="0" w:type="auto"/>
            <w:vAlign w:val="center"/>
            <w:hideMark/>
          </w:tcPr>
          <w:p w14:paraId="35DBC8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Retrasos en las fases de migración de cohortes</w:t>
            </w:r>
          </w:p>
        </w:tc>
        <w:tc>
          <w:tcPr>
            <w:tcW w:w="0" w:type="auto"/>
            <w:vAlign w:val="center"/>
            <w:hideMark/>
          </w:tcPr>
          <w:p w14:paraId="4B9A730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ejecución en sombra de la Fase 1 revela los problemas de calidad años antes de necesitar migrarlos</w:t>
            </w:r>
          </w:p>
        </w:tc>
      </w:tr>
      <w:tr w:rsidR="000444D1" w:rsidRPr="000444D1" w14:paraId="4868757F" w14:textId="77777777">
        <w:trPr>
          <w:tblCellSpacing w:w="15" w:type="dxa"/>
        </w:trPr>
        <w:tc>
          <w:tcPr>
            <w:tcW w:w="0" w:type="auto"/>
            <w:vAlign w:val="center"/>
            <w:hideMark/>
          </w:tcPr>
          <w:p w14:paraId="37D4D9E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digital no cubre una funcionalidad del producto</w:t>
            </w:r>
          </w:p>
        </w:tc>
        <w:tc>
          <w:tcPr>
            <w:tcW w:w="0" w:type="auto"/>
            <w:vAlign w:val="center"/>
            <w:hideMark/>
          </w:tcPr>
          <w:p w14:paraId="7BB931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Bloqueo de una fase</w:t>
            </w:r>
          </w:p>
        </w:tc>
        <w:tc>
          <w:tcPr>
            <w:tcW w:w="0" w:type="auto"/>
            <w:vAlign w:val="center"/>
            <w:hideMark/>
          </w:tcPr>
          <w:p w14:paraId="0AAA75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Validación funcional producto a producto antes de comprometer la fase; el modo de extinción natural permite aplazar sin bloquear</w:t>
            </w:r>
          </w:p>
        </w:tc>
      </w:tr>
      <w:tr w:rsidR="000444D1" w:rsidRPr="000444D1" w14:paraId="535CFE98" w14:textId="77777777">
        <w:trPr>
          <w:tblCellSpacing w:w="15" w:type="dxa"/>
        </w:trPr>
        <w:tc>
          <w:tcPr>
            <w:tcW w:w="0" w:type="auto"/>
            <w:vAlign w:val="center"/>
            <w:hideMark/>
          </w:tcPr>
          <w:p w14:paraId="6A7076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Duración del programa y pérdida de patrocinio</w:t>
            </w:r>
          </w:p>
        </w:tc>
        <w:tc>
          <w:tcPr>
            <w:tcW w:w="0" w:type="auto"/>
            <w:vAlign w:val="center"/>
            <w:hideMark/>
          </w:tcPr>
          <w:p w14:paraId="7774A1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Abandono a medio camino</w:t>
            </w:r>
          </w:p>
        </w:tc>
        <w:tc>
          <w:tcPr>
            <w:tcW w:w="0" w:type="auto"/>
            <w:vAlign w:val="center"/>
            <w:hideMark/>
          </w:tcPr>
          <w:p w14:paraId="505B231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Cada fase entrega valor por sí misma. La Fase 1 mejora la experiencia sin migrar nada</w:t>
            </w:r>
          </w:p>
        </w:tc>
      </w:tr>
      <w:tr w:rsidR="000444D1" w:rsidRPr="000444D1" w14:paraId="25700B27" w14:textId="77777777">
        <w:trPr>
          <w:tblCellSpacing w:w="15" w:type="dxa"/>
        </w:trPr>
        <w:tc>
          <w:tcPr>
            <w:tcW w:w="0" w:type="auto"/>
            <w:vAlign w:val="center"/>
            <w:hideMark/>
          </w:tcPr>
          <w:p w14:paraId="319FE8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Dependencia de un proveedor único de core digital</w:t>
            </w:r>
          </w:p>
        </w:tc>
        <w:tc>
          <w:tcPr>
            <w:tcW w:w="0" w:type="auto"/>
            <w:vAlign w:val="center"/>
            <w:hideMark/>
          </w:tcPr>
          <w:p w14:paraId="5EAC59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Riesgo comercial y técnico</w:t>
            </w:r>
          </w:p>
        </w:tc>
        <w:tc>
          <w:tcPr>
            <w:tcW w:w="0" w:type="auto"/>
            <w:vAlign w:val="center"/>
            <w:hideMark/>
          </w:tcPr>
          <w:p w14:paraId="14EEBA5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adaptador del core digital aísla su contrato; el puerto canónico permitiría sustituirlo con un costo acotado</w:t>
            </w:r>
          </w:p>
        </w:tc>
      </w:tr>
      <w:tr w:rsidR="000444D1" w:rsidRPr="000444D1" w14:paraId="5B24F205" w14:textId="77777777">
        <w:trPr>
          <w:tblCellSpacing w:w="15" w:type="dxa"/>
        </w:trPr>
        <w:tc>
          <w:tcPr>
            <w:tcW w:w="0" w:type="auto"/>
            <w:vAlign w:val="center"/>
            <w:hideMark/>
          </w:tcPr>
          <w:p w14:paraId="5668A5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Coexistencia prolongada como estado permanente</w:t>
            </w:r>
          </w:p>
        </w:tc>
        <w:tc>
          <w:tcPr>
            <w:tcW w:w="0" w:type="auto"/>
            <w:vAlign w:val="center"/>
            <w:hideMark/>
          </w:tcPr>
          <w:p w14:paraId="07A95E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Doble costo operativo indefinido</w:t>
            </w:r>
          </w:p>
        </w:tc>
        <w:tc>
          <w:tcPr>
            <w:tcW w:w="0" w:type="auto"/>
            <w:vAlign w:val="center"/>
            <w:hideMark/>
          </w:tcPr>
          <w:p w14:paraId="07AB8B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Fase 7 obliga a una decisión explícita en lugar de dejar la coexistencia por omisión</w:t>
            </w:r>
          </w:p>
        </w:tc>
      </w:tr>
      <w:tr w:rsidR="000444D1" w:rsidRPr="000444D1" w14:paraId="4BE7512E" w14:textId="77777777">
        <w:trPr>
          <w:tblCellSpacing w:w="15" w:type="dxa"/>
        </w:trPr>
        <w:tc>
          <w:tcPr>
            <w:tcW w:w="0" w:type="auto"/>
            <w:vAlign w:val="center"/>
            <w:hideMark/>
          </w:tcPr>
          <w:p w14:paraId="336596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Fatiga operativa por ventanas de migración repetidas</w:t>
            </w:r>
          </w:p>
        </w:tc>
        <w:tc>
          <w:tcPr>
            <w:tcW w:w="0" w:type="auto"/>
            <w:vAlign w:val="center"/>
            <w:hideMark/>
          </w:tcPr>
          <w:p w14:paraId="5B4FD4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Errores humanos</w:t>
            </w:r>
          </w:p>
        </w:tc>
        <w:tc>
          <w:tcPr>
            <w:tcW w:w="0" w:type="auto"/>
            <w:vAlign w:val="center"/>
            <w:hideMark/>
          </w:tcPr>
          <w:p w14:paraId="20AA9A1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Cohortes espaciadas, procedimiento automatizado y verificación por comparación, no manual</w:t>
            </w:r>
          </w:p>
        </w:tc>
      </w:tr>
    </w:tbl>
    <w:p w14:paraId="04223B3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riesgo de coexistencia permanente merece atención.</w:t>
      </w:r>
      <w:r w:rsidRPr="000444D1">
        <w:rPr>
          <w:rFonts w:ascii="Times New Roman" w:eastAsia="Times New Roman" w:hAnsi="Times New Roman" w:cs="Times New Roman"/>
          <w:kern w:val="0"/>
          <w14:ligatures w14:val="none"/>
        </w:rPr>
        <w:t xml:space="preserve"> El escenario más frecuente en programas multicore no es el fallo técnico, sino quedarse a mitad de camino: dos cores operando indefinidamente, con doble costo de mantenimiento y doble complejidad. El plan lo aborda convirtiendo el final en una decisión explícita y fechada, en lugar de un estado al que se llega por inercia.</w:t>
      </w:r>
    </w:p>
    <w:p w14:paraId="304656DE"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785066F0">
          <v:rect id="Horizontal Line 549"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57F4ABB"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18. Observabilidad y trazabilidad</w:t>
      </w:r>
    </w:p>
    <w:p w14:paraId="4F62B7B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18.1 Dos trazabilidades que no deben confundirse</w:t>
      </w:r>
    </w:p>
    <w:p w14:paraId="192F6BE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requisito de trazabilidad en un sistema bancario tiene dos naturalezas distintas, con audiencias, retenciones y garantías diferentes. Tratarlas con la misma herramienta es un error frecuente y produce dos fallos simétricos: trazas técnicas que se conservan siete años y encarecen la operación sin aportar valor, o registros de auditoría que caducan a los noventa días y dejan al banco sin capacidad de acreditar una operación ante el regulador.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3402"/>
        <w:gridCol w:w="4312"/>
      </w:tblGrid>
      <w:tr w:rsidR="000444D1" w:rsidRPr="000444D1" w14:paraId="7723BBD8" w14:textId="77777777">
        <w:trPr>
          <w:tblHeader/>
          <w:tblCellSpacing w:w="15" w:type="dxa"/>
        </w:trPr>
        <w:tc>
          <w:tcPr>
            <w:tcW w:w="0" w:type="auto"/>
            <w:vAlign w:val="center"/>
            <w:hideMark/>
          </w:tcPr>
          <w:p w14:paraId="4B4C71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p>
        </w:tc>
        <w:tc>
          <w:tcPr>
            <w:tcW w:w="0" w:type="auto"/>
            <w:vAlign w:val="center"/>
            <w:hideMark/>
          </w:tcPr>
          <w:p w14:paraId="4EBDB94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Trazabilidad técnica</w:t>
            </w:r>
          </w:p>
        </w:tc>
        <w:tc>
          <w:tcPr>
            <w:tcW w:w="0" w:type="auto"/>
            <w:vAlign w:val="center"/>
            <w:hideMark/>
          </w:tcPr>
          <w:p w14:paraId="5F7A6FE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Trazabilidad de negocio y regulatoria</w:t>
            </w:r>
          </w:p>
        </w:tc>
      </w:tr>
      <w:tr w:rsidR="000444D1" w:rsidRPr="000444D1" w14:paraId="7B9FE48A" w14:textId="77777777">
        <w:trPr>
          <w:tblCellSpacing w:w="15" w:type="dxa"/>
        </w:trPr>
        <w:tc>
          <w:tcPr>
            <w:tcW w:w="0" w:type="auto"/>
            <w:vAlign w:val="center"/>
            <w:hideMark/>
          </w:tcPr>
          <w:p w14:paraId="30EA3FE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Pregunta que responde</w:t>
            </w:r>
          </w:p>
        </w:tc>
        <w:tc>
          <w:tcPr>
            <w:tcW w:w="0" w:type="auto"/>
            <w:vAlign w:val="center"/>
            <w:hideMark/>
          </w:tcPr>
          <w:p w14:paraId="25A1A90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¿Por qué esta operación tardó 4 segundos? ¿Dónde falló?</w:t>
            </w:r>
          </w:p>
        </w:tc>
        <w:tc>
          <w:tcPr>
            <w:tcW w:w="0" w:type="auto"/>
            <w:vAlign w:val="center"/>
            <w:hideMark/>
          </w:tcPr>
          <w:p w14:paraId="45DE48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¿Qué ocurrió con esta operación, quién la originó y bajo qué autorización?</w:t>
            </w:r>
          </w:p>
        </w:tc>
      </w:tr>
      <w:tr w:rsidR="000444D1" w:rsidRPr="000444D1" w14:paraId="14F116D2" w14:textId="77777777">
        <w:trPr>
          <w:tblCellSpacing w:w="15" w:type="dxa"/>
        </w:trPr>
        <w:tc>
          <w:tcPr>
            <w:tcW w:w="0" w:type="auto"/>
            <w:vAlign w:val="center"/>
            <w:hideMark/>
          </w:tcPr>
          <w:p w14:paraId="400F70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Audiencia</w:t>
            </w:r>
          </w:p>
        </w:tc>
        <w:tc>
          <w:tcPr>
            <w:tcW w:w="0" w:type="auto"/>
            <w:vAlign w:val="center"/>
            <w:hideMark/>
          </w:tcPr>
          <w:p w14:paraId="2B58EDD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Equipos de ingeniería y operación</w:t>
            </w:r>
          </w:p>
        </w:tc>
        <w:tc>
          <w:tcPr>
            <w:tcW w:w="0" w:type="auto"/>
            <w:vAlign w:val="center"/>
            <w:hideMark/>
          </w:tcPr>
          <w:p w14:paraId="0DA8848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Auditoría, cumplimiento, regulador, el propio titular</w:t>
            </w:r>
          </w:p>
        </w:tc>
      </w:tr>
      <w:tr w:rsidR="000444D1" w:rsidRPr="000444D1" w14:paraId="41CC05B3" w14:textId="77777777">
        <w:trPr>
          <w:tblCellSpacing w:w="15" w:type="dxa"/>
        </w:trPr>
        <w:tc>
          <w:tcPr>
            <w:tcW w:w="0" w:type="auto"/>
            <w:vAlign w:val="center"/>
            <w:hideMark/>
          </w:tcPr>
          <w:p w14:paraId="00053FB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Soporte</w:t>
            </w:r>
          </w:p>
        </w:tc>
        <w:tc>
          <w:tcPr>
            <w:tcW w:w="0" w:type="auto"/>
            <w:vAlign w:val="center"/>
            <w:hideMark/>
          </w:tcPr>
          <w:p w14:paraId="646A4FF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Trazas distribuidas, métricas y registros</w:t>
            </w:r>
          </w:p>
        </w:tc>
        <w:tc>
          <w:tcPr>
            <w:tcW w:w="0" w:type="auto"/>
            <w:vAlign w:val="center"/>
            <w:hideMark/>
          </w:tcPr>
          <w:p w14:paraId="5D8B3D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Historial de eventos</w:t>
            </w:r>
          </w:p>
        </w:tc>
      </w:tr>
      <w:tr w:rsidR="000444D1" w:rsidRPr="000444D1" w14:paraId="6B6CA437" w14:textId="77777777">
        <w:trPr>
          <w:tblCellSpacing w:w="15" w:type="dxa"/>
        </w:trPr>
        <w:tc>
          <w:tcPr>
            <w:tcW w:w="0" w:type="auto"/>
            <w:vAlign w:val="center"/>
            <w:hideMark/>
          </w:tcPr>
          <w:p w14:paraId="4B038AE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Retención</w:t>
            </w:r>
          </w:p>
        </w:tc>
        <w:tc>
          <w:tcPr>
            <w:tcW w:w="0" w:type="auto"/>
            <w:vAlign w:val="center"/>
            <w:hideMark/>
          </w:tcPr>
          <w:p w14:paraId="61F4A8D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90 días</w:t>
            </w:r>
          </w:p>
        </w:tc>
        <w:tc>
          <w:tcPr>
            <w:tcW w:w="0" w:type="auto"/>
            <w:vAlign w:val="center"/>
            <w:hideMark/>
          </w:tcPr>
          <w:p w14:paraId="01FD3F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 años</w:t>
            </w:r>
          </w:p>
        </w:tc>
      </w:tr>
      <w:tr w:rsidR="000444D1" w:rsidRPr="000444D1" w14:paraId="552987AC" w14:textId="77777777">
        <w:trPr>
          <w:tblCellSpacing w:w="15" w:type="dxa"/>
        </w:trPr>
        <w:tc>
          <w:tcPr>
            <w:tcW w:w="0" w:type="auto"/>
            <w:vAlign w:val="center"/>
            <w:hideMark/>
          </w:tcPr>
          <w:p w14:paraId="41E4C52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Garantía</w:t>
            </w:r>
          </w:p>
        </w:tc>
        <w:tc>
          <w:tcPr>
            <w:tcW w:w="0" w:type="auto"/>
            <w:vAlign w:val="center"/>
            <w:hideMark/>
          </w:tcPr>
          <w:p w14:paraId="006C144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Mejor esfuerzo; el muestreo es aceptable</w:t>
            </w:r>
          </w:p>
        </w:tc>
        <w:tc>
          <w:tcPr>
            <w:tcW w:w="0" w:type="auto"/>
            <w:vAlign w:val="center"/>
            <w:hideMark/>
          </w:tcPr>
          <w:p w14:paraId="4D51C61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Completitud e inmutabilidad; el muestreo es inaceptable</w:t>
            </w:r>
          </w:p>
        </w:tc>
      </w:tr>
      <w:tr w:rsidR="000444D1" w:rsidRPr="000444D1" w14:paraId="0AE8C229" w14:textId="77777777">
        <w:trPr>
          <w:tblCellSpacing w:w="15" w:type="dxa"/>
        </w:trPr>
        <w:tc>
          <w:tcPr>
            <w:tcW w:w="0" w:type="auto"/>
            <w:vAlign w:val="center"/>
            <w:hideMark/>
          </w:tcPr>
          <w:p w14:paraId="3546A7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Contenido</w:t>
            </w:r>
          </w:p>
        </w:tc>
        <w:tc>
          <w:tcPr>
            <w:tcW w:w="0" w:type="auto"/>
            <w:vAlign w:val="center"/>
            <w:hideMark/>
          </w:tcPr>
          <w:p w14:paraId="7297A7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Latencias, errores, dependencias, enmascarado</w:t>
            </w:r>
          </w:p>
        </w:tc>
        <w:tc>
          <w:tcPr>
            <w:tcW w:w="0" w:type="auto"/>
            <w:vAlign w:val="center"/>
            <w:hideMark/>
          </w:tcPr>
          <w:p w14:paraId="3EF9A98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Hechos de negocio con su contexto de autorización</w:t>
            </w:r>
          </w:p>
        </w:tc>
      </w:tr>
    </w:tbl>
    <w:p w14:paraId="1E6D61E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consecuencia de diseño es directa: </w:t>
      </w:r>
      <w:r w:rsidRPr="000444D1">
        <w:rPr>
          <w:rFonts w:ascii="Times New Roman" w:eastAsia="Times New Roman" w:hAnsi="Times New Roman" w:cs="Times New Roman"/>
          <w:b/>
          <w:bCs/>
          <w:kern w:val="0"/>
          <w14:ligatures w14:val="none"/>
        </w:rPr>
        <w:t>el registro de auditoría no se deriva de la telemetría, se deriva de los eventos de dominio.</w:t>
      </w:r>
      <w:r w:rsidRPr="000444D1">
        <w:rPr>
          <w:rFonts w:ascii="Times New Roman" w:eastAsia="Times New Roman" w:hAnsi="Times New Roman" w:cs="Times New Roman"/>
          <w:kern w:val="0"/>
          <w14:ligatures w14:val="none"/>
        </w:rPr>
        <w:t xml:space="preserve"> D8 consume el bus, no el sistema de trazas. Un evento perdido en la telemetría es una molestia; un evento perdido en la auditoría es un incumplimiento.</w:t>
      </w:r>
    </w:p>
    <w:p w14:paraId="6550DD69"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18.2 Modelo de correlación</w:t>
      </w:r>
    </w:p>
    <w:p w14:paraId="6A4AFBD4"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Seis identificadores recorren el sistema, cada uno con un propósito distinto. Su combinación es lo que permite reconstruir una operación de extremo a extremo.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2290"/>
        <w:gridCol w:w="2011"/>
        <w:gridCol w:w="3061"/>
      </w:tblGrid>
      <w:tr w:rsidR="000444D1" w:rsidRPr="000444D1" w14:paraId="2D801348" w14:textId="77777777">
        <w:trPr>
          <w:tblHeader/>
          <w:tblCellSpacing w:w="15" w:type="dxa"/>
        </w:trPr>
        <w:tc>
          <w:tcPr>
            <w:tcW w:w="0" w:type="auto"/>
            <w:vAlign w:val="center"/>
            <w:hideMark/>
          </w:tcPr>
          <w:p w14:paraId="59ABE96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Identificador</w:t>
            </w:r>
          </w:p>
        </w:tc>
        <w:tc>
          <w:tcPr>
            <w:tcW w:w="0" w:type="auto"/>
            <w:vAlign w:val="center"/>
            <w:hideMark/>
          </w:tcPr>
          <w:p w14:paraId="3326ECA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Origen</w:t>
            </w:r>
          </w:p>
        </w:tc>
        <w:tc>
          <w:tcPr>
            <w:tcW w:w="0" w:type="auto"/>
            <w:vAlign w:val="center"/>
            <w:hideMark/>
          </w:tcPr>
          <w:p w14:paraId="7751149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Alcance</w:t>
            </w:r>
          </w:p>
        </w:tc>
        <w:tc>
          <w:tcPr>
            <w:tcW w:w="0" w:type="auto"/>
            <w:vAlign w:val="center"/>
            <w:hideMark/>
          </w:tcPr>
          <w:p w14:paraId="7C8FA37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Propósito</w:t>
            </w:r>
          </w:p>
        </w:tc>
      </w:tr>
      <w:tr w:rsidR="000444D1" w:rsidRPr="000444D1" w14:paraId="0B7BA6EF" w14:textId="77777777">
        <w:trPr>
          <w:tblCellSpacing w:w="15" w:type="dxa"/>
        </w:trPr>
        <w:tc>
          <w:tcPr>
            <w:tcW w:w="0" w:type="auto"/>
            <w:vAlign w:val="center"/>
            <w:hideMark/>
          </w:tcPr>
          <w:p w14:paraId="25708A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traceparent</w:t>
            </w:r>
          </w:p>
        </w:tc>
        <w:tc>
          <w:tcPr>
            <w:tcW w:w="0" w:type="auto"/>
            <w:vAlign w:val="center"/>
            <w:hideMark/>
          </w:tcPr>
          <w:p w14:paraId="697A2B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Generado en el borde si el cliente no lo aporta</w:t>
            </w:r>
          </w:p>
        </w:tc>
        <w:tc>
          <w:tcPr>
            <w:tcW w:w="0" w:type="auto"/>
            <w:vAlign w:val="center"/>
            <w:hideMark/>
          </w:tcPr>
          <w:p w14:paraId="0EDDA2F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Toda la operación, síncrona y asíncrona</w:t>
            </w:r>
          </w:p>
        </w:tc>
        <w:tc>
          <w:tcPr>
            <w:tcW w:w="0" w:type="auto"/>
            <w:vAlign w:val="center"/>
            <w:hideMark/>
          </w:tcPr>
          <w:p w14:paraId="67C1A8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Correlación técnica extremo a extremo (W3C Trace Context)</w:t>
            </w:r>
          </w:p>
        </w:tc>
      </w:tr>
      <w:tr w:rsidR="000444D1" w:rsidRPr="000444D1" w14:paraId="28F03763" w14:textId="77777777">
        <w:trPr>
          <w:tblCellSpacing w:w="15" w:type="dxa"/>
        </w:trPr>
        <w:tc>
          <w:tcPr>
            <w:tcW w:w="0" w:type="auto"/>
            <w:vAlign w:val="center"/>
            <w:hideMark/>
          </w:tcPr>
          <w:p w14:paraId="21BFCFD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idCorrelacion</w:t>
            </w:r>
          </w:p>
        </w:tc>
        <w:tc>
          <w:tcPr>
            <w:tcW w:w="0" w:type="auto"/>
            <w:vAlign w:val="center"/>
            <w:hideMark/>
          </w:tcPr>
          <w:p w14:paraId="5694C9E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Copia del </w:t>
            </w:r>
            <w:r w:rsidRPr="000444D1">
              <w:rPr>
                <w:rFonts w:ascii="Courier New" w:eastAsia="Times New Roman" w:hAnsi="Courier New" w:cs="Courier New"/>
                <w:kern w:val="0"/>
                <w:sz w:val="20"/>
                <w:szCs w:val="20"/>
                <w14:ligatures w14:val="none"/>
              </w:rPr>
              <w:t>traceparent</w:t>
            </w:r>
            <w:r w:rsidRPr="000444D1">
              <w:rPr>
                <w:rFonts w:ascii="Times New Roman" w:eastAsia="Times New Roman" w:hAnsi="Times New Roman" w:cs="Times New Roman"/>
                <w:kern w:val="0"/>
                <w14:ligatures w14:val="none"/>
              </w:rPr>
              <w:t xml:space="preserve"> en el sobre del evento</w:t>
            </w:r>
          </w:p>
        </w:tc>
        <w:tc>
          <w:tcPr>
            <w:tcW w:w="0" w:type="auto"/>
            <w:vAlign w:val="center"/>
            <w:hideMark/>
          </w:tcPr>
          <w:p w14:paraId="2512DDF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Cadena de eventos derivados</w:t>
            </w:r>
          </w:p>
        </w:tc>
        <w:tc>
          <w:tcPr>
            <w:tcW w:w="0" w:type="auto"/>
            <w:vAlign w:val="center"/>
            <w:hideMark/>
          </w:tcPr>
          <w:p w14:paraId="5FD928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Enlaza la propagación asíncrona con la traza original</w:t>
            </w:r>
          </w:p>
        </w:tc>
      </w:tr>
      <w:tr w:rsidR="000444D1" w:rsidRPr="000444D1" w14:paraId="565F6095" w14:textId="77777777">
        <w:trPr>
          <w:tblCellSpacing w:w="15" w:type="dxa"/>
        </w:trPr>
        <w:tc>
          <w:tcPr>
            <w:tcW w:w="0" w:type="auto"/>
            <w:vAlign w:val="center"/>
            <w:hideMark/>
          </w:tcPr>
          <w:p w14:paraId="228992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lastRenderedPageBreak/>
              <w:t>claveNegocio</w:t>
            </w:r>
          </w:p>
        </w:tc>
        <w:tc>
          <w:tcPr>
            <w:tcW w:w="0" w:type="auto"/>
            <w:vAlign w:val="center"/>
            <w:hideMark/>
          </w:tcPr>
          <w:p w14:paraId="12C15CA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Servicio de dominio productor</w:t>
            </w:r>
          </w:p>
        </w:tc>
        <w:tc>
          <w:tcPr>
            <w:tcW w:w="0" w:type="auto"/>
            <w:vAlign w:val="center"/>
            <w:hideMark/>
          </w:tcPr>
          <w:p w14:paraId="1F0CE64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Hecho de negocio</w:t>
            </w:r>
          </w:p>
        </w:tc>
        <w:tc>
          <w:tcPr>
            <w:tcW w:w="0" w:type="auto"/>
            <w:vAlign w:val="center"/>
            <w:hideMark/>
          </w:tcPr>
          <w:p w14:paraId="4CEA5F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Deduplicación entre las dos fuentes del ADR-004 e identidad del hecho</w:t>
            </w:r>
          </w:p>
        </w:tc>
      </w:tr>
      <w:tr w:rsidR="000444D1" w:rsidRPr="000444D1" w14:paraId="6E34A85A" w14:textId="77777777">
        <w:trPr>
          <w:tblCellSpacing w:w="15" w:type="dxa"/>
        </w:trPr>
        <w:tc>
          <w:tcPr>
            <w:tcW w:w="0" w:type="auto"/>
            <w:vAlign w:val="center"/>
            <w:hideMark/>
          </w:tcPr>
          <w:p w14:paraId="24092A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Idempotency-Key</w:t>
            </w:r>
          </w:p>
        </w:tc>
        <w:tc>
          <w:tcPr>
            <w:tcW w:w="0" w:type="auto"/>
            <w:vAlign w:val="center"/>
            <w:hideMark/>
          </w:tcPr>
          <w:p w14:paraId="0EA5640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Generada por el canal</w:t>
            </w:r>
          </w:p>
        </w:tc>
        <w:tc>
          <w:tcPr>
            <w:tcW w:w="0" w:type="auto"/>
            <w:vAlign w:val="center"/>
            <w:hideMark/>
          </w:tcPr>
          <w:p w14:paraId="79FA8D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Intento de operación</w:t>
            </w:r>
          </w:p>
        </w:tc>
        <w:tc>
          <w:tcPr>
            <w:tcW w:w="0" w:type="auto"/>
            <w:vAlign w:val="center"/>
            <w:hideMark/>
          </w:tcPr>
          <w:p w14:paraId="1C0E5D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Distingue un reintento de una operación nueva</w:t>
            </w:r>
          </w:p>
        </w:tc>
      </w:tr>
      <w:tr w:rsidR="000444D1" w:rsidRPr="000444D1" w14:paraId="77DA32CB" w14:textId="77777777">
        <w:trPr>
          <w:tblCellSpacing w:w="15" w:type="dxa"/>
        </w:trPr>
        <w:tc>
          <w:tcPr>
            <w:tcW w:w="0" w:type="auto"/>
            <w:vAlign w:val="center"/>
            <w:hideMark/>
          </w:tcPr>
          <w:p w14:paraId="752B6B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referenciaCore</w:t>
            </w:r>
          </w:p>
        </w:tc>
        <w:tc>
          <w:tcPr>
            <w:tcW w:w="0" w:type="auto"/>
            <w:vAlign w:val="center"/>
            <w:hideMark/>
          </w:tcPr>
          <w:p w14:paraId="1DBC499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Devuelta por el core al confirmar</w:t>
            </w:r>
          </w:p>
        </w:tc>
        <w:tc>
          <w:tcPr>
            <w:tcW w:w="0" w:type="auto"/>
            <w:vAlign w:val="center"/>
            <w:hideMark/>
          </w:tcPr>
          <w:p w14:paraId="5B5FD3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Movimiento contable</w:t>
            </w:r>
          </w:p>
        </w:tc>
        <w:tc>
          <w:tcPr>
            <w:tcW w:w="0" w:type="auto"/>
            <w:vAlign w:val="center"/>
            <w:hideMark/>
          </w:tcPr>
          <w:p w14:paraId="062FEE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Puente entre el registro del banco y el del sistema legado</w:t>
            </w:r>
          </w:p>
        </w:tc>
      </w:tr>
      <w:tr w:rsidR="000444D1" w:rsidRPr="000444D1" w14:paraId="13397ED7" w14:textId="77777777">
        <w:trPr>
          <w:tblCellSpacing w:w="15" w:type="dxa"/>
        </w:trPr>
        <w:tc>
          <w:tcPr>
            <w:tcW w:w="0" w:type="auto"/>
            <w:vAlign w:val="center"/>
            <w:hideMark/>
          </w:tcPr>
          <w:p w14:paraId="08DB913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x-fapi-interaction-id</w:t>
            </w:r>
          </w:p>
        </w:tc>
        <w:tc>
          <w:tcPr>
            <w:tcW w:w="0" w:type="auto"/>
            <w:vAlign w:val="center"/>
            <w:hideMark/>
          </w:tcPr>
          <w:p w14:paraId="6A5F451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Generado por el TPP</w:t>
            </w:r>
          </w:p>
        </w:tc>
        <w:tc>
          <w:tcPr>
            <w:tcW w:w="0" w:type="auto"/>
            <w:vAlign w:val="center"/>
            <w:hideMark/>
          </w:tcPr>
          <w:p w14:paraId="63EAA08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Petición externa</w:t>
            </w:r>
          </w:p>
        </w:tc>
        <w:tc>
          <w:tcPr>
            <w:tcW w:w="0" w:type="auto"/>
            <w:vAlign w:val="center"/>
            <w:hideMark/>
          </w:tcPr>
          <w:p w14:paraId="3B1E449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Correlación con el registro del tercero ante una disputa</w:t>
            </w:r>
          </w:p>
        </w:tc>
      </w:tr>
    </w:tbl>
    <w:p w14:paraId="1FC3C3D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b/>
          <w:bCs/>
          <w:kern w:val="0"/>
          <w:sz w:val="20"/>
          <w:szCs w:val="20"/>
          <w14:ligatures w14:val="none"/>
        </w:rPr>
        <w:t>referenciaCore</w:t>
      </w:r>
      <w:r w:rsidRPr="000444D1">
        <w:rPr>
          <w:rFonts w:ascii="Times New Roman" w:eastAsia="Times New Roman" w:hAnsi="Times New Roman" w:cs="Times New Roman"/>
          <w:b/>
          <w:bCs/>
          <w:kern w:val="0"/>
          <w14:ligatures w14:val="none"/>
        </w:rPr>
        <w:t xml:space="preserve"> es el identificador que más se subestima.</w:t>
      </w:r>
      <w:r w:rsidRPr="000444D1">
        <w:rPr>
          <w:rFonts w:ascii="Times New Roman" w:eastAsia="Times New Roman" w:hAnsi="Times New Roman" w:cs="Times New Roman"/>
          <w:kern w:val="0"/>
          <w14:ligatures w14:val="none"/>
        </w:rPr>
        <w:t xml:space="preserve"> Es el único punto de unión entre la traza de la plataforma y los registros propios del core tradicional. Ante una discrepancia contable, es lo que permite pasar de "la orden 9c4f2a71 quedó en verificación" a un asiento concreto en el sistema legado. Sin él, ambos registros serían universos incomunicados y toda reconciliación tendría que hacerse por coincidencia de importes y fechas, que es aproximada y no resiste una auditoría.</w:t>
      </w:r>
    </w:p>
    <w:p w14:paraId="343DD33F"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18.3 Trazas distribuidas y la frontera asíncrona</w:t>
      </w:r>
    </w:p>
    <w:p w14:paraId="42DDE92F"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La instrumentación se basa en </w:t>
      </w:r>
      <w:r w:rsidRPr="000444D1">
        <w:rPr>
          <w:rFonts w:ascii="Times New Roman" w:eastAsia="Times New Roman" w:hAnsi="Times New Roman" w:cs="Times New Roman"/>
          <w:b/>
          <w:bCs/>
          <w:kern w:val="0"/>
          <w14:ligatures w14:val="none"/>
        </w:rPr>
        <w:t>OpenTelemetry</w:t>
      </w:r>
      <w:r w:rsidRPr="000444D1">
        <w:rPr>
          <w:rFonts w:ascii="Times New Roman" w:eastAsia="Times New Roman" w:hAnsi="Times New Roman" w:cs="Times New Roman"/>
          <w:kern w:val="0"/>
          <w14:ligatures w14:val="none"/>
        </w:rPr>
        <w:t>, con propagación automática en los enlaces síncronos. Los dos puntos que exigen tratamiento explícito son las fronteras donde la propagación automática no ocurre: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7564"/>
      </w:tblGrid>
      <w:tr w:rsidR="000444D1" w:rsidRPr="000444D1" w14:paraId="05AE8D1F" w14:textId="77777777">
        <w:trPr>
          <w:tblHeader/>
          <w:tblCellSpacing w:w="15" w:type="dxa"/>
        </w:trPr>
        <w:tc>
          <w:tcPr>
            <w:tcW w:w="0" w:type="auto"/>
            <w:vAlign w:val="center"/>
            <w:hideMark/>
          </w:tcPr>
          <w:p w14:paraId="56478CF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Frontera</w:t>
            </w:r>
          </w:p>
        </w:tc>
        <w:tc>
          <w:tcPr>
            <w:tcW w:w="0" w:type="auto"/>
            <w:vAlign w:val="center"/>
            <w:hideMark/>
          </w:tcPr>
          <w:p w14:paraId="11F8826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Tratamiento</w:t>
            </w:r>
          </w:p>
        </w:tc>
      </w:tr>
      <w:tr w:rsidR="000444D1" w:rsidRPr="000444D1" w14:paraId="064B31CE" w14:textId="77777777">
        <w:trPr>
          <w:tblCellSpacing w:w="15" w:type="dxa"/>
        </w:trPr>
        <w:tc>
          <w:tcPr>
            <w:tcW w:w="0" w:type="auto"/>
            <w:vAlign w:val="center"/>
            <w:hideMark/>
          </w:tcPr>
          <w:p w14:paraId="146895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Publicación de un evento</w:t>
            </w:r>
          </w:p>
        </w:tc>
        <w:tc>
          <w:tcPr>
            <w:tcW w:w="0" w:type="auto"/>
            <w:vAlign w:val="center"/>
            <w:hideMark/>
          </w:tcPr>
          <w:p w14:paraId="0B3B8A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publicador outbox copia el </w:t>
            </w:r>
            <w:r w:rsidRPr="000444D1">
              <w:rPr>
                <w:rFonts w:ascii="Courier New" w:eastAsia="Times New Roman" w:hAnsi="Courier New" w:cs="Courier New"/>
                <w:kern w:val="0"/>
                <w:sz w:val="20"/>
                <w:szCs w:val="20"/>
                <w14:ligatures w14:val="none"/>
              </w:rPr>
              <w:t>traceparent</w:t>
            </w:r>
            <w:r w:rsidRPr="000444D1">
              <w:rPr>
                <w:rFonts w:ascii="Times New Roman" w:eastAsia="Times New Roman" w:hAnsi="Times New Roman" w:cs="Times New Roman"/>
                <w:kern w:val="0"/>
                <w14:ligatures w14:val="none"/>
              </w:rPr>
              <w:t xml:space="preserve"> vigente al sobre del evento. La traza no termina en la publicación: continúa en el consumidor</w:t>
            </w:r>
          </w:p>
        </w:tc>
      </w:tr>
      <w:tr w:rsidR="000444D1" w:rsidRPr="000444D1" w14:paraId="3CA0BE4D" w14:textId="77777777">
        <w:trPr>
          <w:tblCellSpacing w:w="15" w:type="dxa"/>
        </w:trPr>
        <w:tc>
          <w:tcPr>
            <w:tcW w:w="0" w:type="auto"/>
            <w:vAlign w:val="center"/>
            <w:hideMark/>
          </w:tcPr>
          <w:p w14:paraId="0DC2666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Consumo de un evento</w:t>
            </w:r>
          </w:p>
        </w:tc>
        <w:tc>
          <w:tcPr>
            <w:tcW w:w="0" w:type="auto"/>
            <w:vAlign w:val="center"/>
            <w:hideMark/>
          </w:tcPr>
          <w:p w14:paraId="75E065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consumidor abre un tramo enlazado al contexto del sobre, no un tramo nuevo e inconexo. Se modela como enlace, no como continuación, porque el consumo puede ocurrir minutos después y no es un tramo hijo en sentido estricto</w:t>
            </w:r>
          </w:p>
        </w:tc>
      </w:tr>
      <w:tr w:rsidR="000444D1" w:rsidRPr="000444D1" w14:paraId="4E9FC62E" w14:textId="77777777">
        <w:trPr>
          <w:tblCellSpacing w:w="15" w:type="dxa"/>
        </w:trPr>
        <w:tc>
          <w:tcPr>
            <w:tcW w:w="0" w:type="auto"/>
            <w:vAlign w:val="center"/>
            <w:hideMark/>
          </w:tcPr>
          <w:p w14:paraId="7DB15B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Despacho diferido del outbox</w:t>
            </w:r>
          </w:p>
        </w:tc>
        <w:tc>
          <w:tcPr>
            <w:tcW w:w="0" w:type="auto"/>
            <w:vAlign w:val="center"/>
            <w:hideMark/>
          </w:tcPr>
          <w:p w14:paraId="180D3B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tramo de publicación registra la latencia entre la escritura del evento y su envío efectivo. Es la métrica que revela un despachador rezagado antes de que la proyección se desactualice de forma visible</w:t>
            </w:r>
          </w:p>
        </w:tc>
      </w:tr>
      <w:tr w:rsidR="000444D1" w:rsidRPr="000444D1" w14:paraId="72FD7C87" w14:textId="77777777">
        <w:trPr>
          <w:tblCellSpacing w:w="15" w:type="dxa"/>
        </w:trPr>
        <w:tc>
          <w:tcPr>
            <w:tcW w:w="0" w:type="auto"/>
            <w:vAlign w:val="center"/>
            <w:hideMark/>
          </w:tcPr>
          <w:p w14:paraId="6282A5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Invocación al core tradicional</w:t>
            </w:r>
          </w:p>
        </w:tc>
        <w:tc>
          <w:tcPr>
            <w:tcW w:w="0" w:type="auto"/>
            <w:vAlign w:val="center"/>
            <w:hideMark/>
          </w:tcPr>
          <w:p w14:paraId="491CDA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ACL abre un tramo que abarca la llamada y registra en él el </w:t>
            </w:r>
            <w:r w:rsidRPr="000444D1">
              <w:rPr>
                <w:rFonts w:ascii="Courier New" w:eastAsia="Times New Roman" w:hAnsi="Courier New" w:cs="Courier New"/>
                <w:kern w:val="0"/>
                <w:sz w:val="20"/>
                <w:szCs w:val="20"/>
                <w14:ligatures w14:val="none"/>
              </w:rPr>
              <w:t>referenciaCore</w:t>
            </w:r>
            <w:r w:rsidRPr="000444D1">
              <w:rPr>
                <w:rFonts w:ascii="Times New Roman" w:eastAsia="Times New Roman" w:hAnsi="Times New Roman" w:cs="Times New Roman"/>
                <w:kern w:val="0"/>
                <w14:ligatures w14:val="none"/>
              </w:rPr>
              <w:t xml:space="preserve"> devuelto. El tramo termina donde termina la instrumentación posible</w:t>
            </w:r>
          </w:p>
        </w:tc>
      </w:tr>
    </w:tbl>
    <w:p w14:paraId="019F3FE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18.4 El límite de la observabilidad: el sistema legado</w:t>
      </w:r>
    </w:p>
    <w:p w14:paraId="55635A4E"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El core tradicional no puede instrumentarse.</w:t>
      </w:r>
      <w:r w:rsidRPr="000444D1">
        <w:rPr>
          <w:rFonts w:ascii="Times New Roman" w:eastAsia="Times New Roman" w:hAnsi="Times New Roman" w:cs="Times New Roman"/>
          <w:kern w:val="0"/>
          <w14:ligatures w14:val="none"/>
        </w:rPr>
        <w:t xml:space="preserve"> No acepta cabeceras de propagación, no emite tramos y sus registros internos siguen un formato propio y un ciclo de retención ajeno al programa. Declararlo es preferible a presentar un modelo de observabilidad que implícitamente supone lo contrario.</w:t>
      </w:r>
    </w:p>
    <w:p w14:paraId="5F8C56E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Lo que el diseño sí garantiza en esa frontera: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8"/>
        <w:gridCol w:w="5852"/>
      </w:tblGrid>
      <w:tr w:rsidR="000444D1" w:rsidRPr="000444D1" w14:paraId="7985B223" w14:textId="77777777">
        <w:trPr>
          <w:tblHeader/>
          <w:tblCellSpacing w:w="15" w:type="dxa"/>
        </w:trPr>
        <w:tc>
          <w:tcPr>
            <w:tcW w:w="0" w:type="auto"/>
            <w:vAlign w:val="center"/>
            <w:hideMark/>
          </w:tcPr>
          <w:p w14:paraId="25EF995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Aspecto</w:t>
            </w:r>
          </w:p>
        </w:tc>
        <w:tc>
          <w:tcPr>
            <w:tcW w:w="0" w:type="auto"/>
            <w:vAlign w:val="center"/>
            <w:hideMark/>
          </w:tcPr>
          <w:p w14:paraId="73D97C6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Garantía</w:t>
            </w:r>
          </w:p>
        </w:tc>
      </w:tr>
      <w:tr w:rsidR="000444D1" w:rsidRPr="000444D1" w14:paraId="79DB4C56" w14:textId="77777777">
        <w:trPr>
          <w:tblCellSpacing w:w="15" w:type="dxa"/>
        </w:trPr>
        <w:tc>
          <w:tcPr>
            <w:tcW w:w="0" w:type="auto"/>
            <w:vAlign w:val="center"/>
            <w:hideMark/>
          </w:tcPr>
          <w:p w14:paraId="190FD0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y resultado de cada invocación</w:t>
            </w:r>
          </w:p>
        </w:tc>
        <w:tc>
          <w:tcPr>
            <w:tcW w:w="0" w:type="auto"/>
            <w:vAlign w:val="center"/>
            <w:hideMark/>
          </w:tcPr>
          <w:p w14:paraId="0EB2BBC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Medidos por el ACL desde fuera</w:t>
            </w:r>
          </w:p>
        </w:tc>
      </w:tr>
      <w:tr w:rsidR="000444D1" w:rsidRPr="000444D1" w14:paraId="6DAEA2C0" w14:textId="77777777">
        <w:trPr>
          <w:tblCellSpacing w:w="15" w:type="dxa"/>
        </w:trPr>
        <w:tc>
          <w:tcPr>
            <w:tcW w:w="0" w:type="auto"/>
            <w:vAlign w:val="center"/>
            <w:hideMark/>
          </w:tcPr>
          <w:p w14:paraId="6D0C672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Correlación con el registro del core</w:t>
            </w:r>
          </w:p>
        </w:tc>
        <w:tc>
          <w:tcPr>
            <w:tcW w:w="0" w:type="auto"/>
            <w:vAlign w:val="center"/>
            <w:hideMark/>
          </w:tcPr>
          <w:p w14:paraId="0FDEB4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Mediante </w:t>
            </w:r>
            <w:r w:rsidRPr="000444D1">
              <w:rPr>
                <w:rFonts w:ascii="Courier New" w:eastAsia="Times New Roman" w:hAnsi="Courier New" w:cs="Courier New"/>
                <w:kern w:val="0"/>
                <w:sz w:val="20"/>
                <w:szCs w:val="20"/>
                <w14:ligatures w14:val="none"/>
              </w:rPr>
              <w:t>referenciaCore</w:t>
            </w:r>
            <w:r w:rsidRPr="000444D1">
              <w:rPr>
                <w:rFonts w:ascii="Times New Roman" w:eastAsia="Times New Roman" w:hAnsi="Times New Roman" w:cs="Times New Roman"/>
                <w:kern w:val="0"/>
                <w14:ligatures w14:val="none"/>
              </w:rPr>
              <w:t>, capturado en el tramo y en el evento</w:t>
            </w:r>
          </w:p>
        </w:tc>
      </w:tr>
      <w:tr w:rsidR="000444D1" w:rsidRPr="000444D1" w14:paraId="7982236D" w14:textId="77777777">
        <w:trPr>
          <w:tblCellSpacing w:w="15" w:type="dxa"/>
        </w:trPr>
        <w:tc>
          <w:tcPr>
            <w:tcW w:w="0" w:type="auto"/>
            <w:vAlign w:val="center"/>
            <w:hideMark/>
          </w:tcPr>
          <w:p w14:paraId="5FA690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Visibilidad de lo que ocurre dentro del core</w:t>
            </w:r>
          </w:p>
        </w:tc>
        <w:tc>
          <w:tcPr>
            <w:tcW w:w="0" w:type="auto"/>
            <w:vAlign w:val="center"/>
            <w:hideMark/>
          </w:tcPr>
          <w:p w14:paraId="14115F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Ninguna.</w:t>
            </w:r>
            <w:r w:rsidRPr="000444D1">
              <w:rPr>
                <w:rFonts w:ascii="Times New Roman" w:eastAsia="Times New Roman" w:hAnsi="Times New Roman" w:cs="Times New Roman"/>
                <w:kern w:val="0"/>
                <w14:ligatures w14:val="none"/>
              </w:rPr>
              <w:t xml:space="preserve"> El ACL es una caja negra observada desde su exterior</w:t>
            </w:r>
          </w:p>
        </w:tc>
      </w:tr>
      <w:tr w:rsidR="000444D1" w:rsidRPr="000444D1" w14:paraId="1BA59193" w14:textId="77777777">
        <w:trPr>
          <w:tblCellSpacing w:w="15" w:type="dxa"/>
        </w:trPr>
        <w:tc>
          <w:tcPr>
            <w:tcW w:w="0" w:type="auto"/>
            <w:vAlign w:val="center"/>
            <w:hideMark/>
          </w:tcPr>
          <w:p w14:paraId="1096029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Operaciones no originadas por el ACL</w:t>
            </w:r>
          </w:p>
        </w:tc>
        <w:tc>
          <w:tcPr>
            <w:tcW w:w="0" w:type="auto"/>
            <w:vAlign w:val="center"/>
            <w:hideMark/>
          </w:tcPr>
          <w:p w14:paraId="65EEF7C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Visibles únicamente a través del CDC, con la latencia propia de la captura</w:t>
            </w:r>
          </w:p>
        </w:tc>
      </w:tr>
    </w:tbl>
    <w:p w14:paraId="39CE71E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 consecuencia operativa es que un incidente localizado dentro del core requiere la colaboración del equipo que lo opera. El diseño acota el problema —permite afirmar con precisión que la latencia se origina más allá del ACL— pero no lo resuelve, y no debe presentarse como si lo hiciera.</w:t>
      </w:r>
    </w:p>
    <w:p w14:paraId="3FF52315"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18.5 Métricas</w:t>
      </w:r>
    </w:p>
    <w:p w14:paraId="3A4FA6E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Por servicio</w:t>
      </w:r>
      <w:r w:rsidRPr="000444D1">
        <w:rPr>
          <w:rFonts w:ascii="Times New Roman" w:eastAsia="Times New Roman" w:hAnsi="Times New Roman" w:cs="Times New Roman"/>
          <w:kern w:val="0"/>
          <w14:ligatures w14:val="none"/>
        </w:rPr>
        <w:t>, tres métricas obligatorias, uniformes en todos los componentes: tasa de peticiones, proporción de errores y distribución de latencia. La uniformidad es lo que permite un tablero común y una alerta común.</w:t>
      </w:r>
    </w:p>
    <w:p w14:paraId="1CC2062B"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Por naturaleza del componente: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7191"/>
      </w:tblGrid>
      <w:tr w:rsidR="000444D1" w:rsidRPr="000444D1" w14:paraId="362391EB" w14:textId="77777777">
        <w:trPr>
          <w:tblHeader/>
          <w:tblCellSpacing w:w="15" w:type="dxa"/>
        </w:trPr>
        <w:tc>
          <w:tcPr>
            <w:tcW w:w="0" w:type="auto"/>
            <w:vAlign w:val="center"/>
            <w:hideMark/>
          </w:tcPr>
          <w:p w14:paraId="5A735FD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Componente</w:t>
            </w:r>
          </w:p>
        </w:tc>
        <w:tc>
          <w:tcPr>
            <w:tcW w:w="0" w:type="auto"/>
            <w:vAlign w:val="center"/>
            <w:hideMark/>
          </w:tcPr>
          <w:p w14:paraId="173061C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Métricas específicas</w:t>
            </w:r>
          </w:p>
        </w:tc>
      </w:tr>
      <w:tr w:rsidR="000444D1" w:rsidRPr="000444D1" w14:paraId="330CAD3F" w14:textId="77777777">
        <w:trPr>
          <w:tblCellSpacing w:w="15" w:type="dxa"/>
        </w:trPr>
        <w:tc>
          <w:tcPr>
            <w:tcW w:w="0" w:type="auto"/>
            <w:vAlign w:val="center"/>
            <w:hideMark/>
          </w:tcPr>
          <w:p w14:paraId="0DA1A5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Consumidores de eventos</w:t>
            </w:r>
          </w:p>
        </w:tc>
        <w:tc>
          <w:tcPr>
            <w:tcW w:w="0" w:type="auto"/>
            <w:vAlign w:val="center"/>
            <w:hideMark/>
          </w:tcPr>
          <w:p w14:paraId="0D5939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Retraso de consumo por partición, profundidad de la DLQ, edad del mensaje más antiguo</w:t>
            </w:r>
          </w:p>
        </w:tc>
      </w:tr>
      <w:tr w:rsidR="000444D1" w:rsidRPr="000444D1" w14:paraId="3710B8C7" w14:textId="77777777">
        <w:trPr>
          <w:tblCellSpacing w:w="15" w:type="dxa"/>
        </w:trPr>
        <w:tc>
          <w:tcPr>
            <w:tcW w:w="0" w:type="auto"/>
            <w:vAlign w:val="center"/>
            <w:hideMark/>
          </w:tcPr>
          <w:p w14:paraId="085F0F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Despachador outbox</w:t>
            </w:r>
          </w:p>
        </w:tc>
        <w:tc>
          <w:tcPr>
            <w:tcW w:w="0" w:type="auto"/>
            <w:vAlign w:val="center"/>
            <w:hideMark/>
          </w:tcPr>
          <w:p w14:paraId="41F38A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Eventos pendientes, latencia entre escritura y publicación</w:t>
            </w:r>
          </w:p>
        </w:tc>
      </w:tr>
      <w:tr w:rsidR="000444D1" w:rsidRPr="000444D1" w14:paraId="54A3A0E6" w14:textId="77777777">
        <w:trPr>
          <w:tblCellSpacing w:w="15" w:type="dxa"/>
        </w:trPr>
        <w:tc>
          <w:tcPr>
            <w:tcW w:w="0" w:type="auto"/>
            <w:vAlign w:val="center"/>
            <w:hideMark/>
          </w:tcPr>
          <w:p w14:paraId="178D88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 Órdenes de pago</w:t>
            </w:r>
          </w:p>
        </w:tc>
        <w:tc>
          <w:tcPr>
            <w:tcW w:w="0" w:type="auto"/>
            <w:vAlign w:val="center"/>
            <w:hideMark/>
          </w:tcPr>
          <w:p w14:paraId="2BC2362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Órdenes por estado, proporción en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duración de las sagas, compensaciones emitidas</w:t>
            </w:r>
          </w:p>
        </w:tc>
      </w:tr>
      <w:tr w:rsidR="000444D1" w:rsidRPr="000444D1" w14:paraId="49E231C6" w14:textId="77777777">
        <w:trPr>
          <w:tblCellSpacing w:w="15" w:type="dxa"/>
        </w:trPr>
        <w:tc>
          <w:tcPr>
            <w:tcW w:w="0" w:type="auto"/>
            <w:vAlign w:val="center"/>
            <w:hideMark/>
          </w:tcPr>
          <w:p w14:paraId="24607CA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 Evaluación de fraude</w:t>
            </w:r>
          </w:p>
        </w:tc>
        <w:tc>
          <w:tcPr>
            <w:tcW w:w="0" w:type="auto"/>
            <w:vAlign w:val="center"/>
            <w:hideMark/>
          </w:tcPr>
          <w:p w14:paraId="249A2DF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del motor, proporción de aprobaciones por degradación, tiempos de espera agotados</w:t>
            </w:r>
          </w:p>
        </w:tc>
      </w:tr>
      <w:tr w:rsidR="000444D1" w:rsidRPr="000444D1" w14:paraId="017C4F7B" w14:textId="77777777">
        <w:trPr>
          <w:tblCellSpacing w:w="15" w:type="dxa"/>
        </w:trPr>
        <w:tc>
          <w:tcPr>
            <w:tcW w:w="0" w:type="auto"/>
            <w:vAlign w:val="center"/>
            <w:hideMark/>
          </w:tcPr>
          <w:p w14:paraId="059C58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ACL y adaptador de core</w:t>
            </w:r>
          </w:p>
        </w:tc>
        <w:tc>
          <w:tcPr>
            <w:tcW w:w="0" w:type="auto"/>
            <w:vAlign w:val="center"/>
            <w:hideMark/>
          </w:tcPr>
          <w:p w14:paraId="5A0EB68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Latencia por operación, estado del cortocircuito, detección de ventana de cierre</w:t>
            </w:r>
          </w:p>
        </w:tc>
      </w:tr>
      <w:tr w:rsidR="000444D1" w:rsidRPr="000444D1" w14:paraId="1BEAFE1F" w14:textId="77777777">
        <w:trPr>
          <w:tblCellSpacing w:w="15" w:type="dxa"/>
        </w:trPr>
        <w:tc>
          <w:tcPr>
            <w:tcW w:w="0" w:type="auto"/>
            <w:vAlign w:val="center"/>
            <w:hideMark/>
          </w:tcPr>
          <w:p w14:paraId="1901C2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 Posición consolidada</w:t>
            </w:r>
          </w:p>
        </w:tc>
        <w:tc>
          <w:tcPr>
            <w:tcW w:w="0" w:type="auto"/>
            <w:vAlign w:val="center"/>
            <w:hideMark/>
          </w:tcPr>
          <w:p w14:paraId="7386F8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Antigüedad de la proyección, deriva detectada en reconciliación</w:t>
            </w:r>
          </w:p>
        </w:tc>
      </w:tr>
      <w:tr w:rsidR="000444D1" w:rsidRPr="000444D1" w14:paraId="65EB6DB7" w14:textId="77777777">
        <w:trPr>
          <w:tblCellSpacing w:w="15" w:type="dxa"/>
        </w:trPr>
        <w:tc>
          <w:tcPr>
            <w:tcW w:w="0" w:type="auto"/>
            <w:vAlign w:val="center"/>
            <w:hideMark/>
          </w:tcPr>
          <w:p w14:paraId="2123B66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Gateways</w:t>
            </w:r>
          </w:p>
        </w:tc>
        <w:tc>
          <w:tcPr>
            <w:tcW w:w="0" w:type="auto"/>
            <w:vAlign w:val="center"/>
            <w:hideMark/>
          </w:tcPr>
          <w:p w14:paraId="7219E17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Peticiones por tercero, denegaciones por consentimiento, consumo de cuota</w:t>
            </w:r>
          </w:p>
        </w:tc>
      </w:tr>
    </w:tbl>
    <w:p w14:paraId="13DCFD72"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Métricas de negocio</w:t>
      </w:r>
      <w:r w:rsidRPr="000444D1">
        <w:rPr>
          <w:rFonts w:ascii="Times New Roman" w:eastAsia="Times New Roman" w:hAnsi="Times New Roman" w:cs="Times New Roman"/>
          <w:kern w:val="0"/>
          <w14:ligatures w14:val="none"/>
        </w:rPr>
        <w:t>, que no son técnicas pero son las que revelan un incidente antes que cualquier otra señal: pagos por minuto frente a la línea base histórica, tasa de aprobación, proporción de transacciones por core.</w:t>
      </w:r>
    </w:p>
    <w:p w14:paraId="1FF3AA79"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Sobre la cardinalidad.</w:t>
      </w:r>
      <w:r w:rsidRPr="000444D1">
        <w:rPr>
          <w:rFonts w:ascii="Times New Roman" w:eastAsia="Times New Roman" w:hAnsi="Times New Roman" w:cs="Times New Roman"/>
          <w:kern w:val="0"/>
          <w14:ligatures w14:val="none"/>
        </w:rPr>
        <w:t xml:space="preserve"> Ningún identificador de cliente, cuenta u orden se usa como etiqueta de métrica. Hacerlo genera series temporales ilimitadas, degrada el sistema de métricas y, en un sistema bancario, convierte la plataforma de telemetría en un almacén de datos personales sujeto a la LOPDP. La correlación con entidades concretas es función de las trazas y de D8, no de las métricas.</w:t>
      </w:r>
    </w:p>
    <w:p w14:paraId="61DFB64D"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18.6 Registros y enmascaramiento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4"/>
        <w:gridCol w:w="4456"/>
      </w:tblGrid>
      <w:tr w:rsidR="000444D1" w:rsidRPr="000444D1" w14:paraId="4127FC4F" w14:textId="77777777">
        <w:trPr>
          <w:tblHeader/>
          <w:tblCellSpacing w:w="15" w:type="dxa"/>
        </w:trPr>
        <w:tc>
          <w:tcPr>
            <w:tcW w:w="0" w:type="auto"/>
            <w:vAlign w:val="center"/>
            <w:hideMark/>
          </w:tcPr>
          <w:p w14:paraId="5E6199B6"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Regla</w:t>
            </w:r>
          </w:p>
        </w:tc>
        <w:tc>
          <w:tcPr>
            <w:tcW w:w="0" w:type="auto"/>
            <w:vAlign w:val="center"/>
            <w:hideMark/>
          </w:tcPr>
          <w:p w14:paraId="6152D0F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Motivo</w:t>
            </w:r>
          </w:p>
        </w:tc>
      </w:tr>
      <w:tr w:rsidR="000444D1" w:rsidRPr="000444D1" w14:paraId="1BC341B9" w14:textId="77777777">
        <w:trPr>
          <w:tblCellSpacing w:w="15" w:type="dxa"/>
        </w:trPr>
        <w:tc>
          <w:tcPr>
            <w:tcW w:w="0" w:type="auto"/>
            <w:vAlign w:val="center"/>
            <w:hideMark/>
          </w:tcPr>
          <w:p w14:paraId="3607355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Formato estructurado, nunca texto libre</w:t>
            </w:r>
          </w:p>
        </w:tc>
        <w:tc>
          <w:tcPr>
            <w:tcW w:w="0" w:type="auto"/>
            <w:vAlign w:val="center"/>
            <w:hideMark/>
          </w:tcPr>
          <w:p w14:paraId="4D96583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estructura no hay consulta ni correlación fiables</w:t>
            </w:r>
          </w:p>
        </w:tc>
      </w:tr>
      <w:tr w:rsidR="000444D1" w:rsidRPr="000444D1" w14:paraId="3BF741BF" w14:textId="77777777">
        <w:trPr>
          <w:tblCellSpacing w:w="15" w:type="dxa"/>
        </w:trPr>
        <w:tc>
          <w:tcPr>
            <w:tcW w:w="0" w:type="auto"/>
            <w:vAlign w:val="center"/>
            <w:hideMark/>
          </w:tcPr>
          <w:p w14:paraId="2CBD26D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traceparent</w:t>
            </w:r>
            <w:r w:rsidRPr="000444D1">
              <w:rPr>
                <w:rFonts w:ascii="Times New Roman" w:eastAsia="Times New Roman" w:hAnsi="Times New Roman" w:cs="Times New Roman"/>
                <w:kern w:val="0"/>
                <w14:ligatures w14:val="none"/>
              </w:rPr>
              <w:t xml:space="preserve"> obligatorio en toda entrada</w:t>
            </w:r>
          </w:p>
        </w:tc>
        <w:tc>
          <w:tcPr>
            <w:tcW w:w="0" w:type="auto"/>
            <w:vAlign w:val="center"/>
            <w:hideMark/>
          </w:tcPr>
          <w:p w14:paraId="6F877DF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registro sin correlación es un dato huérfano</w:t>
            </w:r>
          </w:p>
        </w:tc>
      </w:tr>
      <w:tr w:rsidR="000444D1" w:rsidRPr="000444D1" w14:paraId="22D01AA0" w14:textId="77777777">
        <w:trPr>
          <w:tblCellSpacing w:w="15" w:type="dxa"/>
        </w:trPr>
        <w:tc>
          <w:tcPr>
            <w:tcW w:w="0" w:type="auto"/>
            <w:vAlign w:val="center"/>
            <w:hideMark/>
          </w:tcPr>
          <w:p w14:paraId="17A202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Enmascaramiento en origen, mediante biblioteca compartida (control C-10)</w:t>
            </w:r>
          </w:p>
        </w:tc>
        <w:tc>
          <w:tcPr>
            <w:tcW w:w="0" w:type="auto"/>
            <w:vAlign w:val="center"/>
            <w:hideMark/>
          </w:tcPr>
          <w:p w14:paraId="3D55E2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Confiar en el filtrado posterior significa que el dato ya salió del proceso</w:t>
            </w:r>
          </w:p>
        </w:tc>
      </w:tr>
      <w:tr w:rsidR="000444D1" w:rsidRPr="000444D1" w14:paraId="2519B2D7" w14:textId="77777777">
        <w:trPr>
          <w:tblCellSpacing w:w="15" w:type="dxa"/>
        </w:trPr>
        <w:tc>
          <w:tcPr>
            <w:tcW w:w="0" w:type="auto"/>
            <w:vAlign w:val="center"/>
            <w:hideMark/>
          </w:tcPr>
          <w:p w14:paraId="249A266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Prohibición de registrar payloads completos de operación</w:t>
            </w:r>
          </w:p>
        </w:tc>
        <w:tc>
          <w:tcPr>
            <w:tcW w:w="0" w:type="auto"/>
            <w:vAlign w:val="center"/>
            <w:hideMark/>
          </w:tcPr>
          <w:p w14:paraId="48C0BCD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Contienen datos personales y financieros</w:t>
            </w:r>
          </w:p>
        </w:tc>
      </w:tr>
      <w:tr w:rsidR="000444D1" w:rsidRPr="000444D1" w14:paraId="40461710" w14:textId="77777777">
        <w:trPr>
          <w:tblCellSpacing w:w="15" w:type="dxa"/>
        </w:trPr>
        <w:tc>
          <w:tcPr>
            <w:tcW w:w="0" w:type="auto"/>
            <w:vAlign w:val="center"/>
            <w:hideMark/>
          </w:tcPr>
          <w:p w14:paraId="65EEAC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Nivel de detalle elevable por servicio y por tiempo acotado</w:t>
            </w:r>
          </w:p>
        </w:tc>
        <w:tc>
          <w:tcPr>
            <w:tcW w:w="0" w:type="auto"/>
            <w:vAlign w:val="center"/>
            <w:hideMark/>
          </w:tcPr>
          <w:p w14:paraId="104BA0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Permite diagnosticar sin mantener verbosidad permanente</w:t>
            </w:r>
          </w:p>
        </w:tc>
      </w:tr>
    </w:tbl>
    <w:p w14:paraId="5BEF8C57"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enmascaramiento en origen es una decisión de arquitectura, no una convención de codificación: reside en una biblioteca compartida que forma parte de la plantilla de servicio del modelo de gobierno (sección 16). Un servicio que no la incorpora no supera el control de despliegue.</w:t>
      </w:r>
    </w:p>
    <w:p w14:paraId="0FE7C30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18.7 Auditoría regulatoria: reconstrucción de una operación</w:t>
      </w:r>
    </w:p>
    <w:p w14:paraId="493243E1"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 debe permitir responder, años después, a preguntas concretas. La tabla muestra qué elemento sostiene cada respuesta: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2"/>
        <w:gridCol w:w="5078"/>
      </w:tblGrid>
      <w:tr w:rsidR="000444D1" w:rsidRPr="000444D1" w14:paraId="6FF6DA7A" w14:textId="77777777">
        <w:trPr>
          <w:tblHeader/>
          <w:tblCellSpacing w:w="15" w:type="dxa"/>
        </w:trPr>
        <w:tc>
          <w:tcPr>
            <w:tcW w:w="0" w:type="auto"/>
            <w:vAlign w:val="center"/>
            <w:hideMark/>
          </w:tcPr>
          <w:p w14:paraId="2862E22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Pregunta</w:t>
            </w:r>
          </w:p>
        </w:tc>
        <w:tc>
          <w:tcPr>
            <w:tcW w:w="0" w:type="auto"/>
            <w:vAlign w:val="center"/>
            <w:hideMark/>
          </w:tcPr>
          <w:p w14:paraId="748A128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Sostenida por</w:t>
            </w:r>
          </w:p>
        </w:tc>
      </w:tr>
      <w:tr w:rsidR="000444D1" w:rsidRPr="000444D1" w14:paraId="2840C5E8" w14:textId="77777777">
        <w:trPr>
          <w:tblCellSpacing w:w="15" w:type="dxa"/>
        </w:trPr>
        <w:tc>
          <w:tcPr>
            <w:tcW w:w="0" w:type="auto"/>
            <w:vAlign w:val="center"/>
            <w:hideMark/>
          </w:tcPr>
          <w:p w14:paraId="6C28752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¿Qué ocurrió con esta transferencia?</w:t>
            </w:r>
          </w:p>
        </w:tc>
        <w:tc>
          <w:tcPr>
            <w:tcW w:w="0" w:type="auto"/>
            <w:vAlign w:val="center"/>
            <w:hideMark/>
          </w:tcPr>
          <w:p w14:paraId="672241B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Secuencia completa de eventos de la orden en D8</w:t>
            </w:r>
          </w:p>
        </w:tc>
      </w:tr>
      <w:tr w:rsidR="000444D1" w:rsidRPr="000444D1" w14:paraId="330E215E" w14:textId="77777777">
        <w:trPr>
          <w:tblCellSpacing w:w="15" w:type="dxa"/>
        </w:trPr>
        <w:tc>
          <w:tcPr>
            <w:tcW w:w="0" w:type="auto"/>
            <w:vAlign w:val="center"/>
            <w:hideMark/>
          </w:tcPr>
          <w:p w14:paraId="57F50B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¿Quién la originó y desde qué canal?</w:t>
            </w:r>
          </w:p>
        </w:tc>
        <w:tc>
          <w:tcPr>
            <w:tcW w:w="0" w:type="auto"/>
            <w:vAlign w:val="center"/>
            <w:hideMark/>
          </w:tcPr>
          <w:p w14:paraId="6EC267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Registro de acceso del gateway, enlazado por </w:t>
            </w:r>
            <w:r w:rsidRPr="000444D1">
              <w:rPr>
                <w:rFonts w:ascii="Courier New" w:eastAsia="Times New Roman" w:hAnsi="Courier New" w:cs="Courier New"/>
                <w:kern w:val="0"/>
                <w:sz w:val="20"/>
                <w:szCs w:val="20"/>
                <w14:ligatures w14:val="none"/>
              </w:rPr>
              <w:t>idCorrelacion</w:t>
            </w:r>
          </w:p>
        </w:tc>
      </w:tr>
      <w:tr w:rsidR="000444D1" w:rsidRPr="000444D1" w14:paraId="597AAE55" w14:textId="77777777">
        <w:trPr>
          <w:tblCellSpacing w:w="15" w:type="dxa"/>
        </w:trPr>
        <w:tc>
          <w:tcPr>
            <w:tcW w:w="0" w:type="auto"/>
            <w:vAlign w:val="center"/>
            <w:hideMark/>
          </w:tcPr>
          <w:p w14:paraId="4022EE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evaluó el fraude, con qué resultado y con qué versión del modelo?</w:t>
            </w:r>
          </w:p>
        </w:tc>
        <w:tc>
          <w:tcPr>
            <w:tcW w:w="0" w:type="auto"/>
            <w:vAlign w:val="center"/>
            <w:hideMark/>
          </w:tcPr>
          <w:p w14:paraId="1723F50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Campos de veredicto y versión en el evento y en el registro de la decisión</w:t>
            </w:r>
          </w:p>
        </w:tc>
      </w:tr>
      <w:tr w:rsidR="000444D1" w:rsidRPr="000444D1" w14:paraId="5CAE615B" w14:textId="77777777">
        <w:trPr>
          <w:tblCellSpacing w:w="15" w:type="dxa"/>
        </w:trPr>
        <w:tc>
          <w:tcPr>
            <w:tcW w:w="0" w:type="auto"/>
            <w:vAlign w:val="center"/>
            <w:hideMark/>
          </w:tcPr>
          <w:p w14:paraId="527EC89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 autorizó sin evaluación efectiva?</w:t>
            </w:r>
          </w:p>
        </w:tc>
        <w:tc>
          <w:tcPr>
            <w:tcW w:w="0" w:type="auto"/>
            <w:vAlign w:val="center"/>
            <w:hideMark/>
          </w:tcPr>
          <w:p w14:paraId="64E267A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Valor </w:t>
            </w:r>
            <w:r w:rsidRPr="000444D1">
              <w:rPr>
                <w:rFonts w:ascii="Courier New" w:eastAsia="Times New Roman" w:hAnsi="Courier New" w:cs="Courier New"/>
                <w:kern w:val="0"/>
                <w:sz w:val="20"/>
                <w:szCs w:val="20"/>
                <w14:ligatures w14:val="none"/>
              </w:rPr>
              <w:t>aprobado_por_degradacion</w:t>
            </w:r>
            <w:r w:rsidRPr="000444D1">
              <w:rPr>
                <w:rFonts w:ascii="Times New Roman" w:eastAsia="Times New Roman" w:hAnsi="Times New Roman" w:cs="Times New Roman"/>
                <w:kern w:val="0"/>
                <w14:ligatures w14:val="none"/>
              </w:rPr>
              <w:t xml:space="preserve"> del veredicto</w:t>
            </w:r>
          </w:p>
        </w:tc>
      </w:tr>
      <w:tr w:rsidR="000444D1" w:rsidRPr="000444D1" w14:paraId="2A2E3B7F" w14:textId="77777777">
        <w:trPr>
          <w:tblCellSpacing w:w="15" w:type="dxa"/>
        </w:trPr>
        <w:tc>
          <w:tcPr>
            <w:tcW w:w="0" w:type="auto"/>
            <w:vAlign w:val="center"/>
            <w:hideMark/>
          </w:tcPr>
          <w:p w14:paraId="28D9C0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¿Qué tercero accedió a estos datos y bajo qué consentimiento?</w:t>
            </w:r>
          </w:p>
        </w:tc>
        <w:tc>
          <w:tcPr>
            <w:tcW w:w="0" w:type="auto"/>
            <w:vAlign w:val="center"/>
            <w:hideMark/>
          </w:tcPr>
          <w:p w14:paraId="44A933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Registro de acceso del gateway externo (control C-18)</w:t>
            </w:r>
          </w:p>
        </w:tc>
      </w:tr>
      <w:tr w:rsidR="000444D1" w:rsidRPr="000444D1" w14:paraId="04876544" w14:textId="77777777">
        <w:trPr>
          <w:tblCellSpacing w:w="15" w:type="dxa"/>
        </w:trPr>
        <w:tc>
          <w:tcPr>
            <w:tcW w:w="0" w:type="auto"/>
            <w:vAlign w:val="center"/>
            <w:hideMark/>
          </w:tcPr>
          <w:p w14:paraId="4AAD3DB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¿Fue compensada, y por qué motivo?</w:t>
            </w:r>
          </w:p>
        </w:tc>
        <w:tc>
          <w:tcPr>
            <w:tcW w:w="0" w:type="auto"/>
            <w:vAlign w:val="center"/>
            <w:hideMark/>
          </w:tcPr>
          <w:p w14:paraId="732599B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Evento </w:t>
            </w:r>
            <w:r w:rsidRPr="000444D1">
              <w:rPr>
                <w:rFonts w:ascii="Courier New" w:eastAsia="Times New Roman" w:hAnsi="Courier New" w:cs="Courier New"/>
                <w:kern w:val="0"/>
                <w:sz w:val="20"/>
                <w:szCs w:val="20"/>
                <w14:ligatures w14:val="none"/>
              </w:rPr>
              <w:t>pago.compensado</w:t>
            </w:r>
            <w:r w:rsidRPr="000444D1">
              <w:rPr>
                <w:rFonts w:ascii="Times New Roman" w:eastAsia="Times New Roman" w:hAnsi="Times New Roman" w:cs="Times New Roman"/>
                <w:kern w:val="0"/>
                <w14:ligatures w14:val="none"/>
              </w:rPr>
              <w:t xml:space="preserve"> con su motivo, conservado junto al original</w:t>
            </w:r>
          </w:p>
        </w:tc>
      </w:tr>
      <w:tr w:rsidR="000444D1" w:rsidRPr="000444D1" w14:paraId="1C8A597F" w14:textId="77777777">
        <w:trPr>
          <w:tblCellSpacing w:w="15" w:type="dxa"/>
        </w:trPr>
        <w:tc>
          <w:tcPr>
            <w:tcW w:w="0" w:type="auto"/>
            <w:vAlign w:val="center"/>
            <w:hideMark/>
          </w:tcPr>
          <w:p w14:paraId="59449C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¿Cuál es el asiento correspondiente en el core?</w:t>
            </w:r>
          </w:p>
        </w:tc>
        <w:tc>
          <w:tcPr>
            <w:tcW w:w="0" w:type="auto"/>
            <w:vAlign w:val="center"/>
            <w:hideMark/>
          </w:tcPr>
          <w:p w14:paraId="382FCAF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referenciaCore</w:t>
            </w:r>
          </w:p>
        </w:tc>
      </w:tr>
    </w:tbl>
    <w:p w14:paraId="029828F8"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La propiedad que hace esto posible es que D8 no se actualiza.</w:t>
      </w:r>
      <w:r w:rsidRPr="000444D1">
        <w:rPr>
          <w:rFonts w:ascii="Times New Roman" w:eastAsia="Times New Roman" w:hAnsi="Times New Roman" w:cs="Times New Roman"/>
          <w:kern w:val="0"/>
          <w14:ligatures w14:val="none"/>
        </w:rPr>
        <w:t xml:space="preserve"> Un pago compensado conserva el evento de ejecución y el de compensación como hechos independientes. Corregir el registro original destruiría la evidencia de que la operación ocurrió, que es precisamente lo que una auditoría necesita comprobar.</w:t>
      </w:r>
    </w:p>
    <w:p w14:paraId="22685EAE"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18.8 Alertado</w:t>
      </w:r>
    </w:p>
    <w:p w14:paraId="1904EF9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El alertado se basa en </w:t>
      </w:r>
      <w:r w:rsidRPr="000444D1">
        <w:rPr>
          <w:rFonts w:ascii="Times New Roman" w:eastAsia="Times New Roman" w:hAnsi="Times New Roman" w:cs="Times New Roman"/>
          <w:b/>
          <w:bCs/>
          <w:kern w:val="0"/>
          <w14:ligatures w14:val="none"/>
        </w:rPr>
        <w:t>síntomas percibidos por el cliente</w:t>
      </w:r>
      <w:r w:rsidRPr="000444D1">
        <w:rPr>
          <w:rFonts w:ascii="Times New Roman" w:eastAsia="Times New Roman" w:hAnsi="Times New Roman" w:cs="Times New Roman"/>
          <w:kern w:val="0"/>
          <w14:ligatures w14:val="none"/>
        </w:rPr>
        <w:t>, no en causas técnicas. Una alerta por uso de procesador exige interpretación y genera ruido; una alerta por tasa de error en la originación de pagos describe un problema real.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5200"/>
        <w:gridCol w:w="2299"/>
      </w:tblGrid>
      <w:tr w:rsidR="000444D1" w:rsidRPr="000444D1" w14:paraId="6D9C37F8" w14:textId="77777777">
        <w:trPr>
          <w:tblHeader/>
          <w:tblCellSpacing w:w="15" w:type="dxa"/>
        </w:trPr>
        <w:tc>
          <w:tcPr>
            <w:tcW w:w="0" w:type="auto"/>
            <w:vAlign w:val="center"/>
            <w:hideMark/>
          </w:tcPr>
          <w:p w14:paraId="6D691F9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Nivel</w:t>
            </w:r>
          </w:p>
        </w:tc>
        <w:tc>
          <w:tcPr>
            <w:tcW w:w="0" w:type="auto"/>
            <w:vAlign w:val="center"/>
            <w:hideMark/>
          </w:tcPr>
          <w:p w14:paraId="74ECED17"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Ejemplo</w:t>
            </w:r>
          </w:p>
        </w:tc>
        <w:tc>
          <w:tcPr>
            <w:tcW w:w="0" w:type="auto"/>
            <w:vAlign w:val="center"/>
            <w:hideMark/>
          </w:tcPr>
          <w:p w14:paraId="40508F7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Respuesta</w:t>
            </w:r>
          </w:p>
        </w:tc>
      </w:tr>
      <w:tr w:rsidR="000444D1" w:rsidRPr="000444D1" w14:paraId="74029AE4" w14:textId="77777777">
        <w:trPr>
          <w:tblCellSpacing w:w="15" w:type="dxa"/>
        </w:trPr>
        <w:tc>
          <w:tcPr>
            <w:tcW w:w="0" w:type="auto"/>
            <w:vAlign w:val="center"/>
            <w:hideMark/>
          </w:tcPr>
          <w:p w14:paraId="1D1C15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Crítico — atención inmediata</w:t>
            </w:r>
          </w:p>
        </w:tc>
        <w:tc>
          <w:tcPr>
            <w:tcW w:w="0" w:type="auto"/>
            <w:vAlign w:val="center"/>
            <w:hideMark/>
          </w:tcPr>
          <w:p w14:paraId="596B61D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Tasa de error en pagos por encima del umbral; consumo acelerado del presupuesto de error; órdenes en </w:t>
            </w:r>
            <w:r w:rsidRPr="000444D1">
              <w:rPr>
                <w:rFonts w:ascii="Courier New" w:eastAsia="Times New Roman" w:hAnsi="Courier New" w:cs="Courier New"/>
                <w:kern w:val="0"/>
                <w:sz w:val="20"/>
                <w:szCs w:val="20"/>
                <w14:ligatures w14:val="none"/>
              </w:rPr>
              <w:t>en_verificacion</w:t>
            </w:r>
            <w:r w:rsidRPr="000444D1">
              <w:rPr>
                <w:rFonts w:ascii="Times New Roman" w:eastAsia="Times New Roman" w:hAnsi="Times New Roman" w:cs="Times New Roman"/>
                <w:kern w:val="0"/>
                <w14:ligatures w14:val="none"/>
              </w:rPr>
              <w:t xml:space="preserve"> creciendo</w:t>
            </w:r>
          </w:p>
        </w:tc>
        <w:tc>
          <w:tcPr>
            <w:tcW w:w="0" w:type="auto"/>
            <w:vAlign w:val="center"/>
            <w:hideMark/>
          </w:tcPr>
          <w:p w14:paraId="0794D6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Intervención inmediata</w:t>
            </w:r>
          </w:p>
        </w:tc>
      </w:tr>
      <w:tr w:rsidR="000444D1" w:rsidRPr="000444D1" w14:paraId="4AB6D005" w14:textId="77777777">
        <w:trPr>
          <w:tblCellSpacing w:w="15" w:type="dxa"/>
        </w:trPr>
        <w:tc>
          <w:tcPr>
            <w:tcW w:w="0" w:type="auto"/>
            <w:vAlign w:val="center"/>
            <w:hideMark/>
          </w:tcPr>
          <w:p w14:paraId="22FD242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Alto — atención en horario</w:t>
            </w:r>
          </w:p>
        </w:tc>
        <w:tc>
          <w:tcPr>
            <w:tcW w:w="0" w:type="auto"/>
            <w:vAlign w:val="center"/>
            <w:hideMark/>
          </w:tcPr>
          <w:p w14:paraId="6460A14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Retraso de consumo creciente; DLQ con mensajes; deriva de reconciliación por encima del umbral</w:t>
            </w:r>
          </w:p>
        </w:tc>
        <w:tc>
          <w:tcPr>
            <w:tcW w:w="0" w:type="auto"/>
            <w:vAlign w:val="center"/>
            <w:hideMark/>
          </w:tcPr>
          <w:p w14:paraId="6A188BC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Diagnóstico dentro del día hábil</w:t>
            </w:r>
          </w:p>
        </w:tc>
      </w:tr>
      <w:tr w:rsidR="000444D1" w:rsidRPr="000444D1" w14:paraId="7B7A32C1" w14:textId="77777777">
        <w:trPr>
          <w:tblCellSpacing w:w="15" w:type="dxa"/>
        </w:trPr>
        <w:tc>
          <w:tcPr>
            <w:tcW w:w="0" w:type="auto"/>
            <w:vAlign w:val="center"/>
            <w:hideMark/>
          </w:tcPr>
          <w:p w14:paraId="625726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Informativo</w:t>
            </w:r>
          </w:p>
        </w:tc>
        <w:tc>
          <w:tcPr>
            <w:tcW w:w="0" w:type="auto"/>
            <w:vAlign w:val="center"/>
            <w:hideMark/>
          </w:tcPr>
          <w:p w14:paraId="4464898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Cortocircuito abierto hacia un core; ventana de cierre detectada</w:t>
            </w:r>
          </w:p>
        </w:tc>
        <w:tc>
          <w:tcPr>
            <w:tcW w:w="0" w:type="auto"/>
            <w:vAlign w:val="center"/>
            <w:hideMark/>
          </w:tcPr>
          <w:p w14:paraId="5FFCAC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Sin intervención; contexto para el diagnóstico</w:t>
            </w:r>
          </w:p>
        </w:tc>
      </w:tr>
    </w:tbl>
    <w:p w14:paraId="19FA0D40"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Cada objetivo de nivel de servicio de la sección 15.1 tiene un presupuesto de error asociado. Su consumo acelerado es la señal que dispara la alerta, en lugar de un umbral fijo que ignora si el sistema tiene margen. El compromiso de atención de la DLQ declarado en la sección 12.8 se materializa aquí como alerta con responsable asignado por dominio.</w:t>
      </w:r>
    </w:p>
    <w:p w14:paraId="28DB22BF"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18.9 Tableros por audiencia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7336"/>
      </w:tblGrid>
      <w:tr w:rsidR="000444D1" w:rsidRPr="000444D1" w14:paraId="5D155240" w14:textId="77777777">
        <w:trPr>
          <w:tblHeader/>
          <w:tblCellSpacing w:w="15" w:type="dxa"/>
        </w:trPr>
        <w:tc>
          <w:tcPr>
            <w:tcW w:w="0" w:type="auto"/>
            <w:vAlign w:val="center"/>
            <w:hideMark/>
          </w:tcPr>
          <w:p w14:paraId="79D0D2B3"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Audiencia</w:t>
            </w:r>
          </w:p>
        </w:tc>
        <w:tc>
          <w:tcPr>
            <w:tcW w:w="0" w:type="auto"/>
            <w:vAlign w:val="center"/>
            <w:hideMark/>
          </w:tcPr>
          <w:p w14:paraId="5B300AA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Contenido</w:t>
            </w:r>
          </w:p>
        </w:tc>
      </w:tr>
      <w:tr w:rsidR="000444D1" w:rsidRPr="000444D1" w14:paraId="52BA958F" w14:textId="77777777">
        <w:trPr>
          <w:tblCellSpacing w:w="15" w:type="dxa"/>
        </w:trPr>
        <w:tc>
          <w:tcPr>
            <w:tcW w:w="0" w:type="auto"/>
            <w:vAlign w:val="center"/>
            <w:hideMark/>
          </w:tcPr>
          <w:p w14:paraId="16015A3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Operación</w:t>
            </w:r>
          </w:p>
        </w:tc>
        <w:tc>
          <w:tcPr>
            <w:tcW w:w="0" w:type="auto"/>
            <w:vAlign w:val="center"/>
            <w:hideMark/>
          </w:tcPr>
          <w:p w14:paraId="4CED9D5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Estado de los objetivos de servicio, presupuesto de error, incidentes activos, salud de dependencias externas</w:t>
            </w:r>
          </w:p>
        </w:tc>
      </w:tr>
      <w:tr w:rsidR="000444D1" w:rsidRPr="000444D1" w14:paraId="024D0379" w14:textId="77777777">
        <w:trPr>
          <w:tblCellSpacing w:w="15" w:type="dxa"/>
        </w:trPr>
        <w:tc>
          <w:tcPr>
            <w:tcW w:w="0" w:type="auto"/>
            <w:vAlign w:val="center"/>
            <w:hideMark/>
          </w:tcPr>
          <w:p w14:paraId="5B085F3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Equipo de dominio</w:t>
            </w:r>
          </w:p>
        </w:tc>
        <w:tc>
          <w:tcPr>
            <w:tcW w:w="0" w:type="auto"/>
            <w:vAlign w:val="center"/>
            <w:hideMark/>
          </w:tcPr>
          <w:p w14:paraId="6B38EF9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Métricas del propio servicio, retraso de consumo, DLQ, latencia de sus dependencias</w:t>
            </w:r>
          </w:p>
        </w:tc>
      </w:tr>
      <w:tr w:rsidR="000444D1" w:rsidRPr="000444D1" w14:paraId="0F8A5CE3" w14:textId="77777777">
        <w:trPr>
          <w:tblCellSpacing w:w="15" w:type="dxa"/>
        </w:trPr>
        <w:tc>
          <w:tcPr>
            <w:tcW w:w="0" w:type="auto"/>
            <w:vAlign w:val="center"/>
            <w:hideMark/>
          </w:tcPr>
          <w:p w14:paraId="5F8AFDA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Negocio</w:t>
            </w:r>
          </w:p>
        </w:tc>
        <w:tc>
          <w:tcPr>
            <w:tcW w:w="0" w:type="auto"/>
            <w:vAlign w:val="center"/>
            <w:hideMark/>
          </w:tcPr>
          <w:p w14:paraId="7232524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Volumen transaccional, tasa de aprobación, disponibilidad percibida por canal</w:t>
            </w:r>
          </w:p>
        </w:tc>
      </w:tr>
      <w:tr w:rsidR="000444D1" w:rsidRPr="000444D1" w14:paraId="3970A67F" w14:textId="77777777">
        <w:trPr>
          <w:tblCellSpacing w:w="15" w:type="dxa"/>
        </w:trPr>
        <w:tc>
          <w:tcPr>
            <w:tcW w:w="0" w:type="auto"/>
            <w:vAlign w:val="center"/>
            <w:hideMark/>
          </w:tcPr>
          <w:p w14:paraId="4A1A18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Programa de migración</w:t>
            </w:r>
          </w:p>
        </w:tc>
        <w:tc>
          <w:tcPr>
            <w:tcW w:w="0" w:type="auto"/>
            <w:vAlign w:val="center"/>
            <w:hideMark/>
          </w:tcPr>
          <w:p w14:paraId="663279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Los indicadores de la sección 17.6: paridad de saldos, proporción por core, deriva de reconciliación</w:t>
            </w:r>
          </w:p>
        </w:tc>
      </w:tr>
      <w:tr w:rsidR="000444D1" w:rsidRPr="000444D1" w14:paraId="5CD70326" w14:textId="77777777">
        <w:trPr>
          <w:tblCellSpacing w:w="15" w:type="dxa"/>
        </w:trPr>
        <w:tc>
          <w:tcPr>
            <w:tcW w:w="0" w:type="auto"/>
            <w:vAlign w:val="center"/>
            <w:hideMark/>
          </w:tcPr>
          <w:p w14:paraId="31B038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Cumplimiento</w:t>
            </w:r>
          </w:p>
        </w:tc>
        <w:tc>
          <w:tcPr>
            <w:tcW w:w="0" w:type="auto"/>
            <w:vAlign w:val="center"/>
            <w:hideMark/>
          </w:tcPr>
          <w:p w14:paraId="50836C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Accesos de terceros, revocaciones de consentimiento, operaciones aprobadas por degradación</w:t>
            </w:r>
          </w:p>
        </w:tc>
      </w:tr>
    </w:tbl>
    <w:p w14:paraId="3FA0C39D" w14:textId="77777777" w:rsidR="000444D1" w:rsidRPr="000444D1" w:rsidRDefault="000444D1" w:rsidP="000444D1">
      <w:pPr>
        <w:spacing w:before="100" w:beforeAutospacing="1" w:after="100" w:afterAutospacing="1"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tablero del programa de migración no es un añadido: es la instrumentación que hace posible la regla M6 de la sección 17.1, según la cual el avance lo determinan los indicadores y no el calendario. Sin esas mediciones disponibles y fiables, el criterio de salida de cada fase sería una declaración sin respaldo.</w:t>
      </w:r>
    </w:p>
    <w:p w14:paraId="157D2CB6"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7BCA5640">
          <v:rect id="Horizontal Line 548"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E291150"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19. Anexo — Glosario y nomenclatura</w:t>
      </w:r>
    </w:p>
    <w:p w14:paraId="088A2A0B"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19.1 Glosario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6903"/>
      </w:tblGrid>
      <w:tr w:rsidR="000444D1" w:rsidRPr="000444D1" w14:paraId="6E0C3E51" w14:textId="77777777">
        <w:trPr>
          <w:tblHeader/>
          <w:tblCellSpacing w:w="15" w:type="dxa"/>
        </w:trPr>
        <w:tc>
          <w:tcPr>
            <w:tcW w:w="0" w:type="auto"/>
            <w:vAlign w:val="center"/>
            <w:hideMark/>
          </w:tcPr>
          <w:p w14:paraId="377BA4C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Término</w:t>
            </w:r>
          </w:p>
        </w:tc>
        <w:tc>
          <w:tcPr>
            <w:tcW w:w="0" w:type="auto"/>
            <w:vAlign w:val="center"/>
            <w:hideMark/>
          </w:tcPr>
          <w:p w14:paraId="1D6CB298"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Significado en este documento</w:t>
            </w:r>
          </w:p>
        </w:tc>
      </w:tr>
      <w:tr w:rsidR="000444D1" w:rsidRPr="000444D1" w14:paraId="77BE286B" w14:textId="77777777">
        <w:trPr>
          <w:tblCellSpacing w:w="15" w:type="dxa"/>
        </w:trPr>
        <w:tc>
          <w:tcPr>
            <w:tcW w:w="0" w:type="auto"/>
            <w:vAlign w:val="center"/>
            <w:hideMark/>
          </w:tcPr>
          <w:p w14:paraId="66BFA61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ACL — capa anticorrupción</w:t>
            </w:r>
          </w:p>
        </w:tc>
        <w:tc>
          <w:tcPr>
            <w:tcW w:w="0" w:type="auto"/>
            <w:vAlign w:val="center"/>
            <w:hideMark/>
          </w:tcPr>
          <w:p w14:paraId="61543D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Componente que traduce entre el modelo del core tradicional y el modelo canónico interno, impidiendo que el primero contamine el diseño</w:t>
            </w:r>
          </w:p>
        </w:tc>
      </w:tr>
      <w:tr w:rsidR="000444D1" w:rsidRPr="000444D1" w14:paraId="1F08D253" w14:textId="77777777">
        <w:trPr>
          <w:tblCellSpacing w:w="15" w:type="dxa"/>
        </w:trPr>
        <w:tc>
          <w:tcPr>
            <w:tcW w:w="0" w:type="auto"/>
            <w:vAlign w:val="center"/>
            <w:hideMark/>
          </w:tcPr>
          <w:p w14:paraId="55219A3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BIAN</w:t>
            </w:r>
          </w:p>
        </w:tc>
        <w:tc>
          <w:tcPr>
            <w:tcW w:w="0" w:type="auto"/>
            <w:vAlign w:val="center"/>
            <w:hideMark/>
          </w:tcPr>
          <w:p w14:paraId="052607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Marco de referencia sectorial que descompone el negocio bancario en Service Domains con responsabilidad y frontera de datos definidas</w:t>
            </w:r>
          </w:p>
        </w:tc>
      </w:tr>
      <w:tr w:rsidR="000444D1" w:rsidRPr="000444D1" w14:paraId="493FF18D" w14:textId="77777777">
        <w:trPr>
          <w:tblCellSpacing w:w="15" w:type="dxa"/>
        </w:trPr>
        <w:tc>
          <w:tcPr>
            <w:tcW w:w="0" w:type="auto"/>
            <w:vAlign w:val="center"/>
            <w:hideMark/>
          </w:tcPr>
          <w:p w14:paraId="30798B9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BFF</w:t>
            </w:r>
          </w:p>
        </w:tc>
        <w:tc>
          <w:tcPr>
            <w:tcW w:w="0" w:type="auto"/>
            <w:vAlign w:val="center"/>
            <w:hideMark/>
          </w:tcPr>
          <w:p w14:paraId="41ED57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Fachada de composición dedicada a un canal concreto</w:t>
            </w:r>
          </w:p>
        </w:tc>
      </w:tr>
      <w:tr w:rsidR="000444D1" w:rsidRPr="000444D1" w14:paraId="6E7F39A1" w14:textId="77777777">
        <w:trPr>
          <w:tblCellSpacing w:w="15" w:type="dxa"/>
        </w:trPr>
        <w:tc>
          <w:tcPr>
            <w:tcW w:w="0" w:type="auto"/>
            <w:vAlign w:val="center"/>
            <w:hideMark/>
          </w:tcPr>
          <w:p w14:paraId="352278D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CDC — captura de cambios</w:t>
            </w:r>
          </w:p>
        </w:tc>
        <w:tc>
          <w:tcPr>
            <w:tcW w:w="0" w:type="auto"/>
            <w:vAlign w:val="center"/>
            <w:hideMark/>
          </w:tcPr>
          <w:p w14:paraId="068319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Mecanismo que detecta modificaciones en una base de datos y las publica como eventos</w:t>
            </w:r>
          </w:p>
        </w:tc>
      </w:tr>
      <w:tr w:rsidR="000444D1" w:rsidRPr="000444D1" w14:paraId="0C0B7DAF" w14:textId="77777777">
        <w:trPr>
          <w:tblCellSpacing w:w="15" w:type="dxa"/>
        </w:trPr>
        <w:tc>
          <w:tcPr>
            <w:tcW w:w="0" w:type="auto"/>
            <w:vAlign w:val="center"/>
            <w:hideMark/>
          </w:tcPr>
          <w:p w14:paraId="21D2CAC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Compensación</w:t>
            </w:r>
          </w:p>
        </w:tc>
        <w:tc>
          <w:tcPr>
            <w:tcW w:w="0" w:type="auto"/>
            <w:vAlign w:val="center"/>
            <w:hideMark/>
          </w:tcPr>
          <w:p w14:paraId="2EB90BE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Operación que revierte el efecto de negocio de un paso ya ejecutado, cuando no es posible deshacerlo transaccionalmente</w:t>
            </w:r>
          </w:p>
        </w:tc>
      </w:tr>
      <w:tr w:rsidR="000444D1" w:rsidRPr="000444D1" w14:paraId="6E1674E5" w14:textId="77777777">
        <w:trPr>
          <w:tblCellSpacing w:w="15" w:type="dxa"/>
        </w:trPr>
        <w:tc>
          <w:tcPr>
            <w:tcW w:w="0" w:type="auto"/>
            <w:vAlign w:val="center"/>
            <w:hideMark/>
          </w:tcPr>
          <w:p w14:paraId="2FE15C5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Consentimiento</w:t>
            </w:r>
          </w:p>
        </w:tc>
        <w:tc>
          <w:tcPr>
            <w:tcW w:w="0" w:type="auto"/>
            <w:vAlign w:val="center"/>
            <w:hideMark/>
          </w:tcPr>
          <w:p w14:paraId="73A0778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Autorización explícita, granular y revocable que un titular otorga a un tercero para acceder a sus datos</w:t>
            </w:r>
          </w:p>
        </w:tc>
      </w:tr>
      <w:tr w:rsidR="000444D1" w:rsidRPr="000444D1" w14:paraId="25D76905" w14:textId="77777777">
        <w:trPr>
          <w:tblCellSpacing w:w="15" w:type="dxa"/>
        </w:trPr>
        <w:tc>
          <w:tcPr>
            <w:tcW w:w="0" w:type="auto"/>
            <w:vAlign w:val="center"/>
            <w:hideMark/>
          </w:tcPr>
          <w:p w14:paraId="6E8F62F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DLQ — cola de mensajes fallidos</w:t>
            </w:r>
          </w:p>
        </w:tc>
        <w:tc>
          <w:tcPr>
            <w:tcW w:w="0" w:type="auto"/>
            <w:vAlign w:val="center"/>
            <w:hideMark/>
          </w:tcPr>
          <w:p w14:paraId="0DD455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Destino de los eventos que agotaron sus reintentos, para diagnóstico y reproceso</w:t>
            </w:r>
          </w:p>
        </w:tc>
      </w:tr>
      <w:tr w:rsidR="000444D1" w:rsidRPr="000444D1" w14:paraId="79B0AC18" w14:textId="77777777">
        <w:trPr>
          <w:tblCellSpacing w:w="15" w:type="dxa"/>
        </w:trPr>
        <w:tc>
          <w:tcPr>
            <w:tcW w:w="0" w:type="auto"/>
            <w:vAlign w:val="center"/>
            <w:hideMark/>
          </w:tcPr>
          <w:p w14:paraId="53E4A6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Entitlement</w:t>
            </w:r>
          </w:p>
        </w:tc>
        <w:tc>
          <w:tcPr>
            <w:tcW w:w="0" w:type="auto"/>
            <w:vAlign w:val="center"/>
            <w:hideMark/>
          </w:tcPr>
          <w:p w14:paraId="05D28E7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Relación que habilita a un sujeto a operar sobre un recurso concreto</w:t>
            </w:r>
          </w:p>
        </w:tc>
      </w:tr>
      <w:tr w:rsidR="000444D1" w:rsidRPr="000444D1" w14:paraId="69504BA0" w14:textId="77777777">
        <w:trPr>
          <w:tblCellSpacing w:w="15" w:type="dxa"/>
        </w:trPr>
        <w:tc>
          <w:tcPr>
            <w:tcW w:w="0" w:type="auto"/>
            <w:vAlign w:val="center"/>
            <w:hideMark/>
          </w:tcPr>
          <w:p w14:paraId="09C703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Idempotencia</w:t>
            </w:r>
          </w:p>
        </w:tc>
        <w:tc>
          <w:tcPr>
            <w:tcW w:w="0" w:type="auto"/>
            <w:vAlign w:val="center"/>
            <w:hideMark/>
          </w:tcPr>
          <w:p w14:paraId="32D9D1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Propiedad por la que repetir una operación produce el mismo resultado que ejecutarla una vez</w:t>
            </w:r>
          </w:p>
        </w:tc>
      </w:tr>
      <w:tr w:rsidR="000444D1" w:rsidRPr="000444D1" w14:paraId="1B9752C1" w14:textId="77777777">
        <w:trPr>
          <w:tblCellSpacing w:w="15" w:type="dxa"/>
        </w:trPr>
        <w:tc>
          <w:tcPr>
            <w:tcW w:w="0" w:type="auto"/>
            <w:vAlign w:val="center"/>
            <w:hideMark/>
          </w:tcPr>
          <w:p w14:paraId="48721EA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ISO 20022</w:t>
            </w:r>
          </w:p>
        </w:tc>
        <w:tc>
          <w:tcPr>
            <w:tcW w:w="0" w:type="auto"/>
            <w:vAlign w:val="center"/>
            <w:hideMark/>
          </w:tcPr>
          <w:p w14:paraId="5D0ECB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Estándar de mensajería financiera empleado en la frontera con las redes de pago</w:t>
            </w:r>
          </w:p>
        </w:tc>
      </w:tr>
      <w:tr w:rsidR="000444D1" w:rsidRPr="000444D1" w14:paraId="6E17AD13" w14:textId="77777777">
        <w:trPr>
          <w:tblCellSpacing w:w="15" w:type="dxa"/>
        </w:trPr>
        <w:tc>
          <w:tcPr>
            <w:tcW w:w="0" w:type="auto"/>
            <w:vAlign w:val="center"/>
            <w:hideMark/>
          </w:tcPr>
          <w:p w14:paraId="174E72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LOPDP</w:t>
            </w:r>
          </w:p>
        </w:tc>
        <w:tc>
          <w:tcPr>
            <w:tcW w:w="0" w:type="auto"/>
            <w:vAlign w:val="center"/>
            <w:hideMark/>
          </w:tcPr>
          <w:p w14:paraId="377A68E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Ley Orgánica de Protección de Datos Personales</w:t>
            </w:r>
          </w:p>
        </w:tc>
      </w:tr>
      <w:tr w:rsidR="000444D1" w:rsidRPr="000444D1" w14:paraId="17470219" w14:textId="77777777">
        <w:trPr>
          <w:tblCellSpacing w:w="15" w:type="dxa"/>
        </w:trPr>
        <w:tc>
          <w:tcPr>
            <w:tcW w:w="0" w:type="auto"/>
            <w:vAlign w:val="center"/>
            <w:hideMark/>
          </w:tcPr>
          <w:p w14:paraId="1D57AA7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Outbox transaccional</w:t>
            </w:r>
          </w:p>
        </w:tc>
        <w:tc>
          <w:tcPr>
            <w:tcW w:w="0" w:type="auto"/>
            <w:vAlign w:val="center"/>
            <w:hideMark/>
          </w:tcPr>
          <w:p w14:paraId="473354B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Patrón que persiste el evento en la misma transacción que el cambio de estado, garantizando que ninguno exista sin el otro</w:t>
            </w:r>
          </w:p>
        </w:tc>
      </w:tr>
      <w:tr w:rsidR="000444D1" w:rsidRPr="000444D1" w14:paraId="0593DAEB" w14:textId="77777777">
        <w:trPr>
          <w:tblCellSpacing w:w="15" w:type="dxa"/>
        </w:trPr>
        <w:tc>
          <w:tcPr>
            <w:tcW w:w="0" w:type="auto"/>
            <w:vAlign w:val="center"/>
            <w:hideMark/>
          </w:tcPr>
          <w:p w14:paraId="1A2843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Partición</w:t>
            </w:r>
          </w:p>
        </w:tc>
        <w:tc>
          <w:tcPr>
            <w:tcW w:w="0" w:type="auto"/>
            <w:vAlign w:val="center"/>
            <w:hideMark/>
          </w:tcPr>
          <w:p w14:paraId="15AC144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Subdivisión de un canal de eventos que garantiza orden entre los mensajes que comparten clave</w:t>
            </w:r>
          </w:p>
        </w:tc>
      </w:tr>
      <w:tr w:rsidR="000444D1" w:rsidRPr="000444D1" w14:paraId="26E7ACF4" w14:textId="77777777">
        <w:trPr>
          <w:tblCellSpacing w:w="15" w:type="dxa"/>
        </w:trPr>
        <w:tc>
          <w:tcPr>
            <w:tcW w:w="0" w:type="auto"/>
            <w:vAlign w:val="center"/>
            <w:hideMark/>
          </w:tcPr>
          <w:p w14:paraId="144210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Proyección</w:t>
            </w:r>
          </w:p>
        </w:tc>
        <w:tc>
          <w:tcPr>
            <w:tcW w:w="0" w:type="auto"/>
            <w:vAlign w:val="center"/>
            <w:hideMark/>
          </w:tcPr>
          <w:p w14:paraId="456DF89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Vista derivada de eventos, reconstruible, que no es fuente de verdad de ningún dato</w:t>
            </w:r>
          </w:p>
        </w:tc>
      </w:tr>
      <w:tr w:rsidR="000444D1" w:rsidRPr="000444D1" w14:paraId="03EF54E7" w14:textId="77777777">
        <w:trPr>
          <w:tblCellSpacing w:w="15" w:type="dxa"/>
        </w:trPr>
        <w:tc>
          <w:tcPr>
            <w:tcW w:w="0" w:type="auto"/>
            <w:vAlign w:val="center"/>
            <w:hideMark/>
          </w:tcPr>
          <w:p w14:paraId="20E2C12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Puerto canónico</w:t>
            </w:r>
          </w:p>
        </w:tc>
        <w:tc>
          <w:tcPr>
            <w:tcW w:w="0" w:type="auto"/>
            <w:vAlign w:val="center"/>
            <w:hideMark/>
          </w:tcPr>
          <w:p w14:paraId="36194EC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 definido por la capa de aplicación en términos de su propio dominio, implementado por adaptadores de infraestructura</w:t>
            </w:r>
          </w:p>
        </w:tc>
      </w:tr>
      <w:tr w:rsidR="000444D1" w:rsidRPr="000444D1" w14:paraId="7C598177" w14:textId="77777777">
        <w:trPr>
          <w:tblCellSpacing w:w="15" w:type="dxa"/>
        </w:trPr>
        <w:tc>
          <w:tcPr>
            <w:tcW w:w="0" w:type="auto"/>
            <w:vAlign w:val="center"/>
            <w:hideMark/>
          </w:tcPr>
          <w:p w14:paraId="0F98CF0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Reconciliación</w:t>
            </w:r>
          </w:p>
        </w:tc>
        <w:tc>
          <w:tcPr>
            <w:tcW w:w="0" w:type="auto"/>
            <w:vAlign w:val="center"/>
            <w:hideMark/>
          </w:tcPr>
          <w:p w14:paraId="744B005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Proceso que compara el estado registrado con el estado real de los cores y resuelve las diferencias</w:t>
            </w:r>
          </w:p>
        </w:tc>
      </w:tr>
      <w:tr w:rsidR="000444D1" w:rsidRPr="000444D1" w14:paraId="30445855" w14:textId="77777777">
        <w:trPr>
          <w:tblCellSpacing w:w="15" w:type="dxa"/>
        </w:trPr>
        <w:tc>
          <w:tcPr>
            <w:tcW w:w="0" w:type="auto"/>
            <w:vAlign w:val="center"/>
            <w:hideMark/>
          </w:tcPr>
          <w:p w14:paraId="10C8AD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Saga</w:t>
            </w:r>
          </w:p>
        </w:tc>
        <w:tc>
          <w:tcPr>
            <w:tcW w:w="0" w:type="auto"/>
            <w:vAlign w:val="center"/>
            <w:hideMark/>
          </w:tcPr>
          <w:p w14:paraId="7DAEA6D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Secuencia de operaciones locales con compensaciones explícitas, empleada donde no es viable una transacción distribuida</w:t>
            </w:r>
          </w:p>
        </w:tc>
      </w:tr>
      <w:tr w:rsidR="000444D1" w:rsidRPr="000444D1" w14:paraId="0C1BBB80" w14:textId="77777777">
        <w:trPr>
          <w:tblCellSpacing w:w="15" w:type="dxa"/>
        </w:trPr>
        <w:tc>
          <w:tcPr>
            <w:tcW w:w="0" w:type="auto"/>
            <w:vAlign w:val="center"/>
            <w:hideMark/>
          </w:tcPr>
          <w:p w14:paraId="48FD8BD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t>System of Record (SoR)</w:t>
            </w:r>
          </w:p>
        </w:tc>
        <w:tc>
          <w:tcPr>
            <w:tcW w:w="0" w:type="auto"/>
            <w:vAlign w:val="center"/>
            <w:hideMark/>
          </w:tcPr>
          <w:p w14:paraId="41EBBF6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Sistema propietario de una entidad y única fuente de verdad sobre ella</w:t>
            </w:r>
          </w:p>
        </w:tc>
      </w:tr>
      <w:tr w:rsidR="000444D1" w:rsidRPr="000444D1" w14:paraId="1ECA46E8" w14:textId="77777777">
        <w:trPr>
          <w:tblCellSpacing w:w="15" w:type="dxa"/>
        </w:trPr>
        <w:tc>
          <w:tcPr>
            <w:tcW w:w="0" w:type="auto"/>
            <w:vAlign w:val="center"/>
            <w:hideMark/>
          </w:tcPr>
          <w:p w14:paraId="1EF4DD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b/>
                <w:bCs/>
                <w:kern w:val="0"/>
                <w14:ligatures w14:val="none"/>
              </w:rPr>
              <w:lastRenderedPageBreak/>
              <w:t>TPP</w:t>
            </w:r>
          </w:p>
        </w:tc>
        <w:tc>
          <w:tcPr>
            <w:tcW w:w="0" w:type="auto"/>
            <w:vAlign w:val="center"/>
            <w:hideMark/>
          </w:tcPr>
          <w:p w14:paraId="32E1E2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Tercero proveedor de servicios que consume las APIs de Open Finance</w:t>
            </w:r>
          </w:p>
        </w:tc>
      </w:tr>
    </w:tbl>
    <w:p w14:paraId="510EF258"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19.2 Convenciones de nomenclatura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4619"/>
        <w:gridCol w:w="2596"/>
      </w:tblGrid>
      <w:tr w:rsidR="000444D1" w:rsidRPr="000444D1" w14:paraId="6EBC4612" w14:textId="77777777">
        <w:trPr>
          <w:tblHeader/>
          <w:tblCellSpacing w:w="15" w:type="dxa"/>
        </w:trPr>
        <w:tc>
          <w:tcPr>
            <w:tcW w:w="0" w:type="auto"/>
            <w:vAlign w:val="center"/>
            <w:hideMark/>
          </w:tcPr>
          <w:p w14:paraId="4573FF6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Elemento</w:t>
            </w:r>
          </w:p>
        </w:tc>
        <w:tc>
          <w:tcPr>
            <w:tcW w:w="0" w:type="auto"/>
            <w:vAlign w:val="center"/>
            <w:hideMark/>
          </w:tcPr>
          <w:p w14:paraId="0E1AA9D4"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Convención</w:t>
            </w:r>
          </w:p>
        </w:tc>
        <w:tc>
          <w:tcPr>
            <w:tcW w:w="0" w:type="auto"/>
            <w:vAlign w:val="center"/>
            <w:hideMark/>
          </w:tcPr>
          <w:p w14:paraId="2FF1EA75"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Ejemplo</w:t>
            </w:r>
          </w:p>
        </w:tc>
      </w:tr>
      <w:tr w:rsidR="000444D1" w:rsidRPr="000444D1" w14:paraId="55ADC177" w14:textId="77777777">
        <w:trPr>
          <w:tblCellSpacing w:w="15" w:type="dxa"/>
        </w:trPr>
        <w:tc>
          <w:tcPr>
            <w:tcW w:w="0" w:type="auto"/>
            <w:vAlign w:val="center"/>
            <w:hideMark/>
          </w:tcPr>
          <w:p w14:paraId="47D909E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Servicio de dominio</w:t>
            </w:r>
          </w:p>
        </w:tc>
        <w:tc>
          <w:tcPr>
            <w:tcW w:w="0" w:type="auto"/>
            <w:vAlign w:val="center"/>
            <w:hideMark/>
          </w:tcPr>
          <w:p w14:paraId="6C5D322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Sustantivo del dominio, alineado al Service Domain BIAN</w:t>
            </w:r>
          </w:p>
        </w:tc>
        <w:tc>
          <w:tcPr>
            <w:tcW w:w="0" w:type="auto"/>
            <w:vAlign w:val="center"/>
            <w:hideMark/>
          </w:tcPr>
          <w:p w14:paraId="4E595F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Órdenes de pago</w:t>
            </w:r>
          </w:p>
        </w:tc>
      </w:tr>
      <w:tr w:rsidR="000444D1" w:rsidRPr="000444D1" w14:paraId="1F2D7973" w14:textId="77777777">
        <w:trPr>
          <w:tblCellSpacing w:w="15" w:type="dxa"/>
        </w:trPr>
        <w:tc>
          <w:tcPr>
            <w:tcW w:w="0" w:type="auto"/>
            <w:vAlign w:val="center"/>
            <w:hideMark/>
          </w:tcPr>
          <w:p w14:paraId="05E3E44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Recurso de API</w:t>
            </w:r>
          </w:p>
        </w:tc>
        <w:tc>
          <w:tcPr>
            <w:tcW w:w="0" w:type="auto"/>
            <w:vAlign w:val="center"/>
            <w:hideMark/>
          </w:tcPr>
          <w:p w14:paraId="12B916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Plural, en español</w:t>
            </w:r>
          </w:p>
        </w:tc>
        <w:tc>
          <w:tcPr>
            <w:tcW w:w="0" w:type="auto"/>
            <w:vAlign w:val="center"/>
            <w:hideMark/>
          </w:tcPr>
          <w:p w14:paraId="619EAB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/v1/ordenes-pago</w:t>
            </w:r>
          </w:p>
        </w:tc>
      </w:tr>
      <w:tr w:rsidR="000444D1" w:rsidRPr="000444D1" w14:paraId="4160A70C" w14:textId="77777777">
        <w:trPr>
          <w:tblCellSpacing w:w="15" w:type="dxa"/>
        </w:trPr>
        <w:tc>
          <w:tcPr>
            <w:tcW w:w="0" w:type="auto"/>
            <w:vAlign w:val="center"/>
            <w:hideMark/>
          </w:tcPr>
          <w:p w14:paraId="2E98E39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Versión de API</w:t>
            </w:r>
          </w:p>
        </w:tc>
        <w:tc>
          <w:tcPr>
            <w:tcW w:w="0" w:type="auto"/>
            <w:vAlign w:val="center"/>
            <w:hideMark/>
          </w:tcPr>
          <w:p w14:paraId="3A5F84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Versión mayor en la ruta</w:t>
            </w:r>
          </w:p>
        </w:tc>
        <w:tc>
          <w:tcPr>
            <w:tcW w:w="0" w:type="auto"/>
            <w:vAlign w:val="center"/>
            <w:hideMark/>
          </w:tcPr>
          <w:p w14:paraId="7D6907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/v1/</w:t>
            </w:r>
            <w:r w:rsidRPr="000444D1">
              <w:rPr>
                <w:rFonts w:ascii="Times New Roman" w:eastAsia="Times New Roman" w:hAnsi="Times New Roman" w:cs="Times New Roman"/>
                <w:kern w:val="0"/>
                <w14:ligatures w14:val="none"/>
              </w:rPr>
              <w:t xml:space="preserve">, </w:t>
            </w:r>
            <w:r w:rsidRPr="000444D1">
              <w:rPr>
                <w:rFonts w:ascii="Courier New" w:eastAsia="Times New Roman" w:hAnsi="Courier New" w:cs="Courier New"/>
                <w:kern w:val="0"/>
                <w:sz w:val="20"/>
                <w:szCs w:val="20"/>
                <w14:ligatures w14:val="none"/>
              </w:rPr>
              <w:t>/v2/</w:t>
            </w:r>
          </w:p>
        </w:tc>
      </w:tr>
      <w:tr w:rsidR="000444D1" w:rsidRPr="000444D1" w14:paraId="442A31A2" w14:textId="77777777">
        <w:trPr>
          <w:tblCellSpacing w:w="15" w:type="dxa"/>
        </w:trPr>
        <w:tc>
          <w:tcPr>
            <w:tcW w:w="0" w:type="auto"/>
            <w:vAlign w:val="center"/>
            <w:hideMark/>
          </w:tcPr>
          <w:p w14:paraId="33F53C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Tipo de evento</w:t>
            </w:r>
          </w:p>
        </w:tc>
        <w:tc>
          <w:tcPr>
            <w:tcW w:w="0" w:type="auto"/>
            <w:vAlign w:val="center"/>
            <w:hideMark/>
          </w:tcPr>
          <w:p w14:paraId="621F86E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entidad.hecho-en-pasado</w:t>
            </w:r>
            <w:r w:rsidRPr="000444D1">
              <w:rPr>
                <w:rFonts w:ascii="Times New Roman" w:eastAsia="Times New Roman" w:hAnsi="Times New Roman" w:cs="Times New Roman"/>
                <w:kern w:val="0"/>
                <w14:ligatures w14:val="none"/>
              </w:rPr>
              <w:t>, en minúsculas</w:t>
            </w:r>
          </w:p>
        </w:tc>
        <w:tc>
          <w:tcPr>
            <w:tcW w:w="0" w:type="auto"/>
            <w:vAlign w:val="center"/>
            <w:hideMark/>
          </w:tcPr>
          <w:p w14:paraId="6E86CB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pago.ejecutado</w:t>
            </w:r>
          </w:p>
        </w:tc>
      </w:tr>
      <w:tr w:rsidR="000444D1" w:rsidRPr="000444D1" w14:paraId="28B824D1" w14:textId="77777777">
        <w:trPr>
          <w:tblCellSpacing w:w="15" w:type="dxa"/>
        </w:trPr>
        <w:tc>
          <w:tcPr>
            <w:tcW w:w="0" w:type="auto"/>
            <w:vAlign w:val="center"/>
            <w:hideMark/>
          </w:tcPr>
          <w:p w14:paraId="21BEEC7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Estado de agregado</w:t>
            </w:r>
          </w:p>
        </w:tc>
        <w:tc>
          <w:tcPr>
            <w:tcW w:w="0" w:type="auto"/>
            <w:vAlign w:val="center"/>
            <w:hideMark/>
          </w:tcPr>
          <w:p w14:paraId="3483730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Minúsculas, sin tildes, separado por guion bajo</w:t>
            </w:r>
          </w:p>
        </w:tc>
        <w:tc>
          <w:tcPr>
            <w:tcW w:w="0" w:type="auto"/>
            <w:vAlign w:val="center"/>
            <w:hideMark/>
          </w:tcPr>
          <w:p w14:paraId="31E13B9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en_verificacion</w:t>
            </w:r>
          </w:p>
        </w:tc>
      </w:tr>
      <w:tr w:rsidR="000444D1" w:rsidRPr="000444D1" w14:paraId="0A787D29" w14:textId="77777777">
        <w:trPr>
          <w:tblCellSpacing w:w="15" w:type="dxa"/>
        </w:trPr>
        <w:tc>
          <w:tcPr>
            <w:tcW w:w="0" w:type="auto"/>
            <w:vAlign w:val="center"/>
            <w:hideMark/>
          </w:tcPr>
          <w:p w14:paraId="3B691D4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Puerto</w:t>
            </w:r>
          </w:p>
        </w:tc>
        <w:tc>
          <w:tcPr>
            <w:tcW w:w="0" w:type="auto"/>
            <w:vAlign w:val="center"/>
            <w:hideMark/>
          </w:tcPr>
          <w:p w14:paraId="4A95CF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 xml:space="preserve">Prefijo </w:t>
            </w:r>
            <w:r w:rsidRPr="000444D1">
              <w:rPr>
                <w:rFonts w:ascii="Courier New" w:eastAsia="Times New Roman" w:hAnsi="Courier New" w:cs="Courier New"/>
                <w:kern w:val="0"/>
                <w:sz w:val="20"/>
                <w:szCs w:val="20"/>
                <w14:ligatures w14:val="none"/>
              </w:rPr>
              <w:t>I</w:t>
            </w:r>
            <w:r w:rsidRPr="000444D1">
              <w:rPr>
                <w:rFonts w:ascii="Times New Roman" w:eastAsia="Times New Roman" w:hAnsi="Times New Roman" w:cs="Times New Roman"/>
                <w:kern w:val="0"/>
                <w14:ligatures w14:val="none"/>
              </w:rPr>
              <w:t xml:space="preserve">, sufijo </w:t>
            </w:r>
            <w:r w:rsidRPr="000444D1">
              <w:rPr>
                <w:rFonts w:ascii="Courier New" w:eastAsia="Times New Roman" w:hAnsi="Courier New" w:cs="Courier New"/>
                <w:kern w:val="0"/>
                <w:sz w:val="20"/>
                <w:szCs w:val="20"/>
                <w14:ligatures w14:val="none"/>
              </w:rPr>
              <w:t>Port</w:t>
            </w:r>
            <w:r w:rsidRPr="000444D1">
              <w:rPr>
                <w:rFonts w:ascii="Times New Roman" w:eastAsia="Times New Roman" w:hAnsi="Times New Roman" w:cs="Times New Roman"/>
                <w:kern w:val="0"/>
                <w14:ligatures w14:val="none"/>
              </w:rPr>
              <w:t>, en inglés por convención de código</w:t>
            </w:r>
          </w:p>
        </w:tc>
        <w:tc>
          <w:tcPr>
            <w:tcW w:w="0" w:type="auto"/>
            <w:vAlign w:val="center"/>
            <w:hideMark/>
          </w:tcPr>
          <w:p w14:paraId="70410C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IPaymentExecutionPort</w:t>
            </w:r>
          </w:p>
        </w:tc>
      </w:tr>
      <w:tr w:rsidR="000444D1" w:rsidRPr="000444D1" w14:paraId="1A152BDC" w14:textId="77777777">
        <w:trPr>
          <w:tblCellSpacing w:w="15" w:type="dxa"/>
        </w:trPr>
        <w:tc>
          <w:tcPr>
            <w:tcW w:w="0" w:type="auto"/>
            <w:vAlign w:val="center"/>
            <w:hideMark/>
          </w:tcPr>
          <w:p w14:paraId="4B663BF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Identificador de decisión</w:t>
            </w:r>
          </w:p>
        </w:tc>
        <w:tc>
          <w:tcPr>
            <w:tcW w:w="0" w:type="auto"/>
            <w:vAlign w:val="center"/>
            <w:hideMark/>
          </w:tcPr>
          <w:p w14:paraId="2C17B47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ADR-</w:t>
            </w:r>
            <w:r w:rsidRPr="000444D1">
              <w:rPr>
                <w:rFonts w:ascii="Times New Roman" w:eastAsia="Times New Roman" w:hAnsi="Times New Roman" w:cs="Times New Roman"/>
                <w:kern w:val="0"/>
                <w14:ligatures w14:val="none"/>
              </w:rPr>
              <w:t xml:space="preserve"> con tres dígitos</w:t>
            </w:r>
          </w:p>
        </w:tc>
        <w:tc>
          <w:tcPr>
            <w:tcW w:w="0" w:type="auto"/>
            <w:vAlign w:val="center"/>
            <w:hideMark/>
          </w:tcPr>
          <w:p w14:paraId="24743B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ADR-004</w:t>
            </w:r>
          </w:p>
        </w:tc>
      </w:tr>
      <w:tr w:rsidR="000444D1" w:rsidRPr="000444D1" w14:paraId="619738CF" w14:textId="77777777">
        <w:trPr>
          <w:tblCellSpacing w:w="15" w:type="dxa"/>
        </w:trPr>
        <w:tc>
          <w:tcPr>
            <w:tcW w:w="0" w:type="auto"/>
            <w:vAlign w:val="center"/>
            <w:hideMark/>
          </w:tcPr>
          <w:p w14:paraId="394053B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Identificador de control</w:t>
            </w:r>
          </w:p>
        </w:tc>
        <w:tc>
          <w:tcPr>
            <w:tcW w:w="0" w:type="auto"/>
            <w:vAlign w:val="center"/>
            <w:hideMark/>
          </w:tcPr>
          <w:p w14:paraId="73D76CB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Courier New" w:eastAsia="Times New Roman" w:hAnsi="Courier New" w:cs="Courier New"/>
                <w:kern w:val="0"/>
                <w:sz w:val="20"/>
                <w:szCs w:val="20"/>
                <w14:ligatures w14:val="none"/>
              </w:rPr>
              <w:t>C-</w:t>
            </w:r>
            <w:r w:rsidRPr="000444D1">
              <w:rPr>
                <w:rFonts w:ascii="Times New Roman" w:eastAsia="Times New Roman" w:hAnsi="Times New Roman" w:cs="Times New Roman"/>
                <w:kern w:val="0"/>
                <w14:ligatures w14:val="none"/>
              </w:rPr>
              <w:t xml:space="preserve"> con dos dígitos</w:t>
            </w:r>
          </w:p>
        </w:tc>
        <w:tc>
          <w:tcPr>
            <w:tcW w:w="0" w:type="auto"/>
            <w:vAlign w:val="center"/>
            <w:hideMark/>
          </w:tcPr>
          <w:p w14:paraId="2A718F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C-17</w:t>
            </w:r>
          </w:p>
        </w:tc>
      </w:tr>
    </w:tbl>
    <w:p w14:paraId="016B479A"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19.3 Índice de dominios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966"/>
        <w:gridCol w:w="1140"/>
        <w:gridCol w:w="915"/>
      </w:tblGrid>
      <w:tr w:rsidR="000444D1" w:rsidRPr="000444D1" w14:paraId="7C5581D6" w14:textId="77777777">
        <w:trPr>
          <w:tblHeader/>
          <w:tblCellSpacing w:w="15" w:type="dxa"/>
        </w:trPr>
        <w:tc>
          <w:tcPr>
            <w:tcW w:w="0" w:type="auto"/>
            <w:vAlign w:val="center"/>
            <w:hideMark/>
          </w:tcPr>
          <w:p w14:paraId="0BA68FBA"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Id</w:t>
            </w:r>
          </w:p>
        </w:tc>
        <w:tc>
          <w:tcPr>
            <w:tcW w:w="0" w:type="auto"/>
            <w:vAlign w:val="center"/>
            <w:hideMark/>
          </w:tcPr>
          <w:p w14:paraId="0FE48F91"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Dominio</w:t>
            </w:r>
          </w:p>
        </w:tc>
        <w:tc>
          <w:tcPr>
            <w:tcW w:w="0" w:type="auto"/>
            <w:vAlign w:val="center"/>
            <w:hideMark/>
          </w:tcPr>
          <w:p w14:paraId="4E64671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Tipo</w:t>
            </w:r>
          </w:p>
        </w:tc>
        <w:tc>
          <w:tcPr>
            <w:tcW w:w="0" w:type="auto"/>
            <w:vAlign w:val="center"/>
            <w:hideMark/>
          </w:tcPr>
          <w:p w14:paraId="7CD46C8E"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Sección</w:t>
            </w:r>
          </w:p>
        </w:tc>
      </w:tr>
      <w:tr w:rsidR="000444D1" w:rsidRPr="000444D1" w14:paraId="406C14E8" w14:textId="77777777">
        <w:trPr>
          <w:tblCellSpacing w:w="15" w:type="dxa"/>
        </w:trPr>
        <w:tc>
          <w:tcPr>
            <w:tcW w:w="0" w:type="auto"/>
            <w:vAlign w:val="center"/>
            <w:hideMark/>
          </w:tcPr>
          <w:p w14:paraId="7762F1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D1</w:t>
            </w:r>
          </w:p>
        </w:tc>
        <w:tc>
          <w:tcPr>
            <w:tcW w:w="0" w:type="auto"/>
            <w:vAlign w:val="center"/>
            <w:hideMark/>
          </w:tcPr>
          <w:p w14:paraId="29D7474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Datos maestros de cliente</w:t>
            </w:r>
          </w:p>
        </w:tc>
        <w:tc>
          <w:tcPr>
            <w:tcW w:w="0" w:type="auto"/>
            <w:vAlign w:val="center"/>
            <w:hideMark/>
          </w:tcPr>
          <w:p w14:paraId="42D5C31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Mediación</w:t>
            </w:r>
          </w:p>
        </w:tc>
        <w:tc>
          <w:tcPr>
            <w:tcW w:w="0" w:type="auto"/>
            <w:vAlign w:val="center"/>
            <w:hideMark/>
          </w:tcPr>
          <w:p w14:paraId="1DAAE6F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r w:rsidR="000444D1" w:rsidRPr="000444D1" w14:paraId="39D06BBA" w14:textId="77777777">
        <w:trPr>
          <w:tblCellSpacing w:w="15" w:type="dxa"/>
        </w:trPr>
        <w:tc>
          <w:tcPr>
            <w:tcW w:w="0" w:type="auto"/>
            <w:vAlign w:val="center"/>
            <w:hideMark/>
          </w:tcPr>
          <w:p w14:paraId="0D6AED7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D2</w:t>
            </w:r>
          </w:p>
        </w:tc>
        <w:tc>
          <w:tcPr>
            <w:tcW w:w="0" w:type="auto"/>
            <w:vAlign w:val="center"/>
            <w:hideMark/>
          </w:tcPr>
          <w:p w14:paraId="5A239D6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Catálogo de productos</w:t>
            </w:r>
          </w:p>
        </w:tc>
        <w:tc>
          <w:tcPr>
            <w:tcW w:w="0" w:type="auto"/>
            <w:vAlign w:val="center"/>
            <w:hideMark/>
          </w:tcPr>
          <w:p w14:paraId="235A6FB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5F7C2CD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r w:rsidR="000444D1" w:rsidRPr="000444D1" w14:paraId="0DCBC19A" w14:textId="77777777">
        <w:trPr>
          <w:tblCellSpacing w:w="15" w:type="dxa"/>
        </w:trPr>
        <w:tc>
          <w:tcPr>
            <w:tcW w:w="0" w:type="auto"/>
            <w:vAlign w:val="center"/>
            <w:hideMark/>
          </w:tcPr>
          <w:p w14:paraId="0BC186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D3</w:t>
            </w:r>
          </w:p>
        </w:tc>
        <w:tc>
          <w:tcPr>
            <w:tcW w:w="0" w:type="auto"/>
            <w:vAlign w:val="center"/>
            <w:hideMark/>
          </w:tcPr>
          <w:p w14:paraId="1A54A49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Posición consolidada</w:t>
            </w:r>
          </w:p>
        </w:tc>
        <w:tc>
          <w:tcPr>
            <w:tcW w:w="0" w:type="auto"/>
            <w:vAlign w:val="center"/>
            <w:hideMark/>
          </w:tcPr>
          <w:p w14:paraId="3C3B4A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Proyección</w:t>
            </w:r>
          </w:p>
        </w:tc>
        <w:tc>
          <w:tcPr>
            <w:tcW w:w="0" w:type="auto"/>
            <w:vAlign w:val="center"/>
            <w:hideMark/>
          </w:tcPr>
          <w:p w14:paraId="499FAD6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5.2, 11.5</w:t>
            </w:r>
          </w:p>
        </w:tc>
      </w:tr>
      <w:tr w:rsidR="000444D1" w:rsidRPr="000444D1" w14:paraId="440EFECC" w14:textId="77777777">
        <w:trPr>
          <w:tblCellSpacing w:w="15" w:type="dxa"/>
        </w:trPr>
        <w:tc>
          <w:tcPr>
            <w:tcW w:w="0" w:type="auto"/>
            <w:vAlign w:val="center"/>
            <w:hideMark/>
          </w:tcPr>
          <w:p w14:paraId="5CCEF67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D4</w:t>
            </w:r>
          </w:p>
        </w:tc>
        <w:tc>
          <w:tcPr>
            <w:tcW w:w="0" w:type="auto"/>
            <w:vAlign w:val="center"/>
            <w:hideMark/>
          </w:tcPr>
          <w:p w14:paraId="0AD295B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Órdenes de pago</w:t>
            </w:r>
          </w:p>
        </w:tc>
        <w:tc>
          <w:tcPr>
            <w:tcW w:w="0" w:type="auto"/>
            <w:vAlign w:val="center"/>
            <w:hideMark/>
          </w:tcPr>
          <w:p w14:paraId="4BC7515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3887929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5.2, 8.1</w:t>
            </w:r>
          </w:p>
        </w:tc>
      </w:tr>
      <w:tr w:rsidR="000444D1" w:rsidRPr="000444D1" w14:paraId="46565BEE" w14:textId="77777777">
        <w:trPr>
          <w:tblCellSpacing w:w="15" w:type="dxa"/>
        </w:trPr>
        <w:tc>
          <w:tcPr>
            <w:tcW w:w="0" w:type="auto"/>
            <w:vAlign w:val="center"/>
            <w:hideMark/>
          </w:tcPr>
          <w:p w14:paraId="0E51B97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D5</w:t>
            </w:r>
          </w:p>
        </w:tc>
        <w:tc>
          <w:tcPr>
            <w:tcW w:w="0" w:type="auto"/>
            <w:vAlign w:val="center"/>
            <w:hideMark/>
          </w:tcPr>
          <w:p w14:paraId="7043FC0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de fraude</w:t>
            </w:r>
          </w:p>
        </w:tc>
        <w:tc>
          <w:tcPr>
            <w:tcW w:w="0" w:type="auto"/>
            <w:vAlign w:val="center"/>
            <w:hideMark/>
          </w:tcPr>
          <w:p w14:paraId="7B2808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Mediación</w:t>
            </w:r>
          </w:p>
        </w:tc>
        <w:tc>
          <w:tcPr>
            <w:tcW w:w="0" w:type="auto"/>
            <w:vAlign w:val="center"/>
            <w:hideMark/>
          </w:tcPr>
          <w:p w14:paraId="49E3E1B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r w:rsidR="000444D1" w:rsidRPr="000444D1" w14:paraId="17F8CCD3" w14:textId="77777777">
        <w:trPr>
          <w:tblCellSpacing w:w="15" w:type="dxa"/>
        </w:trPr>
        <w:tc>
          <w:tcPr>
            <w:tcW w:w="0" w:type="auto"/>
            <w:vAlign w:val="center"/>
            <w:hideMark/>
          </w:tcPr>
          <w:p w14:paraId="7A1193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D6</w:t>
            </w:r>
          </w:p>
        </w:tc>
        <w:tc>
          <w:tcPr>
            <w:tcW w:w="0" w:type="auto"/>
            <w:vAlign w:val="center"/>
            <w:hideMark/>
          </w:tcPr>
          <w:p w14:paraId="0F4FA28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Evaluación de riesgo</w:t>
            </w:r>
          </w:p>
        </w:tc>
        <w:tc>
          <w:tcPr>
            <w:tcW w:w="0" w:type="auto"/>
            <w:vAlign w:val="center"/>
            <w:hideMark/>
          </w:tcPr>
          <w:p w14:paraId="7D1A77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Mediación</w:t>
            </w:r>
          </w:p>
        </w:tc>
        <w:tc>
          <w:tcPr>
            <w:tcW w:w="0" w:type="auto"/>
            <w:vAlign w:val="center"/>
            <w:hideMark/>
          </w:tcPr>
          <w:p w14:paraId="7B5F742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r w:rsidR="000444D1" w:rsidRPr="000444D1" w14:paraId="20C44A0B" w14:textId="77777777">
        <w:trPr>
          <w:tblCellSpacing w:w="15" w:type="dxa"/>
        </w:trPr>
        <w:tc>
          <w:tcPr>
            <w:tcW w:w="0" w:type="auto"/>
            <w:vAlign w:val="center"/>
            <w:hideMark/>
          </w:tcPr>
          <w:p w14:paraId="3ED6727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D7</w:t>
            </w:r>
          </w:p>
        </w:tc>
        <w:tc>
          <w:tcPr>
            <w:tcW w:w="0" w:type="auto"/>
            <w:vAlign w:val="center"/>
            <w:hideMark/>
          </w:tcPr>
          <w:p w14:paraId="43F2722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Consentimientos</w:t>
            </w:r>
          </w:p>
        </w:tc>
        <w:tc>
          <w:tcPr>
            <w:tcW w:w="0" w:type="auto"/>
            <w:vAlign w:val="center"/>
            <w:hideMark/>
          </w:tcPr>
          <w:p w14:paraId="47125F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26E4560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r w:rsidR="000444D1" w:rsidRPr="000444D1" w14:paraId="7B2D065C" w14:textId="77777777">
        <w:trPr>
          <w:tblCellSpacing w:w="15" w:type="dxa"/>
        </w:trPr>
        <w:tc>
          <w:tcPr>
            <w:tcW w:w="0" w:type="auto"/>
            <w:vAlign w:val="center"/>
            <w:hideMark/>
          </w:tcPr>
          <w:p w14:paraId="25594E2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D8</w:t>
            </w:r>
          </w:p>
        </w:tc>
        <w:tc>
          <w:tcPr>
            <w:tcW w:w="0" w:type="auto"/>
            <w:vAlign w:val="center"/>
            <w:hideMark/>
          </w:tcPr>
          <w:p w14:paraId="6E17226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Historial de eventos de cliente</w:t>
            </w:r>
          </w:p>
        </w:tc>
        <w:tc>
          <w:tcPr>
            <w:tcW w:w="0" w:type="auto"/>
            <w:vAlign w:val="center"/>
            <w:hideMark/>
          </w:tcPr>
          <w:p w14:paraId="089092A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2D56EF7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r w:rsidR="000444D1" w:rsidRPr="000444D1" w14:paraId="64096956" w14:textId="77777777">
        <w:trPr>
          <w:tblCellSpacing w:w="15" w:type="dxa"/>
        </w:trPr>
        <w:tc>
          <w:tcPr>
            <w:tcW w:w="0" w:type="auto"/>
            <w:vAlign w:val="center"/>
            <w:hideMark/>
          </w:tcPr>
          <w:p w14:paraId="0959F3B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D9</w:t>
            </w:r>
          </w:p>
        </w:tc>
        <w:tc>
          <w:tcPr>
            <w:tcW w:w="0" w:type="auto"/>
            <w:vAlign w:val="center"/>
            <w:hideMark/>
          </w:tcPr>
          <w:p w14:paraId="5AE80D9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Entitlements de acceso</w:t>
            </w:r>
          </w:p>
        </w:tc>
        <w:tc>
          <w:tcPr>
            <w:tcW w:w="0" w:type="auto"/>
            <w:vAlign w:val="center"/>
            <w:hideMark/>
          </w:tcPr>
          <w:p w14:paraId="135E770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Propietario</w:t>
            </w:r>
          </w:p>
        </w:tc>
        <w:tc>
          <w:tcPr>
            <w:tcW w:w="0" w:type="auto"/>
            <w:vAlign w:val="center"/>
            <w:hideMark/>
          </w:tcPr>
          <w:p w14:paraId="2A0A311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w:t>
            </w:r>
          </w:p>
        </w:tc>
      </w:tr>
    </w:tbl>
    <w:p w14:paraId="581AF45D"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19.4 Índice de decisiones de arquitectura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7546"/>
      </w:tblGrid>
      <w:tr w:rsidR="000444D1" w:rsidRPr="000444D1" w14:paraId="075F7F7D" w14:textId="77777777">
        <w:trPr>
          <w:tblHeader/>
          <w:tblCellSpacing w:w="15" w:type="dxa"/>
        </w:trPr>
        <w:tc>
          <w:tcPr>
            <w:tcW w:w="0" w:type="auto"/>
            <w:vAlign w:val="center"/>
            <w:hideMark/>
          </w:tcPr>
          <w:p w14:paraId="1D1D71BF"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Id</w:t>
            </w:r>
          </w:p>
        </w:tc>
        <w:tc>
          <w:tcPr>
            <w:tcW w:w="0" w:type="auto"/>
            <w:vAlign w:val="center"/>
            <w:hideMark/>
          </w:tcPr>
          <w:p w14:paraId="0DA17DB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Decisión</w:t>
            </w:r>
          </w:p>
        </w:tc>
      </w:tr>
      <w:tr w:rsidR="000444D1" w:rsidRPr="000444D1" w14:paraId="1ED451FC" w14:textId="77777777">
        <w:trPr>
          <w:tblCellSpacing w:w="15" w:type="dxa"/>
        </w:trPr>
        <w:tc>
          <w:tcPr>
            <w:tcW w:w="0" w:type="auto"/>
            <w:vAlign w:val="center"/>
            <w:hideMark/>
          </w:tcPr>
          <w:p w14:paraId="75AA9AE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ADR-001</w:t>
            </w:r>
          </w:p>
        </w:tc>
        <w:tc>
          <w:tcPr>
            <w:tcW w:w="0" w:type="auto"/>
            <w:vAlign w:val="center"/>
            <w:hideMark/>
          </w:tcPr>
          <w:p w14:paraId="2D04739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Coexistencia multicore mediante reparto por producto</w:t>
            </w:r>
          </w:p>
        </w:tc>
      </w:tr>
      <w:tr w:rsidR="000444D1" w:rsidRPr="000444D1" w14:paraId="4AA114EE" w14:textId="77777777">
        <w:trPr>
          <w:tblCellSpacing w:w="15" w:type="dxa"/>
        </w:trPr>
        <w:tc>
          <w:tcPr>
            <w:tcW w:w="0" w:type="auto"/>
            <w:vAlign w:val="center"/>
            <w:hideMark/>
          </w:tcPr>
          <w:p w14:paraId="525A055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ADR-002</w:t>
            </w:r>
          </w:p>
        </w:tc>
        <w:tc>
          <w:tcPr>
            <w:tcW w:w="0" w:type="auto"/>
            <w:vAlign w:val="center"/>
            <w:hideMark/>
          </w:tcPr>
          <w:p w14:paraId="628CB2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core tradicional no participa en el camino crítico de lectura</w:t>
            </w:r>
          </w:p>
        </w:tc>
      </w:tr>
      <w:tr w:rsidR="000444D1" w:rsidRPr="000444D1" w14:paraId="79DEC3EC" w14:textId="77777777">
        <w:trPr>
          <w:tblCellSpacing w:w="15" w:type="dxa"/>
        </w:trPr>
        <w:tc>
          <w:tcPr>
            <w:tcW w:w="0" w:type="auto"/>
            <w:vAlign w:val="center"/>
            <w:hideMark/>
          </w:tcPr>
          <w:p w14:paraId="20ACC9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ADR-003</w:t>
            </w:r>
          </w:p>
        </w:tc>
        <w:tc>
          <w:tcPr>
            <w:tcW w:w="0" w:type="auto"/>
            <w:vAlign w:val="center"/>
            <w:hideMark/>
          </w:tcPr>
          <w:p w14:paraId="1FCC40C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Estilo de integración asíncrono por defecto y modelo de consistencia por saga</w:t>
            </w:r>
          </w:p>
        </w:tc>
      </w:tr>
      <w:tr w:rsidR="000444D1" w:rsidRPr="000444D1" w14:paraId="6A89B04E" w14:textId="77777777">
        <w:trPr>
          <w:tblCellSpacing w:w="15" w:type="dxa"/>
        </w:trPr>
        <w:tc>
          <w:tcPr>
            <w:tcW w:w="0" w:type="auto"/>
            <w:vAlign w:val="center"/>
            <w:hideMark/>
          </w:tcPr>
          <w:p w14:paraId="720F3190"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ADR-004</w:t>
            </w:r>
          </w:p>
        </w:tc>
        <w:tc>
          <w:tcPr>
            <w:tcW w:w="0" w:type="auto"/>
            <w:vAlign w:val="center"/>
            <w:hideMark/>
          </w:tcPr>
          <w:p w14:paraId="4BED52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Ingesta de cambios del core tradicional mediante doble mecanismo</w:t>
            </w:r>
          </w:p>
        </w:tc>
      </w:tr>
      <w:tr w:rsidR="000444D1" w:rsidRPr="000444D1" w14:paraId="54C2C49B" w14:textId="77777777">
        <w:trPr>
          <w:tblCellSpacing w:w="15" w:type="dxa"/>
        </w:trPr>
        <w:tc>
          <w:tcPr>
            <w:tcW w:w="0" w:type="auto"/>
            <w:vAlign w:val="center"/>
            <w:hideMark/>
          </w:tcPr>
          <w:p w14:paraId="3F3D8B0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lastRenderedPageBreak/>
              <w:t>ADR-005</w:t>
            </w:r>
          </w:p>
        </w:tc>
        <w:tc>
          <w:tcPr>
            <w:tcW w:w="0" w:type="auto"/>
            <w:vAlign w:val="center"/>
            <w:hideMark/>
          </w:tcPr>
          <w:p w14:paraId="370BA4E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Política de evaluación de fraude en línea con degradación graduada</w:t>
            </w:r>
          </w:p>
        </w:tc>
      </w:tr>
      <w:tr w:rsidR="000444D1" w:rsidRPr="000444D1" w14:paraId="2875EA9E" w14:textId="77777777">
        <w:trPr>
          <w:tblCellSpacing w:w="15" w:type="dxa"/>
        </w:trPr>
        <w:tc>
          <w:tcPr>
            <w:tcW w:w="0" w:type="auto"/>
            <w:vAlign w:val="center"/>
            <w:hideMark/>
          </w:tcPr>
          <w:p w14:paraId="4EFD441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ADR-006</w:t>
            </w:r>
          </w:p>
        </w:tc>
        <w:tc>
          <w:tcPr>
            <w:tcW w:w="0" w:type="auto"/>
            <w:vAlign w:val="center"/>
            <w:hideMark/>
          </w:tcPr>
          <w:p w14:paraId="652A72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Modelo de despliegue híbrido y selección de proveedor de nube</w:t>
            </w:r>
          </w:p>
        </w:tc>
      </w:tr>
    </w:tbl>
    <w:p w14:paraId="4EB66964" w14:textId="77777777" w:rsidR="000444D1" w:rsidRPr="000444D1" w:rsidRDefault="000444D1" w:rsidP="000444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44D1">
        <w:rPr>
          <w:rFonts w:ascii="Times New Roman" w:eastAsia="Times New Roman" w:hAnsi="Times New Roman" w:cs="Times New Roman"/>
          <w:b/>
          <w:bCs/>
          <w:kern w:val="0"/>
          <w:sz w:val="27"/>
          <w:szCs w:val="27"/>
          <w14:ligatures w14:val="none"/>
        </w:rPr>
        <w:t>19.5 Índice de principios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4566"/>
        <w:gridCol w:w="849"/>
      </w:tblGrid>
      <w:tr w:rsidR="000444D1" w:rsidRPr="000444D1" w14:paraId="51AC58AD" w14:textId="77777777">
        <w:trPr>
          <w:tblHeader/>
          <w:tblCellSpacing w:w="15" w:type="dxa"/>
        </w:trPr>
        <w:tc>
          <w:tcPr>
            <w:tcW w:w="0" w:type="auto"/>
            <w:vAlign w:val="center"/>
            <w:hideMark/>
          </w:tcPr>
          <w:p w14:paraId="46F611C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Id</w:t>
            </w:r>
          </w:p>
        </w:tc>
        <w:tc>
          <w:tcPr>
            <w:tcW w:w="0" w:type="auto"/>
            <w:vAlign w:val="center"/>
            <w:hideMark/>
          </w:tcPr>
          <w:p w14:paraId="69158B3C"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Principio</w:t>
            </w:r>
          </w:p>
        </w:tc>
        <w:tc>
          <w:tcPr>
            <w:tcW w:w="0" w:type="auto"/>
            <w:vAlign w:val="center"/>
            <w:hideMark/>
          </w:tcPr>
          <w:p w14:paraId="7A8B6B9D"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Sección</w:t>
            </w:r>
          </w:p>
        </w:tc>
      </w:tr>
      <w:tr w:rsidR="000444D1" w:rsidRPr="000444D1" w14:paraId="199E0BB7" w14:textId="77777777">
        <w:trPr>
          <w:tblCellSpacing w:w="15" w:type="dxa"/>
        </w:trPr>
        <w:tc>
          <w:tcPr>
            <w:tcW w:w="0" w:type="auto"/>
            <w:vAlign w:val="center"/>
            <w:hideMark/>
          </w:tcPr>
          <w:p w14:paraId="5BD2BB3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P1</w:t>
            </w:r>
          </w:p>
        </w:tc>
        <w:tc>
          <w:tcPr>
            <w:tcW w:w="0" w:type="auto"/>
            <w:vAlign w:val="center"/>
            <w:hideMark/>
          </w:tcPr>
          <w:p w14:paraId="3E65FD8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Un dato, un dueño</w:t>
            </w:r>
          </w:p>
        </w:tc>
        <w:tc>
          <w:tcPr>
            <w:tcW w:w="0" w:type="auto"/>
            <w:vAlign w:val="center"/>
            <w:hideMark/>
          </w:tcPr>
          <w:p w14:paraId="69BD2E1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76410F74" w14:textId="77777777">
        <w:trPr>
          <w:tblCellSpacing w:w="15" w:type="dxa"/>
        </w:trPr>
        <w:tc>
          <w:tcPr>
            <w:tcW w:w="0" w:type="auto"/>
            <w:vAlign w:val="center"/>
            <w:hideMark/>
          </w:tcPr>
          <w:p w14:paraId="5F3419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P2</w:t>
            </w:r>
          </w:p>
        </w:tc>
        <w:tc>
          <w:tcPr>
            <w:tcW w:w="0" w:type="auto"/>
            <w:vAlign w:val="center"/>
            <w:hideMark/>
          </w:tcPr>
          <w:p w14:paraId="6CBFB83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Aislamiento del legado</w:t>
            </w:r>
          </w:p>
        </w:tc>
        <w:tc>
          <w:tcPr>
            <w:tcW w:w="0" w:type="auto"/>
            <w:vAlign w:val="center"/>
            <w:hideMark/>
          </w:tcPr>
          <w:p w14:paraId="120C205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4A5D2D90" w14:textId="77777777">
        <w:trPr>
          <w:tblCellSpacing w:w="15" w:type="dxa"/>
        </w:trPr>
        <w:tc>
          <w:tcPr>
            <w:tcW w:w="0" w:type="auto"/>
            <w:vAlign w:val="center"/>
            <w:hideMark/>
          </w:tcPr>
          <w:p w14:paraId="38FAC64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P3</w:t>
            </w:r>
          </w:p>
        </w:tc>
        <w:tc>
          <w:tcPr>
            <w:tcW w:w="0" w:type="auto"/>
            <w:vAlign w:val="center"/>
            <w:hideMark/>
          </w:tcPr>
          <w:p w14:paraId="07959CA4"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Asíncrono por defecto, síncrono por excepción</w:t>
            </w:r>
          </w:p>
        </w:tc>
        <w:tc>
          <w:tcPr>
            <w:tcW w:w="0" w:type="auto"/>
            <w:vAlign w:val="center"/>
            <w:hideMark/>
          </w:tcPr>
          <w:p w14:paraId="11A6E2F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430DEFF4" w14:textId="77777777">
        <w:trPr>
          <w:tblCellSpacing w:w="15" w:type="dxa"/>
        </w:trPr>
        <w:tc>
          <w:tcPr>
            <w:tcW w:w="0" w:type="auto"/>
            <w:vAlign w:val="center"/>
            <w:hideMark/>
          </w:tcPr>
          <w:p w14:paraId="73A9CA5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P4</w:t>
            </w:r>
          </w:p>
        </w:tc>
        <w:tc>
          <w:tcPr>
            <w:tcW w:w="0" w:type="auto"/>
            <w:vAlign w:val="center"/>
            <w:hideMark/>
          </w:tcPr>
          <w:p w14:paraId="53C58F4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Contratos explícitos y versionados</w:t>
            </w:r>
          </w:p>
        </w:tc>
        <w:tc>
          <w:tcPr>
            <w:tcW w:w="0" w:type="auto"/>
            <w:vAlign w:val="center"/>
            <w:hideMark/>
          </w:tcPr>
          <w:p w14:paraId="5D167ED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71DADB34" w14:textId="77777777">
        <w:trPr>
          <w:tblCellSpacing w:w="15" w:type="dxa"/>
        </w:trPr>
        <w:tc>
          <w:tcPr>
            <w:tcW w:w="0" w:type="auto"/>
            <w:vAlign w:val="center"/>
            <w:hideMark/>
          </w:tcPr>
          <w:p w14:paraId="08BB2D4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P5</w:t>
            </w:r>
          </w:p>
        </w:tc>
        <w:tc>
          <w:tcPr>
            <w:tcW w:w="0" w:type="auto"/>
            <w:vAlign w:val="center"/>
            <w:hideMark/>
          </w:tcPr>
          <w:p w14:paraId="0FC5854B"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El gateway no decide</w:t>
            </w:r>
          </w:p>
        </w:tc>
        <w:tc>
          <w:tcPr>
            <w:tcW w:w="0" w:type="auto"/>
            <w:vAlign w:val="center"/>
            <w:hideMark/>
          </w:tcPr>
          <w:p w14:paraId="2797491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62D48FDD" w14:textId="77777777">
        <w:trPr>
          <w:tblCellSpacing w:w="15" w:type="dxa"/>
        </w:trPr>
        <w:tc>
          <w:tcPr>
            <w:tcW w:w="0" w:type="auto"/>
            <w:vAlign w:val="center"/>
            <w:hideMark/>
          </w:tcPr>
          <w:p w14:paraId="741845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P6</w:t>
            </w:r>
          </w:p>
        </w:tc>
        <w:tc>
          <w:tcPr>
            <w:tcW w:w="0" w:type="auto"/>
            <w:vAlign w:val="center"/>
            <w:hideMark/>
          </w:tcPr>
          <w:p w14:paraId="622BC02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Idempotencia y compensación</w:t>
            </w:r>
          </w:p>
        </w:tc>
        <w:tc>
          <w:tcPr>
            <w:tcW w:w="0" w:type="auto"/>
            <w:vAlign w:val="center"/>
            <w:hideMark/>
          </w:tcPr>
          <w:p w14:paraId="4377B7D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1E518DA9" w14:textId="77777777">
        <w:trPr>
          <w:tblCellSpacing w:w="15" w:type="dxa"/>
        </w:trPr>
        <w:tc>
          <w:tcPr>
            <w:tcW w:w="0" w:type="auto"/>
            <w:vAlign w:val="center"/>
            <w:hideMark/>
          </w:tcPr>
          <w:p w14:paraId="0FA00C8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P7</w:t>
            </w:r>
          </w:p>
        </w:tc>
        <w:tc>
          <w:tcPr>
            <w:tcW w:w="0" w:type="auto"/>
            <w:vAlign w:val="center"/>
            <w:hideMark/>
          </w:tcPr>
          <w:p w14:paraId="0A0E029F"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Degradación controlada</w:t>
            </w:r>
          </w:p>
        </w:tc>
        <w:tc>
          <w:tcPr>
            <w:tcW w:w="0" w:type="auto"/>
            <w:vAlign w:val="center"/>
            <w:hideMark/>
          </w:tcPr>
          <w:p w14:paraId="5687443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70EC9ABB" w14:textId="77777777">
        <w:trPr>
          <w:tblCellSpacing w:w="15" w:type="dxa"/>
        </w:trPr>
        <w:tc>
          <w:tcPr>
            <w:tcW w:w="0" w:type="auto"/>
            <w:vAlign w:val="center"/>
            <w:hideMark/>
          </w:tcPr>
          <w:p w14:paraId="39B45A6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P8</w:t>
            </w:r>
          </w:p>
        </w:tc>
        <w:tc>
          <w:tcPr>
            <w:tcW w:w="0" w:type="auto"/>
            <w:vAlign w:val="center"/>
            <w:hideMark/>
          </w:tcPr>
          <w:p w14:paraId="56FCB1E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Portabilidad razonada</w:t>
            </w:r>
          </w:p>
        </w:tc>
        <w:tc>
          <w:tcPr>
            <w:tcW w:w="0" w:type="auto"/>
            <w:vAlign w:val="center"/>
            <w:hideMark/>
          </w:tcPr>
          <w:p w14:paraId="3741C34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15E2C45F" w14:textId="77777777">
        <w:trPr>
          <w:tblCellSpacing w:w="15" w:type="dxa"/>
        </w:trPr>
        <w:tc>
          <w:tcPr>
            <w:tcW w:w="0" w:type="auto"/>
            <w:vAlign w:val="center"/>
            <w:hideMark/>
          </w:tcPr>
          <w:p w14:paraId="3FF8FD6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P9</w:t>
            </w:r>
          </w:p>
        </w:tc>
        <w:tc>
          <w:tcPr>
            <w:tcW w:w="0" w:type="auto"/>
            <w:vAlign w:val="center"/>
            <w:hideMark/>
          </w:tcPr>
          <w:p w14:paraId="4E1D5F6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Seguridad en el diseño, no en la periferia</w:t>
            </w:r>
          </w:p>
        </w:tc>
        <w:tc>
          <w:tcPr>
            <w:tcW w:w="0" w:type="auto"/>
            <w:vAlign w:val="center"/>
            <w:hideMark/>
          </w:tcPr>
          <w:p w14:paraId="57E20B9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1BCD5E0D" w14:textId="77777777">
        <w:trPr>
          <w:tblCellSpacing w:w="15" w:type="dxa"/>
        </w:trPr>
        <w:tc>
          <w:tcPr>
            <w:tcW w:w="0" w:type="auto"/>
            <w:vAlign w:val="center"/>
            <w:hideMark/>
          </w:tcPr>
          <w:p w14:paraId="37942C4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P10</w:t>
            </w:r>
          </w:p>
        </w:tc>
        <w:tc>
          <w:tcPr>
            <w:tcW w:w="0" w:type="auto"/>
            <w:vAlign w:val="center"/>
            <w:hideMark/>
          </w:tcPr>
          <w:p w14:paraId="4A74843A"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Trazabilidad extremo a extremo</w:t>
            </w:r>
          </w:p>
        </w:tc>
        <w:tc>
          <w:tcPr>
            <w:tcW w:w="0" w:type="auto"/>
            <w:vAlign w:val="center"/>
            <w:hideMark/>
          </w:tcPr>
          <w:p w14:paraId="730181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w:t>
            </w:r>
          </w:p>
        </w:tc>
      </w:tr>
      <w:tr w:rsidR="000444D1" w:rsidRPr="000444D1" w14:paraId="32CA7ED4" w14:textId="77777777">
        <w:trPr>
          <w:tblCellSpacing w:w="15" w:type="dxa"/>
        </w:trPr>
        <w:tc>
          <w:tcPr>
            <w:tcW w:w="0" w:type="auto"/>
            <w:vAlign w:val="center"/>
            <w:hideMark/>
          </w:tcPr>
          <w:p w14:paraId="309DDD49"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M1–M6</w:t>
            </w:r>
          </w:p>
        </w:tc>
        <w:tc>
          <w:tcPr>
            <w:tcW w:w="0" w:type="auto"/>
            <w:vAlign w:val="center"/>
            <w:hideMark/>
          </w:tcPr>
          <w:p w14:paraId="333EF4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Principios del plan de migración</w:t>
            </w:r>
          </w:p>
        </w:tc>
        <w:tc>
          <w:tcPr>
            <w:tcW w:w="0" w:type="auto"/>
            <w:vAlign w:val="center"/>
            <w:hideMark/>
          </w:tcPr>
          <w:p w14:paraId="113ED6F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17.1</w:t>
            </w:r>
          </w:p>
        </w:tc>
      </w:tr>
    </w:tbl>
    <w:p w14:paraId="1D705978" w14:textId="77777777" w:rsidR="000444D1" w:rsidRPr="000444D1" w:rsidRDefault="00C6468A" w:rsidP="000444D1">
      <w:pPr>
        <w:spacing w:after="0" w:line="240" w:lineRule="auto"/>
        <w:rPr>
          <w:rFonts w:ascii="Times New Roman" w:eastAsia="Times New Roman" w:hAnsi="Times New Roman" w:cs="Times New Roman"/>
          <w:kern w:val="0"/>
          <w14:ligatures w14:val="none"/>
        </w:rPr>
      </w:pPr>
      <w:r>
        <w:rPr>
          <w:noProof/>
        </w:rPr>
      </w:r>
      <w:r>
        <w:pict w14:anchorId="01933F51">
          <v:rect id="Rectangle 7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A250AE2" w14:textId="77777777" w:rsidR="000444D1" w:rsidRPr="000444D1" w:rsidRDefault="000444D1" w:rsidP="000444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44D1">
        <w:rPr>
          <w:rFonts w:ascii="Times New Roman" w:eastAsia="Times New Roman" w:hAnsi="Times New Roman" w:cs="Times New Roman"/>
          <w:b/>
          <w:bCs/>
          <w:kern w:val="0"/>
          <w:sz w:val="36"/>
          <w:szCs w:val="36"/>
          <w14:ligatures w14:val="none"/>
        </w:rPr>
        <w:t>20. Índice de correspondencia de requerimientos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4"/>
        <w:gridCol w:w="3615"/>
      </w:tblGrid>
      <w:tr w:rsidR="000444D1" w:rsidRPr="000444D1" w14:paraId="030DC25A" w14:textId="77777777">
        <w:trPr>
          <w:tblHeader/>
          <w:tblCellSpacing w:w="15" w:type="dxa"/>
        </w:trPr>
        <w:tc>
          <w:tcPr>
            <w:tcW w:w="0" w:type="auto"/>
            <w:vAlign w:val="center"/>
            <w:hideMark/>
          </w:tcPr>
          <w:p w14:paraId="7A1F8C70"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Requerimiento</w:t>
            </w:r>
          </w:p>
        </w:tc>
        <w:tc>
          <w:tcPr>
            <w:tcW w:w="0" w:type="auto"/>
            <w:vAlign w:val="center"/>
            <w:hideMark/>
          </w:tcPr>
          <w:p w14:paraId="275BAD22" w14:textId="77777777" w:rsidR="000444D1" w:rsidRPr="000444D1" w:rsidRDefault="000444D1" w:rsidP="000444D1">
            <w:pPr>
              <w:spacing w:after="0" w:line="240" w:lineRule="auto"/>
              <w:jc w:val="center"/>
              <w:rPr>
                <w:rFonts w:ascii="Times New Roman" w:eastAsia="Times New Roman" w:hAnsi="Times New Roman" w:cs="Times New Roman"/>
                <w:b/>
                <w:bCs/>
                <w:kern w:val="0"/>
                <w14:ligatures w14:val="none"/>
              </w:rPr>
            </w:pPr>
            <w:r w:rsidRPr="000444D1">
              <w:rPr>
                <w:rFonts w:ascii="Times New Roman" w:eastAsia="Times New Roman" w:hAnsi="Times New Roman" w:cs="Times New Roman"/>
                <w:b/>
                <w:bCs/>
                <w:kern w:val="0"/>
                <w14:ligatures w14:val="none"/>
              </w:rPr>
              <w:t>Sección(es) del documento</w:t>
            </w:r>
          </w:p>
        </w:tc>
      </w:tr>
      <w:tr w:rsidR="000444D1" w:rsidRPr="000444D1" w14:paraId="6C669AA2" w14:textId="77777777">
        <w:trPr>
          <w:tblCellSpacing w:w="15" w:type="dxa"/>
        </w:trPr>
        <w:tc>
          <w:tcPr>
            <w:tcW w:w="0" w:type="auto"/>
            <w:vAlign w:val="center"/>
            <w:hideMark/>
          </w:tcPr>
          <w:p w14:paraId="41E5B7BC"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 Arquitectura de integración de alto nivel (con BIAN)</w:t>
            </w:r>
          </w:p>
        </w:tc>
        <w:tc>
          <w:tcPr>
            <w:tcW w:w="0" w:type="auto"/>
            <w:vAlign w:val="center"/>
            <w:hideMark/>
          </w:tcPr>
          <w:p w14:paraId="24C6744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5.2, 6, 7, 8</w:t>
            </w:r>
          </w:p>
        </w:tc>
      </w:tr>
      <w:tr w:rsidR="000444D1" w:rsidRPr="000444D1" w14:paraId="02AC4C0F" w14:textId="77777777">
        <w:trPr>
          <w:tblCellSpacing w:w="15" w:type="dxa"/>
        </w:trPr>
        <w:tc>
          <w:tcPr>
            <w:tcW w:w="0" w:type="auto"/>
            <w:vAlign w:val="center"/>
            <w:hideMark/>
          </w:tcPr>
          <w:p w14:paraId="37471B7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2. Patrones de integración y tecnologías, justificados</w:t>
            </w:r>
          </w:p>
        </w:tc>
        <w:tc>
          <w:tcPr>
            <w:tcW w:w="0" w:type="auto"/>
            <w:vAlign w:val="center"/>
            <w:hideMark/>
          </w:tcPr>
          <w:p w14:paraId="3DF532D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10</w:t>
            </w:r>
          </w:p>
        </w:tc>
      </w:tr>
      <w:tr w:rsidR="000444D1" w:rsidRPr="000444D1" w14:paraId="77ECE9EC" w14:textId="77777777">
        <w:trPr>
          <w:tblCellSpacing w:w="15" w:type="dxa"/>
        </w:trPr>
        <w:tc>
          <w:tcPr>
            <w:tcW w:w="0" w:type="auto"/>
            <w:vAlign w:val="center"/>
            <w:hideMark/>
          </w:tcPr>
          <w:p w14:paraId="26EE88C8"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3. Seguridad, cumplimiento normativo y LOPDP</w:t>
            </w:r>
          </w:p>
        </w:tc>
        <w:tc>
          <w:tcPr>
            <w:tcW w:w="0" w:type="auto"/>
            <w:vAlign w:val="center"/>
            <w:hideMark/>
          </w:tcPr>
          <w:p w14:paraId="2802366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13</w:t>
            </w:r>
          </w:p>
        </w:tc>
      </w:tr>
      <w:tr w:rsidR="000444D1" w:rsidRPr="000444D1" w14:paraId="2F07F235" w14:textId="77777777">
        <w:trPr>
          <w:tblCellSpacing w:w="15" w:type="dxa"/>
        </w:trPr>
        <w:tc>
          <w:tcPr>
            <w:tcW w:w="0" w:type="auto"/>
            <w:vAlign w:val="center"/>
            <w:hideMark/>
          </w:tcPr>
          <w:p w14:paraId="56D6F5E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4. Alta disponibilidad y recuperación ante desastres</w:t>
            </w:r>
          </w:p>
        </w:tc>
        <w:tc>
          <w:tcPr>
            <w:tcW w:w="0" w:type="auto"/>
            <w:vAlign w:val="center"/>
            <w:hideMark/>
          </w:tcPr>
          <w:p w14:paraId="0FA4597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15</w:t>
            </w:r>
          </w:p>
        </w:tc>
      </w:tr>
      <w:tr w:rsidR="000444D1" w:rsidRPr="000444D1" w14:paraId="68D14AD7" w14:textId="77777777">
        <w:trPr>
          <w:tblCellSpacing w:w="15" w:type="dxa"/>
        </w:trPr>
        <w:tc>
          <w:tcPr>
            <w:tcW w:w="0" w:type="auto"/>
            <w:vAlign w:val="center"/>
            <w:hideMark/>
          </w:tcPr>
          <w:p w14:paraId="5EE3B0E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5. Estrategia de integración multicore</w:t>
            </w:r>
          </w:p>
        </w:tc>
        <w:tc>
          <w:tcPr>
            <w:tcW w:w="0" w:type="auto"/>
            <w:vAlign w:val="center"/>
            <w:hideMark/>
          </w:tcPr>
          <w:p w14:paraId="600632A2"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11 (ADR-001, ADR-002, ADR-004)</w:t>
            </w:r>
          </w:p>
        </w:tc>
      </w:tr>
      <w:tr w:rsidR="000444D1" w:rsidRPr="000444D1" w14:paraId="47199976" w14:textId="77777777">
        <w:trPr>
          <w:tblCellSpacing w:w="15" w:type="dxa"/>
        </w:trPr>
        <w:tc>
          <w:tcPr>
            <w:tcW w:w="0" w:type="auto"/>
            <w:vAlign w:val="center"/>
            <w:hideMark/>
          </w:tcPr>
          <w:p w14:paraId="4030F9B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6. Gestión de identidad y acceso</w:t>
            </w:r>
          </w:p>
        </w:tc>
        <w:tc>
          <w:tcPr>
            <w:tcW w:w="0" w:type="auto"/>
            <w:vAlign w:val="center"/>
            <w:hideMark/>
          </w:tcPr>
          <w:p w14:paraId="31E8B2A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14</w:t>
            </w:r>
          </w:p>
        </w:tc>
      </w:tr>
      <w:tr w:rsidR="000444D1" w:rsidRPr="000444D1" w14:paraId="4511A3D7" w14:textId="77777777">
        <w:trPr>
          <w:tblCellSpacing w:w="15" w:type="dxa"/>
        </w:trPr>
        <w:tc>
          <w:tcPr>
            <w:tcW w:w="0" w:type="auto"/>
            <w:vAlign w:val="center"/>
            <w:hideMark/>
          </w:tcPr>
          <w:p w14:paraId="3C212EF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7. Estrategia de APIs internas y externas y mensajería</w:t>
            </w:r>
          </w:p>
        </w:tc>
        <w:tc>
          <w:tcPr>
            <w:tcW w:w="0" w:type="auto"/>
            <w:vAlign w:val="center"/>
            <w:hideMark/>
          </w:tcPr>
          <w:p w14:paraId="60129CAE"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12</w:t>
            </w:r>
          </w:p>
        </w:tc>
      </w:tr>
      <w:tr w:rsidR="000444D1" w:rsidRPr="000444D1" w14:paraId="0BBB7E0E" w14:textId="77777777">
        <w:trPr>
          <w:tblCellSpacing w:w="15" w:type="dxa"/>
        </w:trPr>
        <w:tc>
          <w:tcPr>
            <w:tcW w:w="0" w:type="auto"/>
            <w:vAlign w:val="center"/>
            <w:hideMark/>
          </w:tcPr>
          <w:p w14:paraId="50C746C5"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8. Gobierno de APIs y microservicios</w:t>
            </w:r>
          </w:p>
        </w:tc>
        <w:tc>
          <w:tcPr>
            <w:tcW w:w="0" w:type="auto"/>
            <w:vAlign w:val="center"/>
            <w:hideMark/>
          </w:tcPr>
          <w:p w14:paraId="07F2E157"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16</w:t>
            </w:r>
          </w:p>
        </w:tc>
      </w:tr>
      <w:tr w:rsidR="000444D1" w:rsidRPr="000444D1" w14:paraId="5252A0C2" w14:textId="77777777">
        <w:trPr>
          <w:tblCellSpacing w:w="15" w:type="dxa"/>
        </w:trPr>
        <w:tc>
          <w:tcPr>
            <w:tcW w:w="0" w:type="auto"/>
            <w:vAlign w:val="center"/>
            <w:hideMark/>
          </w:tcPr>
          <w:p w14:paraId="32DFA273"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9. Plan de migración gradual</w:t>
            </w:r>
          </w:p>
        </w:tc>
        <w:tc>
          <w:tcPr>
            <w:tcW w:w="0" w:type="auto"/>
            <w:vAlign w:val="center"/>
            <w:hideMark/>
          </w:tcPr>
          <w:p w14:paraId="4867D491"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17</w:t>
            </w:r>
          </w:p>
        </w:tc>
      </w:tr>
      <w:tr w:rsidR="000444D1" w:rsidRPr="000444D1" w14:paraId="4887CC7B" w14:textId="77777777">
        <w:trPr>
          <w:tblCellSpacing w:w="15" w:type="dxa"/>
        </w:trPr>
        <w:tc>
          <w:tcPr>
            <w:tcW w:w="0" w:type="auto"/>
            <w:vAlign w:val="center"/>
            <w:hideMark/>
          </w:tcPr>
          <w:p w14:paraId="46EE0366"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10. Observabilidad y trazabilidad</w:t>
            </w:r>
          </w:p>
        </w:tc>
        <w:tc>
          <w:tcPr>
            <w:tcW w:w="0" w:type="auto"/>
            <w:vAlign w:val="center"/>
            <w:hideMark/>
          </w:tcPr>
          <w:p w14:paraId="3405407D" w14:textId="77777777" w:rsidR="000444D1" w:rsidRPr="000444D1" w:rsidRDefault="000444D1" w:rsidP="000444D1">
            <w:pPr>
              <w:spacing w:after="0" w:line="240" w:lineRule="auto"/>
              <w:rPr>
                <w:rFonts w:ascii="Times New Roman" w:eastAsia="Times New Roman" w:hAnsi="Times New Roman" w:cs="Times New Roman"/>
                <w:kern w:val="0"/>
                <w14:ligatures w14:val="none"/>
              </w:rPr>
            </w:pPr>
            <w:r w:rsidRPr="000444D1">
              <w:rPr>
                <w:rFonts w:ascii="Times New Roman" w:eastAsia="Times New Roman" w:hAnsi="Times New Roman" w:cs="Times New Roman"/>
                <w:kern w:val="0"/>
                <w14:ligatures w14:val="none"/>
              </w:rPr>
              <w:t>18</w:t>
            </w:r>
          </w:p>
        </w:tc>
      </w:tr>
    </w:tbl>
    <w:p w14:paraId="1BE28672" w14:textId="77777777" w:rsidR="00E7118F" w:rsidRPr="000444D1" w:rsidRDefault="00E7118F" w:rsidP="000444D1"/>
    <w:sectPr w:rsidR="00E7118F" w:rsidRPr="000444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F595E"/>
    <w:multiLevelType w:val="multilevel"/>
    <w:tmpl w:val="6AEC5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23841"/>
    <w:multiLevelType w:val="multilevel"/>
    <w:tmpl w:val="A0E8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01093"/>
    <w:multiLevelType w:val="multilevel"/>
    <w:tmpl w:val="19A4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30298"/>
    <w:multiLevelType w:val="multilevel"/>
    <w:tmpl w:val="617E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56555"/>
    <w:multiLevelType w:val="multilevel"/>
    <w:tmpl w:val="84D0B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04F69"/>
    <w:multiLevelType w:val="multilevel"/>
    <w:tmpl w:val="6E96D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0E03"/>
    <w:multiLevelType w:val="multilevel"/>
    <w:tmpl w:val="6C18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312A9"/>
    <w:multiLevelType w:val="multilevel"/>
    <w:tmpl w:val="11E6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850BB"/>
    <w:multiLevelType w:val="multilevel"/>
    <w:tmpl w:val="AF52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AD2469"/>
    <w:multiLevelType w:val="multilevel"/>
    <w:tmpl w:val="0798C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79166F"/>
    <w:multiLevelType w:val="multilevel"/>
    <w:tmpl w:val="A0F0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F56EB"/>
    <w:multiLevelType w:val="multilevel"/>
    <w:tmpl w:val="5652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52405"/>
    <w:multiLevelType w:val="multilevel"/>
    <w:tmpl w:val="FB9C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1E0293"/>
    <w:multiLevelType w:val="multilevel"/>
    <w:tmpl w:val="FB9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11622"/>
    <w:multiLevelType w:val="multilevel"/>
    <w:tmpl w:val="AC7A5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0B7250"/>
    <w:multiLevelType w:val="multilevel"/>
    <w:tmpl w:val="4A6A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17B56"/>
    <w:multiLevelType w:val="multilevel"/>
    <w:tmpl w:val="D4568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C46476"/>
    <w:multiLevelType w:val="multilevel"/>
    <w:tmpl w:val="970E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0984544">
    <w:abstractNumId w:val="0"/>
  </w:num>
  <w:num w:numId="2" w16cid:durableId="1308316412">
    <w:abstractNumId w:val="14"/>
  </w:num>
  <w:num w:numId="3" w16cid:durableId="603072719">
    <w:abstractNumId w:val="13"/>
  </w:num>
  <w:num w:numId="4" w16cid:durableId="1801413315">
    <w:abstractNumId w:val="7"/>
  </w:num>
  <w:num w:numId="5" w16cid:durableId="1353261426">
    <w:abstractNumId w:val="4"/>
  </w:num>
  <w:num w:numId="6" w16cid:durableId="1770660448">
    <w:abstractNumId w:val="1"/>
  </w:num>
  <w:num w:numId="7" w16cid:durableId="94714567">
    <w:abstractNumId w:val="2"/>
  </w:num>
  <w:num w:numId="8" w16cid:durableId="2123498940">
    <w:abstractNumId w:val="16"/>
  </w:num>
  <w:num w:numId="9" w16cid:durableId="174998415">
    <w:abstractNumId w:val="11"/>
  </w:num>
  <w:num w:numId="10" w16cid:durableId="2134668712">
    <w:abstractNumId w:val="9"/>
  </w:num>
  <w:num w:numId="11" w16cid:durableId="581716691">
    <w:abstractNumId w:val="5"/>
  </w:num>
  <w:num w:numId="12" w16cid:durableId="350226413">
    <w:abstractNumId w:val="10"/>
  </w:num>
  <w:num w:numId="13" w16cid:durableId="1501966695">
    <w:abstractNumId w:val="6"/>
  </w:num>
  <w:num w:numId="14" w16cid:durableId="1167210932">
    <w:abstractNumId w:val="12"/>
  </w:num>
  <w:num w:numId="15" w16cid:durableId="259532170">
    <w:abstractNumId w:val="17"/>
  </w:num>
  <w:num w:numId="16" w16cid:durableId="326400784">
    <w:abstractNumId w:val="15"/>
  </w:num>
  <w:num w:numId="17" w16cid:durableId="1490638475">
    <w:abstractNumId w:val="8"/>
  </w:num>
  <w:num w:numId="18" w16cid:durableId="1694456887">
    <w:abstractNumId w:val="3"/>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8F8"/>
    <w:rsid w:val="00005480"/>
    <w:rsid w:val="000444D1"/>
    <w:rsid w:val="001301D7"/>
    <w:rsid w:val="0015592E"/>
    <w:rsid w:val="00364F66"/>
    <w:rsid w:val="004A7A8F"/>
    <w:rsid w:val="0058345C"/>
    <w:rsid w:val="006C45A9"/>
    <w:rsid w:val="00703759"/>
    <w:rsid w:val="008145BE"/>
    <w:rsid w:val="008F58F8"/>
    <w:rsid w:val="00983B5B"/>
    <w:rsid w:val="00C32736"/>
    <w:rsid w:val="00C6153A"/>
    <w:rsid w:val="00C6468A"/>
    <w:rsid w:val="00D3083E"/>
    <w:rsid w:val="00E7118F"/>
    <w:rsid w:val="00E72641"/>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shapeDefaults>
    <o:shapedefaults v:ext="edit" spidmax="1080"/>
    <o:shapelayout v:ext="edit">
      <o:idmap v:ext="edit" data="1"/>
    </o:shapelayout>
  </w:shapeDefaults>
  <w:decimalSymbol w:val=","/>
  <w:listSeparator w:val=","/>
  <w14:docId w14:val="2ECEF43B"/>
  <w15:chartTrackingRefBased/>
  <w15:docId w15:val="{13497699-CBF3-1543-AC25-B50DDEE88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5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5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5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5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5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5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8F8"/>
    <w:rPr>
      <w:rFonts w:eastAsiaTheme="majorEastAsia" w:cstheme="majorBidi"/>
      <w:color w:val="272727" w:themeColor="text1" w:themeTint="D8"/>
    </w:rPr>
  </w:style>
  <w:style w:type="paragraph" w:styleId="Title">
    <w:name w:val="Title"/>
    <w:basedOn w:val="Normal"/>
    <w:next w:val="Normal"/>
    <w:link w:val="TitleChar"/>
    <w:uiPriority w:val="10"/>
    <w:qFormat/>
    <w:rsid w:val="008F5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8F8"/>
    <w:pPr>
      <w:spacing w:before="160"/>
      <w:jc w:val="center"/>
    </w:pPr>
    <w:rPr>
      <w:i/>
      <w:iCs/>
      <w:color w:val="404040" w:themeColor="text1" w:themeTint="BF"/>
    </w:rPr>
  </w:style>
  <w:style w:type="character" w:customStyle="1" w:styleId="QuoteChar">
    <w:name w:val="Quote Char"/>
    <w:basedOn w:val="DefaultParagraphFont"/>
    <w:link w:val="Quote"/>
    <w:uiPriority w:val="29"/>
    <w:rsid w:val="008F58F8"/>
    <w:rPr>
      <w:i/>
      <w:iCs/>
      <w:color w:val="404040" w:themeColor="text1" w:themeTint="BF"/>
    </w:rPr>
  </w:style>
  <w:style w:type="paragraph" w:styleId="ListParagraph">
    <w:name w:val="List Paragraph"/>
    <w:basedOn w:val="Normal"/>
    <w:uiPriority w:val="34"/>
    <w:qFormat/>
    <w:rsid w:val="008F58F8"/>
    <w:pPr>
      <w:ind w:left="720"/>
      <w:contextualSpacing/>
    </w:pPr>
  </w:style>
  <w:style w:type="character" w:styleId="IntenseEmphasis">
    <w:name w:val="Intense Emphasis"/>
    <w:basedOn w:val="DefaultParagraphFont"/>
    <w:uiPriority w:val="21"/>
    <w:qFormat/>
    <w:rsid w:val="008F58F8"/>
    <w:rPr>
      <w:i/>
      <w:iCs/>
      <w:color w:val="0F4761" w:themeColor="accent1" w:themeShade="BF"/>
    </w:rPr>
  </w:style>
  <w:style w:type="paragraph" w:styleId="IntenseQuote">
    <w:name w:val="Intense Quote"/>
    <w:basedOn w:val="Normal"/>
    <w:next w:val="Normal"/>
    <w:link w:val="IntenseQuoteChar"/>
    <w:uiPriority w:val="30"/>
    <w:qFormat/>
    <w:rsid w:val="008F5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8F8"/>
    <w:rPr>
      <w:i/>
      <w:iCs/>
      <w:color w:val="0F4761" w:themeColor="accent1" w:themeShade="BF"/>
    </w:rPr>
  </w:style>
  <w:style w:type="character" w:styleId="IntenseReference">
    <w:name w:val="Intense Reference"/>
    <w:basedOn w:val="DefaultParagraphFont"/>
    <w:uiPriority w:val="32"/>
    <w:qFormat/>
    <w:rsid w:val="008F58F8"/>
    <w:rPr>
      <w:b/>
      <w:bCs/>
      <w:smallCaps/>
      <w:color w:val="0F4761" w:themeColor="accent1" w:themeShade="BF"/>
      <w:spacing w:val="5"/>
    </w:rPr>
  </w:style>
  <w:style w:type="paragraph" w:styleId="NormalWeb">
    <w:name w:val="Normal (Web)"/>
    <w:basedOn w:val="Normal"/>
    <w:uiPriority w:val="99"/>
    <w:semiHidden/>
    <w:unhideWhenUsed/>
    <w:rsid w:val="00E711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118F"/>
    <w:rPr>
      <w:b/>
      <w:bCs/>
    </w:rPr>
  </w:style>
  <w:style w:type="character" w:styleId="Hyperlink">
    <w:name w:val="Hyperlink"/>
    <w:basedOn w:val="DefaultParagraphFont"/>
    <w:uiPriority w:val="99"/>
    <w:semiHidden/>
    <w:unhideWhenUsed/>
    <w:rsid w:val="00E7118F"/>
    <w:rPr>
      <w:color w:val="0000FF"/>
      <w:u w:val="single"/>
    </w:rPr>
  </w:style>
  <w:style w:type="character" w:styleId="Emphasis">
    <w:name w:val="Emphasis"/>
    <w:basedOn w:val="DefaultParagraphFont"/>
    <w:uiPriority w:val="20"/>
    <w:qFormat/>
    <w:rsid w:val="00E7118F"/>
    <w:rPr>
      <w:i/>
      <w:iCs/>
    </w:rPr>
  </w:style>
  <w:style w:type="table" w:styleId="TableGrid">
    <w:name w:val="Table Grid"/>
    <w:basedOn w:val="TableNormal"/>
    <w:uiPriority w:val="39"/>
    <w:rsid w:val="00E71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834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58345C"/>
    <w:rPr>
      <w:color w:val="800080"/>
      <w:u w:val="single"/>
    </w:rPr>
  </w:style>
  <w:style w:type="character" w:styleId="HTMLCode">
    <w:name w:val="HTML Code"/>
    <w:basedOn w:val="DefaultParagraphFont"/>
    <w:uiPriority w:val="99"/>
    <w:semiHidden/>
    <w:unhideWhenUsed/>
    <w:rsid w:val="0058345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3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B5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aude.ai/chat/a561b000-3673-4552-a5cb-c30925780588" TargetMode="External"/><Relationship Id="rId18" Type="http://schemas.openxmlformats.org/officeDocument/2006/relationships/hyperlink" Target="https://claude.ai/chat/a561b000-3673-4552-a5cb-c30925780588" TargetMode="External"/><Relationship Id="rId26" Type="http://schemas.openxmlformats.org/officeDocument/2006/relationships/hyperlink" Target="https://claude.ai/chat/a561b000-3673-4552-a5cb-c30925780588" TargetMode="External"/><Relationship Id="rId39" Type="http://schemas.openxmlformats.org/officeDocument/2006/relationships/hyperlink" Target="https://claude.ai/chat/a561b000-3673-4552-a5cb-c30925780588" TargetMode="External"/><Relationship Id="rId21" Type="http://schemas.openxmlformats.org/officeDocument/2006/relationships/hyperlink" Target="https://claude.ai/chat/a561b000-3673-4552-a5cb-c30925780588" TargetMode="External"/><Relationship Id="rId34" Type="http://schemas.openxmlformats.org/officeDocument/2006/relationships/hyperlink" Target="https://claude.ai/chat/a561b000-3673-4552-a5cb-c30925780588" TargetMode="External"/><Relationship Id="rId42" Type="http://schemas.openxmlformats.org/officeDocument/2006/relationships/hyperlink" Target="https://claude.ai/chat/a561b000-3673-4552-a5cb-c30925780588" TargetMode="External"/><Relationship Id="rId47" Type="http://schemas.openxmlformats.org/officeDocument/2006/relationships/fontTable" Target="fontTable.xml"/><Relationship Id="rId7" Type="http://schemas.openxmlformats.org/officeDocument/2006/relationships/hyperlink" Target="https://claude.ai/chat/a561b000-3673-4552-a5cb-c30925780588" TargetMode="External"/><Relationship Id="rId2" Type="http://schemas.openxmlformats.org/officeDocument/2006/relationships/styles" Target="styles.xml"/><Relationship Id="rId16" Type="http://schemas.openxmlformats.org/officeDocument/2006/relationships/hyperlink" Target="https://claude.ai/chat/a561b000-3673-4552-a5cb-c30925780588" TargetMode="External"/><Relationship Id="rId29" Type="http://schemas.openxmlformats.org/officeDocument/2006/relationships/hyperlink" Target="https://claude.ai/chat/a561b000-3673-4552-a5cb-c30925780588" TargetMode="External"/><Relationship Id="rId1" Type="http://schemas.openxmlformats.org/officeDocument/2006/relationships/numbering" Target="numbering.xml"/><Relationship Id="rId6" Type="http://schemas.openxmlformats.org/officeDocument/2006/relationships/hyperlink" Target="https://claude.ai/chat/a561b000-3673-4552-a5cb-c30925780588" TargetMode="External"/><Relationship Id="rId11" Type="http://schemas.openxmlformats.org/officeDocument/2006/relationships/hyperlink" Target="https://claude.ai/chat/a561b000-3673-4552-a5cb-c30925780588" TargetMode="External"/><Relationship Id="rId24" Type="http://schemas.openxmlformats.org/officeDocument/2006/relationships/hyperlink" Target="https://claude.ai/chat/a561b000-3673-4552-a5cb-c30925780588" TargetMode="External"/><Relationship Id="rId32" Type="http://schemas.openxmlformats.org/officeDocument/2006/relationships/hyperlink" Target="https://claude.ai/chat/a561b000-3673-4552-a5cb-c30925780588" TargetMode="External"/><Relationship Id="rId37" Type="http://schemas.openxmlformats.org/officeDocument/2006/relationships/hyperlink" Target="https://claude.ai/chat/a561b000-3673-4552-a5cb-c30925780588" TargetMode="External"/><Relationship Id="rId40" Type="http://schemas.openxmlformats.org/officeDocument/2006/relationships/hyperlink" Target="https://claude.ai/chat/a561b000-3673-4552-a5cb-c30925780588" TargetMode="External"/><Relationship Id="rId45" Type="http://schemas.openxmlformats.org/officeDocument/2006/relationships/hyperlink" Target="https://claude.ai/chat/a561b000-3673-4552-a5cb-c30925780588" TargetMode="External"/><Relationship Id="rId5" Type="http://schemas.openxmlformats.org/officeDocument/2006/relationships/hyperlink" Target="https://claude.ai/chat/a561b000-3673-4552-a5cb-c30925780588" TargetMode="External"/><Relationship Id="rId15" Type="http://schemas.openxmlformats.org/officeDocument/2006/relationships/hyperlink" Target="https://claude.ai/chat/a561b000-3673-4552-a5cb-c30925780588" TargetMode="External"/><Relationship Id="rId23" Type="http://schemas.openxmlformats.org/officeDocument/2006/relationships/hyperlink" Target="https://claude.ai/chat/a561b000-3673-4552-a5cb-c30925780588" TargetMode="External"/><Relationship Id="rId28" Type="http://schemas.openxmlformats.org/officeDocument/2006/relationships/hyperlink" Target="https://claude.ai/chat/a561b000-3673-4552-a5cb-c30925780588" TargetMode="External"/><Relationship Id="rId36" Type="http://schemas.openxmlformats.org/officeDocument/2006/relationships/hyperlink" Target="https://claude.ai/chat/a561b000-3673-4552-a5cb-c30925780588" TargetMode="External"/><Relationship Id="rId10" Type="http://schemas.openxmlformats.org/officeDocument/2006/relationships/hyperlink" Target="https://claude.ai/chat/a561b000-3673-4552-a5cb-c30925780588" TargetMode="External"/><Relationship Id="rId19" Type="http://schemas.openxmlformats.org/officeDocument/2006/relationships/hyperlink" Target="https://claude.ai/chat/a561b000-3673-4552-a5cb-c30925780588" TargetMode="External"/><Relationship Id="rId31" Type="http://schemas.openxmlformats.org/officeDocument/2006/relationships/hyperlink" Target="https://claude.ai/chat/a561b000-3673-4552-a5cb-c30925780588" TargetMode="External"/><Relationship Id="rId44" Type="http://schemas.openxmlformats.org/officeDocument/2006/relationships/hyperlink" Target="https://claude.ai/chat/a561b000-3673-4552-a5cb-c30925780588" TargetMode="External"/><Relationship Id="rId4" Type="http://schemas.openxmlformats.org/officeDocument/2006/relationships/webSettings" Target="webSettings.xml"/><Relationship Id="rId9" Type="http://schemas.openxmlformats.org/officeDocument/2006/relationships/hyperlink" Target="https://claude.ai/chat/a561b000-3673-4552-a5cb-c30925780588" TargetMode="External"/><Relationship Id="rId14" Type="http://schemas.openxmlformats.org/officeDocument/2006/relationships/hyperlink" Target="https://claude.ai/chat/a561b000-3673-4552-a5cb-c30925780588" TargetMode="External"/><Relationship Id="rId22" Type="http://schemas.openxmlformats.org/officeDocument/2006/relationships/hyperlink" Target="https://claude.ai/chat/a561b000-3673-4552-a5cb-c30925780588" TargetMode="External"/><Relationship Id="rId27" Type="http://schemas.openxmlformats.org/officeDocument/2006/relationships/hyperlink" Target="https://claude.ai/chat/a561b000-3673-4552-a5cb-c30925780588" TargetMode="External"/><Relationship Id="rId30" Type="http://schemas.openxmlformats.org/officeDocument/2006/relationships/hyperlink" Target="https://claude.ai/chat/a561b000-3673-4552-a5cb-c30925780588" TargetMode="External"/><Relationship Id="rId35" Type="http://schemas.openxmlformats.org/officeDocument/2006/relationships/hyperlink" Target="https://claude.ai/chat/a561b000-3673-4552-a5cb-c30925780588" TargetMode="External"/><Relationship Id="rId43" Type="http://schemas.openxmlformats.org/officeDocument/2006/relationships/hyperlink" Target="https://claude.ai/chat/a561b000-3673-4552-a5cb-c30925780588" TargetMode="External"/><Relationship Id="rId48" Type="http://schemas.openxmlformats.org/officeDocument/2006/relationships/theme" Target="theme/theme1.xml"/><Relationship Id="rId8" Type="http://schemas.openxmlformats.org/officeDocument/2006/relationships/hyperlink" Target="https://claude.ai/chat/a561b000-3673-4552-a5cb-c30925780588" TargetMode="External"/><Relationship Id="rId3" Type="http://schemas.openxmlformats.org/officeDocument/2006/relationships/settings" Target="settings.xml"/><Relationship Id="rId12" Type="http://schemas.openxmlformats.org/officeDocument/2006/relationships/hyperlink" Target="https://claude.ai/chat/a561b000-3673-4552-a5cb-c30925780588" TargetMode="External"/><Relationship Id="rId17" Type="http://schemas.openxmlformats.org/officeDocument/2006/relationships/hyperlink" Target="https://claude.ai/chat/a561b000-3673-4552-a5cb-c30925780588" TargetMode="External"/><Relationship Id="rId25" Type="http://schemas.openxmlformats.org/officeDocument/2006/relationships/hyperlink" Target="https://claude.ai/chat/a561b000-3673-4552-a5cb-c30925780588" TargetMode="External"/><Relationship Id="rId33" Type="http://schemas.openxmlformats.org/officeDocument/2006/relationships/hyperlink" Target="https://claude.ai/chat/a561b000-3673-4552-a5cb-c30925780588" TargetMode="External"/><Relationship Id="rId38" Type="http://schemas.openxmlformats.org/officeDocument/2006/relationships/hyperlink" Target="https://claude.ai/chat/a561b000-3673-4552-a5cb-c30925780588" TargetMode="External"/><Relationship Id="rId46" Type="http://schemas.openxmlformats.org/officeDocument/2006/relationships/hyperlink" Target="https://claude.ai/chat/a561b000-3673-4552-a5cb-c30925780588" TargetMode="External"/><Relationship Id="rId20" Type="http://schemas.openxmlformats.org/officeDocument/2006/relationships/hyperlink" Target="https://claude.ai/chat/a561b000-3673-4552-a5cb-c30925780588" TargetMode="External"/><Relationship Id="rId41" Type="http://schemas.openxmlformats.org/officeDocument/2006/relationships/hyperlink" Target="https://claude.ai/chat/a561b000-3673-4552-a5cb-c309257805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163</Pages>
  <Words>51342</Words>
  <Characters>292655</Characters>
  <Application>Microsoft Office Word</Application>
  <DocSecurity>0</DocSecurity>
  <Lines>2438</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FERNANDO CARANQUI YAGUARSHUNGO</dc:creator>
  <cp:keywords/>
  <dc:description/>
  <cp:lastModifiedBy>KEVIN FERNANDO CARANQUI YAGUARSHUNGO</cp:lastModifiedBy>
  <cp:revision>2</cp:revision>
  <dcterms:created xsi:type="dcterms:W3CDTF">2026-07-25T19:28:00Z</dcterms:created>
  <dcterms:modified xsi:type="dcterms:W3CDTF">2026-07-28T19:16:00Z</dcterms:modified>
</cp:coreProperties>
</file>