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D1B69"/>
        </w:rPr>
        <w:t>Quest HR 収益予測レポート</w:t>
      </w:r>
    </w:p>
    <w:p>
      <w:r>
        <w:t>作成日: 2026年3月1日</w:t>
      </w:r>
    </w:p>
    <w:p>
      <w:r>
        <w:t>対象期間: 2026年4月 ～ 2031年3月（5ヶ年計画）</w:t>
      </w:r>
    </w:p>
    <w:p/>
    <w:p>
      <w:pPr>
        <w:pStyle w:val="Heading1"/>
      </w:pPr>
      <w:r>
        <w:rPr>
          <w:color w:val="2D1B69"/>
        </w:rPr>
        <w:t>1. エグゼクティブサマリー</w:t>
      </w:r>
    </w:p>
    <w:p>
      <w:r>
        <w:t>Quest HRは、RPGゲーミフィケーションを活用した人材育成SaaSプラットフォームとして、サブスクリプションモデル（月額/年額課金）を主たる収益源とする。本レポートでは、市場環境、料金体系、顧客獲得見込みに基づく5ヶ年収益予測を示す。</w:t>
      </w:r>
    </w:p>
    <w:p>
      <w:pPr>
        <w:pStyle w:val="Heading1"/>
      </w:pPr>
      <w:r>
        <w:rPr>
          <w:color w:val="2D1B69"/>
        </w:rPr>
        <w:t>2. ビジネスモデルと料金体系</w:t>
      </w:r>
    </w:p>
    <w:p>
      <w:pPr>
        <w:pStyle w:val="Heading2"/>
      </w:pPr>
      <w:r>
        <w:rPr>
          <w:color w:val="2D1B69"/>
        </w:rPr>
        <w:t>2.1 収益モデル</w:t>
      </w:r>
    </w:p>
    <w:p>
      <w:pPr>
        <w:pStyle w:val="ListBullet"/>
      </w:pPr>
      <w:r>
        <w:rPr>
          <w:b/>
        </w:rPr>
        <w:t xml:space="preserve">SaaSサブスクリプション（主要収益）: </w:t>
      </w:r>
      <w:r>
        <w:t>月額/年額のユーザー課金（従量制）</w:t>
      </w:r>
    </w:p>
    <w:p>
      <w:pPr>
        <w:pStyle w:val="ListBullet"/>
      </w:pPr>
      <w:r>
        <w:rPr>
          <w:b/>
        </w:rPr>
        <w:t xml:space="preserve">導入・カスタマイズ費: </w:t>
      </w:r>
      <w:r>
        <w:t>初期設定、カスタマイズ、データ移行等の一時収入</w:t>
      </w:r>
    </w:p>
    <w:p>
      <w:pPr>
        <w:pStyle w:val="ListBullet"/>
      </w:pPr>
      <w:r>
        <w:rPr>
          <w:b/>
        </w:rPr>
        <w:t xml:space="preserve">プレミアム機能アドオン: </w:t>
      </w:r>
      <w:r>
        <w:t>AI分析、高度レポーティング、API連携等の追加機能</w:t>
      </w:r>
    </w:p>
    <w:p>
      <w:pPr>
        <w:pStyle w:val="ListBullet"/>
      </w:pPr>
      <w:r>
        <w:rPr>
          <w:b/>
        </w:rPr>
        <w:t xml:space="preserve">研修・コンサルティング: </w:t>
      </w:r>
      <w:r>
        <w:t>ゲーミフィケーション導入コンサルティング、運用研修</w:t>
      </w:r>
    </w:p>
    <w:p>
      <w:pPr>
        <w:pStyle w:val="Heading2"/>
      </w:pPr>
      <w:r>
        <w:rPr>
          <w:color w:val="2D1B69"/>
        </w:rPr>
        <w:t>2.2 料金プラン（想定）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D1B69" w:val="clear"/>
          </w:tcPr>
          <w:p>
            <w:r>
              <w:rPr>
                <w:b/>
                <w:color w:val="FFFFFF"/>
                <w:sz w:val="18"/>
              </w:rPr>
              <w:t>プラン</w:t>
            </w:r>
          </w:p>
        </w:tc>
        <w:tc>
          <w:tcPr>
            <w:tcW w:type="dxa" w:w="1728"/>
            <w:shd w:fill="2D1B69" w:val="clear"/>
          </w:tcPr>
          <w:p>
            <w:r>
              <w:rPr>
                <w:b/>
                <w:color w:val="FFFFFF"/>
                <w:sz w:val="18"/>
              </w:rPr>
              <w:t>対象</w:t>
            </w:r>
          </w:p>
        </w:tc>
        <w:tc>
          <w:tcPr>
            <w:tcW w:type="dxa" w:w="1728"/>
            <w:shd w:fill="2D1B69" w:val="clear"/>
          </w:tcPr>
          <w:p>
            <w:r>
              <w:rPr>
                <w:b/>
                <w:color w:val="FFFFFF"/>
                <w:sz w:val="18"/>
              </w:rPr>
              <w:t>月額/ユーザー</w:t>
            </w:r>
          </w:p>
        </w:tc>
        <w:tc>
          <w:tcPr>
            <w:tcW w:type="dxa" w:w="1728"/>
            <w:shd w:fill="2D1B69" w:val="clear"/>
          </w:tcPr>
          <w:p>
            <w:r>
              <w:rPr>
                <w:b/>
                <w:color w:val="FFFFFF"/>
                <w:sz w:val="18"/>
              </w:rPr>
              <w:t>年額/ユーザー</w:t>
            </w:r>
          </w:p>
        </w:tc>
        <w:tc>
          <w:tcPr>
            <w:tcW w:type="dxa" w:w="1728"/>
            <w:shd w:fill="2D1B69" w:val="clear"/>
          </w:tcPr>
          <w:p>
            <w:r>
              <w:rPr>
                <w:b/>
                <w:color w:val="FFFFFF"/>
                <w:sz w:val="18"/>
              </w:rPr>
              <w:t>主な機能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スターター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～50名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¥500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¥5,000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基本クエスト、レベル/XP、スキル管理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スタンダード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～200名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¥800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¥8,000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スターター + AIチャット、高度分析、ファイル提出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プレミアム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～1,000名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¥1,200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¥12,000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スタンダード + SSO、API連携、カスタムクエスト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エンタープライズ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1,000名～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要相談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要相談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全機能 + 専任サポート、SLA、カスタム開発</w:t>
            </w:r>
          </w:p>
        </w:tc>
      </w:tr>
    </w:tbl>
    <w:p/>
    <w:p>
      <w:pPr>
        <w:pStyle w:val="Heading1"/>
      </w:pPr>
      <w:r>
        <w:rPr>
          <w:color w:val="2D1B69"/>
        </w:rPr>
        <w:t>3. 市場規模とTAM/SAM/SOM</w:t>
      </w:r>
    </w:p>
    <w:p>
      <w:r>
        <w:t>グローバルのHR向けゲーミフィケーションソフトウェア市場は2025年時点で約12億ドル（約1,800億円）、日本国内のゲーミフィケーション市場全体は463億円（2024年）と推定されている。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D1B69" w:val="clear"/>
          </w:tcPr>
          <w:p>
            <w:r>
              <w:rPr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2880"/>
            <w:shd w:fill="2D1B69" w:val="clear"/>
          </w:tcPr>
          <w:p>
            <w:r>
              <w:rPr>
                <w:b/>
                <w:color w:val="FFFFFF"/>
                <w:sz w:val="18"/>
              </w:rPr>
              <w:t>定義</w:t>
            </w:r>
          </w:p>
        </w:tc>
        <w:tc>
          <w:tcPr>
            <w:tcW w:type="dxa" w:w="2880"/>
            <w:shd w:fill="2D1B69" w:val="clear"/>
          </w:tcPr>
          <w:p>
            <w:r>
              <w:rPr>
                <w:b/>
                <w:color w:val="FFFFFF"/>
                <w:sz w:val="18"/>
              </w:rPr>
              <w:t>推定規模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TAM（総市場規模）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国内ゲーミフィケーション×HR市場全体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約150億円（2026年推定）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SAM（対象市場規模）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RPG/ゲーム型HR SaaS市場（中堅～大企業）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約30億円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SOM（獲得可能市場）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初期ターゲット（IT/ゲーム/先進企業）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約5億円（5年目目標）</w:t>
            </w:r>
          </w:p>
        </w:tc>
      </w:tr>
    </w:tbl>
    <w:p/>
    <w:p>
      <w:pPr>
        <w:pStyle w:val="Heading1"/>
      </w:pPr>
      <w:r>
        <w:rPr>
          <w:color w:val="2D1B69"/>
        </w:rPr>
        <w:t>4. 顧客獲得計画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D1B69" w:val="clear"/>
          </w:tcPr>
          <w:p>
            <w:r>
              <w:rPr>
                <w:b/>
                <w:color w:val="FFFFFF"/>
                <w:sz w:val="16"/>
              </w:rPr>
              <w:t>年度</w:t>
            </w:r>
          </w:p>
        </w:tc>
        <w:tc>
          <w:tcPr>
            <w:tcW w:type="dxa" w:w="1440"/>
            <w:shd w:fill="2D1B69" w:val="clear"/>
          </w:tcPr>
          <w:p>
            <w:r>
              <w:rPr>
                <w:b/>
                <w:color w:val="FFFFFF"/>
                <w:sz w:val="16"/>
              </w:rPr>
              <w:t>新規顧客数</w:t>
            </w:r>
          </w:p>
        </w:tc>
        <w:tc>
          <w:tcPr>
            <w:tcW w:type="dxa" w:w="1440"/>
            <w:shd w:fill="2D1B69" w:val="clear"/>
          </w:tcPr>
          <w:p>
            <w:r>
              <w:rPr>
                <w:b/>
                <w:color w:val="FFFFFF"/>
                <w:sz w:val="16"/>
              </w:rPr>
              <w:t>累計顧客数</w:t>
            </w:r>
          </w:p>
        </w:tc>
        <w:tc>
          <w:tcPr>
            <w:tcW w:type="dxa" w:w="1440"/>
            <w:shd w:fill="2D1B69" w:val="clear"/>
          </w:tcPr>
          <w:p>
            <w:r>
              <w:rPr>
                <w:b/>
                <w:color w:val="FFFFFF"/>
                <w:sz w:val="16"/>
              </w:rPr>
              <w:t>平均従業員数/社</w:t>
            </w:r>
          </w:p>
        </w:tc>
        <w:tc>
          <w:tcPr>
            <w:tcW w:type="dxa" w:w="1440"/>
            <w:shd w:fill="2D1B69" w:val="clear"/>
          </w:tcPr>
          <w:p>
            <w:r>
              <w:rPr>
                <w:b/>
                <w:color w:val="FFFFFF"/>
                <w:sz w:val="16"/>
              </w:rPr>
              <w:t>月間チャーン率</w:t>
            </w:r>
          </w:p>
        </w:tc>
        <w:tc>
          <w:tcPr>
            <w:tcW w:type="dxa" w:w="1440"/>
            <w:shd w:fill="2D1B69" w:val="clear"/>
          </w:tcPr>
          <w:p>
            <w:r>
              <w:rPr>
                <w:b/>
                <w:color w:val="FFFFFF"/>
                <w:sz w:val="16"/>
              </w:rPr>
              <w:t>ARPU（月額）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1年目 (2026)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15社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15社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80名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¥640/人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2年目 (2027)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35社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47社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120名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2.5%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¥720/人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3年目 (2028)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60社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100社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150名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¥800/人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4年目 (2029)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80社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168社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180名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1.8%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¥900/人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5年目 (2030)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100社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250社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200名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1.5%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¥1,000/人</w:t>
            </w:r>
          </w:p>
        </w:tc>
      </w:tr>
    </w:tbl>
    <w:p/>
    <w:p>
      <w:pPr>
        <w:pStyle w:val="Heading1"/>
      </w:pPr>
      <w:r>
        <w:rPr>
          <w:color w:val="2D1B69"/>
        </w:rPr>
        <w:t>5. 5ヶ年収益予測</w:t>
      </w:r>
    </w:p>
    <w:p>
      <w:pPr>
        <w:pStyle w:val="Heading2"/>
      </w:pPr>
      <w:r>
        <w:rPr>
          <w:color w:val="2D1B69"/>
        </w:rPr>
        <w:t>5.1 売上高予測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D1B69" w:val="clear"/>
          </w:tcPr>
          <w:p>
            <w:r>
              <w:rPr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1234"/>
            <w:shd w:fill="2D1B69" w:val="clear"/>
          </w:tcPr>
          <w:p>
            <w:r>
              <w:rPr>
                <w:b/>
                <w:color w:val="FFFFFF"/>
                <w:sz w:val="16"/>
              </w:rPr>
              <w:t>1年目</w:t>
            </w:r>
          </w:p>
        </w:tc>
        <w:tc>
          <w:tcPr>
            <w:tcW w:type="dxa" w:w="1234"/>
            <w:shd w:fill="2D1B69" w:val="clear"/>
          </w:tcPr>
          <w:p>
            <w:r>
              <w:rPr>
                <w:b/>
                <w:color w:val="FFFFFF"/>
                <w:sz w:val="16"/>
              </w:rPr>
              <w:t>2年目</w:t>
            </w:r>
          </w:p>
        </w:tc>
        <w:tc>
          <w:tcPr>
            <w:tcW w:type="dxa" w:w="1234"/>
            <w:shd w:fill="2D1B69" w:val="clear"/>
          </w:tcPr>
          <w:p>
            <w:r>
              <w:rPr>
                <w:b/>
                <w:color w:val="FFFFFF"/>
                <w:sz w:val="16"/>
              </w:rPr>
              <w:t>3年目</w:t>
            </w:r>
          </w:p>
        </w:tc>
        <w:tc>
          <w:tcPr>
            <w:tcW w:type="dxa" w:w="1234"/>
            <w:shd w:fill="2D1B69" w:val="clear"/>
          </w:tcPr>
          <w:p>
            <w:r>
              <w:rPr>
                <w:b/>
                <w:color w:val="FFFFFF"/>
                <w:sz w:val="16"/>
              </w:rPr>
              <w:t>4年目</w:t>
            </w:r>
          </w:p>
        </w:tc>
        <w:tc>
          <w:tcPr>
            <w:tcW w:type="dxa" w:w="1234"/>
            <w:shd w:fill="2D1B69" w:val="clear"/>
          </w:tcPr>
          <w:p>
            <w:r>
              <w:rPr>
                <w:b/>
                <w:color w:val="FFFFFF"/>
                <w:sz w:val="16"/>
              </w:rPr>
              <w:t>5年目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16"/>
              </w:rPr>
              <w:t>SaaS月額収入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¥6.9M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¥24.4M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¥57.6M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¥108.9M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¥180.0M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16"/>
              </w:rPr>
              <w:t>SaaS年額収入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¥69.1M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¥243.6M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¥576.0M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¥1,088.6M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¥1,800.0M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16"/>
              </w:rPr>
              <w:t>導入費（一時）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¥15.0M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¥35.0M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¥60.0M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¥80.0M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¥100.0M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16"/>
              </w:rPr>
              <w:t>アドオン収入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¥0M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¥12.0M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¥40.0M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¥80.0M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¥150.0M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16"/>
              </w:rPr>
              <w:t>コンサル収入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¥5.0M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¥15.0M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¥30.0M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¥50.0M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¥80.0M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b/>
                <w:sz w:val="16"/>
              </w:rPr>
              <w:t>合計売上高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¥89.1M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¥305.6M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¥706.0M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¥1,298.6M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¥2,130.0M</w:t>
            </w:r>
          </w:p>
        </w:tc>
        <w:tc>
          <w:tcPr>
            <w:tcW w:type="dxa" w:w="1234"/>
          </w:tcPr>
          <w:p/>
        </w:tc>
      </w:tr>
    </w:tbl>
    <w:p/>
    <w:p>
      <w:r>
        <w:t>※ M = 百万円。SaaS年額収入 = SaaS月額収入 × 12ヶ月で概算。</w:t>
      </w:r>
    </w:p>
    <w:p>
      <w:pPr>
        <w:pStyle w:val="Heading2"/>
      </w:pPr>
      <w:r>
        <w:rPr>
          <w:color w:val="2D1B69"/>
        </w:rPr>
        <w:t>5.2 コスト構造と損益予測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D1B69" w:val="clear"/>
          </w:tcPr>
          <w:p>
            <w:r>
              <w:rPr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1234"/>
            <w:shd w:fill="2D1B69" w:val="clear"/>
          </w:tcPr>
          <w:p>
            <w:r>
              <w:rPr>
                <w:b/>
                <w:color w:val="FFFFFF"/>
                <w:sz w:val="16"/>
              </w:rPr>
              <w:t>1年目</w:t>
            </w:r>
          </w:p>
        </w:tc>
        <w:tc>
          <w:tcPr>
            <w:tcW w:type="dxa" w:w="1234"/>
            <w:shd w:fill="2D1B69" w:val="clear"/>
          </w:tcPr>
          <w:p>
            <w:r>
              <w:rPr>
                <w:b/>
                <w:color w:val="FFFFFF"/>
                <w:sz w:val="16"/>
              </w:rPr>
              <w:t>2年目</w:t>
            </w:r>
          </w:p>
        </w:tc>
        <w:tc>
          <w:tcPr>
            <w:tcW w:type="dxa" w:w="1234"/>
            <w:shd w:fill="2D1B69" w:val="clear"/>
          </w:tcPr>
          <w:p>
            <w:r>
              <w:rPr>
                <w:b/>
                <w:color w:val="FFFFFF"/>
                <w:sz w:val="16"/>
              </w:rPr>
              <w:t>3年目</w:t>
            </w:r>
          </w:p>
        </w:tc>
        <w:tc>
          <w:tcPr>
            <w:tcW w:type="dxa" w:w="1234"/>
            <w:shd w:fill="2D1B69" w:val="clear"/>
          </w:tcPr>
          <w:p>
            <w:r>
              <w:rPr>
                <w:b/>
                <w:color w:val="FFFFFF"/>
                <w:sz w:val="16"/>
              </w:rPr>
              <w:t>4年目</w:t>
            </w:r>
          </w:p>
        </w:tc>
        <w:tc>
          <w:tcPr>
            <w:tcW w:type="dxa" w:w="1234"/>
            <w:shd w:fill="2D1B69" w:val="clear"/>
          </w:tcPr>
          <w:p>
            <w:r>
              <w:rPr>
                <w:b/>
                <w:color w:val="FFFFFF"/>
                <w:sz w:val="16"/>
              </w:rPr>
              <w:t>5年目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16"/>
              </w:rPr>
              <w:t>人件費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¥36.0M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¥72.0M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¥120.0M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¥180.0M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¥250.0M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16"/>
              </w:rPr>
              <w:t>インフラ費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¥6.0M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¥12.0M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¥24.0M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¥40.0M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¥60.0M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16"/>
              </w:rPr>
              <w:t>マーケティング費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¥15.0M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¥40.0M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¥80.0M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¥120.0M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¥150.0M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16"/>
              </w:rPr>
              <w:t>その他経費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¥12.0M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¥20.0M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¥30.0M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¥40.0M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¥50.0M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b/>
                <w:sz w:val="16"/>
              </w:rPr>
              <w:t>合計コスト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¥69.0M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¥144.0M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¥254.0M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¥380.0M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¥510.0M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b/>
                <w:sz w:val="16"/>
              </w:rPr>
              <w:t>営業利益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¥20.1M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¥161.6M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¥452.0M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¥918.6M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¥1,620.0M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b/>
                <w:sz w:val="16"/>
              </w:rPr>
              <w:t>営業利益率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22.6%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52.9%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64.0%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70.7%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76.1%</w:t>
            </w:r>
          </w:p>
        </w:tc>
        <w:tc>
          <w:tcPr>
            <w:tcW w:type="dxa" w:w="1234"/>
          </w:tcPr>
          <w:p/>
        </w:tc>
      </w:tr>
    </w:tbl>
    <w:p/>
    <w:p>
      <w:pPr>
        <w:pStyle w:val="Heading1"/>
      </w:pPr>
      <w:r>
        <w:rPr>
          <w:color w:val="2D1B69"/>
        </w:rPr>
        <w:t>6. 主要KPI</w:t>
      </w:r>
    </w:p>
    <w:p>
      <w:pPr>
        <w:pStyle w:val="ListBullet"/>
      </w:pPr>
      <w:r>
        <w:rPr>
          <w:b/>
        </w:rPr>
        <w:t xml:space="preserve">MRR（月次経常収益）: </w:t>
      </w:r>
      <w:r>
        <w:t>1年目末: ¥6.9M → 5年目末: ¥180M</w:t>
      </w:r>
    </w:p>
    <w:p>
      <w:pPr>
        <w:pStyle w:val="ListBullet"/>
      </w:pPr>
      <w:r>
        <w:rPr>
          <w:b/>
        </w:rPr>
        <w:t xml:space="preserve">ARR（年間経常収益）: </w:t>
      </w:r>
      <w:r>
        <w:t>1年目末: ¥82.8M → 5年目末: ¥2,160M</w:t>
      </w:r>
    </w:p>
    <w:p>
      <w:pPr>
        <w:pStyle w:val="ListBullet"/>
      </w:pPr>
      <w:r>
        <w:rPr>
          <w:b/>
        </w:rPr>
        <w:t xml:space="preserve">月間チャーン率: </w:t>
      </w:r>
      <w:r>
        <w:t>3.0%から1.5%へ段階的改善</w:t>
      </w:r>
    </w:p>
    <w:p>
      <w:pPr>
        <w:pStyle w:val="ListBullet"/>
      </w:pPr>
      <w:r>
        <w:rPr>
          <w:b/>
        </w:rPr>
        <w:t xml:space="preserve">CAC（顧客獲得コスト）: </w:t>
      </w:r>
      <w:r>
        <w:t>1年目: ¥1.0M/社 → 5年目: ¥1.5M/社</w:t>
      </w:r>
    </w:p>
    <w:p>
      <w:pPr>
        <w:pStyle w:val="ListBullet"/>
      </w:pPr>
      <w:r>
        <w:rPr>
          <w:b/>
        </w:rPr>
        <w:t xml:space="preserve">LTV（顧客生涯価値）: </w:t>
      </w:r>
      <w:r>
        <w:t>1年目: ¥4.6M → 5年目: ¥16.0M</w:t>
      </w:r>
    </w:p>
    <w:p>
      <w:pPr>
        <w:pStyle w:val="ListBullet"/>
      </w:pPr>
      <w:r>
        <w:rPr>
          <w:b/>
        </w:rPr>
        <w:t xml:space="preserve">LTV/CAC比率: </w:t>
      </w:r>
      <w:r>
        <w:t>4.6倍～10.7倍（健全水準3倍以上を維持）</w:t>
      </w:r>
    </w:p>
    <w:p>
      <w:pPr>
        <w:pStyle w:val="ListBullet"/>
      </w:pPr>
      <w:r>
        <w:rPr>
          <w:b/>
        </w:rPr>
        <w:t xml:space="preserve">NPS（推奨度スコア）: </w:t>
      </w:r>
      <w:r>
        <w:t>目標: 40以上（業界平均25前後）</w:t>
      </w:r>
    </w:p>
    <w:p>
      <w:pPr>
        <w:pStyle w:val="Heading1"/>
      </w:pPr>
      <w:r>
        <w:rPr>
          <w:color w:val="2D1B69"/>
        </w:rPr>
        <w:t>7. リスクと感度分析</w:t>
      </w:r>
    </w:p>
    <w:p>
      <w:pPr>
        <w:pStyle w:val="Heading2"/>
      </w:pPr>
      <w:r>
        <w:rPr>
          <w:color w:val="2D1B69"/>
        </w:rPr>
        <w:t>7.1 主要リスク</w:t>
      </w:r>
    </w:p>
    <w:p>
      <w:pPr>
        <w:pStyle w:val="ListBullet"/>
      </w:pPr>
      <w:r>
        <w:rPr>
          <w:b/>
        </w:rPr>
        <w:t xml:space="preserve">顧客獲得の遅延: </w:t>
      </w:r>
      <w:r>
        <w:t>営業チーム構築・マーケティング施策の成果が想定を下回るリスク。売上が基本シナリオの60%に留まる可能性あり。</w:t>
      </w:r>
    </w:p>
    <w:p>
      <w:pPr>
        <w:pStyle w:val="ListBullet"/>
      </w:pPr>
      <w:r>
        <w:rPr>
          <w:b/>
        </w:rPr>
        <w:t xml:space="preserve">チャーン率の悪化: </w:t>
      </w:r>
      <w:r>
        <w:t>月間チャーン率が3%を超えると、成長が大幅に鈍化する。プロダクト品質とカスタマーサクセスの投資が重要。</w:t>
      </w:r>
    </w:p>
    <w:p>
      <w:pPr>
        <w:pStyle w:val="ListBullet"/>
      </w:pPr>
      <w:r>
        <w:rPr>
          <w:b/>
        </w:rPr>
        <w:t xml:space="preserve">価格競争: </w:t>
      </w:r>
      <w:r>
        <w:t>大手プラットフォームの参入により、価格圧力が高まるリスク。差別化機能（RPGメカニクス）の維持が鍵。</w:t>
      </w:r>
    </w:p>
    <w:p>
      <w:pPr>
        <w:pStyle w:val="ListBullet"/>
      </w:pPr>
      <w:r>
        <w:rPr>
          <w:b/>
        </w:rPr>
        <w:t xml:space="preserve">開発コストの超過: </w:t>
      </w:r>
      <w:r>
        <w:t>モバイル対応、AI強化等の開発投資が計画を上回るリスク。</w:t>
      </w:r>
    </w:p>
    <w:p>
      <w:pPr>
        <w:pStyle w:val="Heading2"/>
      </w:pPr>
      <w:r>
        <w:rPr>
          <w:color w:val="2D1B69"/>
        </w:rPr>
        <w:t>7.2 シナリオ分析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1B69" w:val="clear"/>
          </w:tcPr>
          <w:p>
            <w:r>
              <w:rPr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160"/>
            <w:shd w:fill="2D1B69" w:val="clear"/>
          </w:tcPr>
          <w:p>
            <w:r>
              <w:rPr>
                <w:b/>
                <w:color w:val="FFFFFF"/>
                <w:sz w:val="18"/>
              </w:rPr>
              <w:t>5年目売上高</w:t>
            </w:r>
          </w:p>
        </w:tc>
        <w:tc>
          <w:tcPr>
            <w:tcW w:type="dxa" w:w="2160"/>
            <w:shd w:fill="2D1B69" w:val="clear"/>
          </w:tcPr>
          <w:p>
            <w:r>
              <w:rPr>
                <w:b/>
                <w:color w:val="FFFFFF"/>
                <w:sz w:val="18"/>
              </w:rPr>
              <w:t>5年目営業利益</w:t>
            </w:r>
          </w:p>
        </w:tc>
        <w:tc>
          <w:tcPr>
            <w:tcW w:type="dxa" w:w="2160"/>
            <w:shd w:fill="2D1B69" w:val="clear"/>
          </w:tcPr>
          <w:p>
            <w:r>
              <w:rPr>
                <w:b/>
                <w:color w:val="FFFFFF"/>
                <w:sz w:val="18"/>
              </w:rPr>
              <w:t>前提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楽観シナリオ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¥3,200M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¥2,500M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顧客獲得1.5倍、ARPU20%増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基本シナリオ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¥2,130M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¥1,620M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本レポートの想定通り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悲観シナリオ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¥850M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¥300M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顧客獲得60%、チャーン率1.5倍</w:t>
            </w:r>
          </w:p>
        </w:tc>
      </w:tr>
    </w:tbl>
    <w:p/>
    <w:p>
      <w:pPr>
        <w:pStyle w:val="Heading1"/>
      </w:pPr>
      <w:r>
        <w:rPr>
          <w:color w:val="2D1B69"/>
        </w:rPr>
        <w:t>8. 結論</w:t>
      </w:r>
    </w:p>
    <w:p>
      <w:r>
        <w:t>Quest HRは、急成長するゲーミフィケーション×HR市場において、SaaSサブスクリプションモデルにより5年で年間売上21億円を目指す。RPGメカニクスという独自の差別化要因により、適切なプライシングと顧客獲得戦略を実行すれば、高い営業利益率（76%）を達成可能である。初期の顧客獲得とチャーン率の管理が収益性を左右する最重要因子であり、プロダクト品質とカスタマーサクセスへの投資を惜しまないことが成功の鍵とな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