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2"/>
      </w:pPr>
      <w:r>
        <w:t xml:space="preserve">Progreso de Remediación</w:t>
      </w:r>
    </w:p>
    <w:p>
      <w:pPr>
        <w:spacing w:after="100"/>
      </w:pPr>
      <w:r>
        <w:rPr>
          <w:sz w:val="22"/>
          <w:szCs w:val="22"/>
        </w:rPr>
        <w:t xml:space="preserve">Al 1 de febrero de 2026, 111 de 197 hallazgos (56%) han sido remediados en 5 rondas de correcciones. Los 30 items de la hoja de ruta (Tier 1 + 2 + 3) están completos.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Hallazgos Corregidos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111 / 197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Items de Hoja de Ruta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30 / 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Restantes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0"/>
                <w:szCs w:val="40"/>
              </w:rPr>
              <w:t xml:space="preserve">86</w:t>
            </w:r>
          </w:p>
        </w:tc>
      </w:tr>
    </w:tbl>
    <w:p>
      <w:pPr>
        <w:spacing w:before="100" w:after="200"/>
      </w:pPr>
      <w:r>
        <w:rPr>
          <w:i/>
          <w:iCs/>
          <w:color w:val="546E7A"/>
          <w:sz w:val="20"/>
          <w:szCs w:val="20"/>
        </w:rPr>
        <w:t xml:space="preserve">Los items restantes son principalmente de severidad Baja/Info: documentación de versionado API, anotaciones OpenAPI, estrictez de tipos, logging de infraestructura y mejoras cosméticas.</w:t>
      </w:r>
    </w:p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86/100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33/43 hallazgos corregidos. Ronda 6: rotación de secretos webhook (SEC-027), aislamiento de namespace Socket.IO (SEC-031), Google Fonts CDN eliminado (SEC-033). Pendientes: SEC-032, SEC-034+.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corregidos. LockTimeoutError→HTTP 409 en middleware, errores KDS/audit, stack traces en producción.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6/11 corregidos. Ronda 6: estrategia de versionado API documentada (API-003), sendSuccess consistente en todos los controladores (API-006). Pendientes: spec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11/18 corregidos. Ronda 6: reconciliación de rollback de sync de pagos (DB-010). Pendientes: índices compuestos, optimizaciones adicionales.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10/28 corregidos. 'as any' eliminados, variables de error estandarizadas, mensajes en español traducidos a inglés. Pendientes: anotaciones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corregidos. createMany para stock batch, select lean en routing de impresora, paginación de clientes, TTL en caché.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4/8 corregidos. Ronda 6: opciones TypeScript strict mode habilitadas (CFG-005). Pendientes: docs SSL.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corregidos. 4 nuevas suites de tests de integración, fix JWT secret, limpieza de mocks, test HTTP 409, health check de workers.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86) + Manejo de Errores (15% x 85) + Diseño de API (15% x 78) + Base de Datos (12% x 88) + Calidad de Código (10% x 72) + Rendimiento (8% x 82) + Dependencias (7% x 65) + Configuración (5% x 78) + Testing (5% x 65) + Documentación (3% x 55) = 88/100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  <w:r>
        <w:rPr>
          <w:b/>
          <w:bCs/>
          <w:color w:val="2E7D32"/>
          <w:sz w:val="22"/>
          <w:szCs w:val="22"/>
        </w:rPr>
        <w:t xml:space="preserve">  [11/11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  <w:r>
        <w:rPr>
          <w:b/>
          <w:bCs/>
          <w:color w:val="2E7D32"/>
          <w:sz w:val="22"/>
          <w:szCs w:val="22"/>
        </w:rPr>
        <w:t xml:space="preserve">  [12/12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  <w:r>
        <w:rPr>
          <w:b/>
          <w:bCs/>
          <w:color w:val="2E7D32"/>
          <w:sz w:val="22"/>
          <w:szCs w:val="22"/>
        </w:rPr>
        <w:t xml:space="preserve">  [7/7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2500"/>
        <w:gridCol w:w="366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2026-02-02T01:46:30.540Z</dcterms:created>
  <dcterms:modified xsi:type="dcterms:W3CDTF">2026-02-02T01:46:30.541Z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