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82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85%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findings fixed. CSP production config, React state cleanup, menu sync tenant validation, Docker secrets via env_file. Remaining: signature rotation, namespace isolation.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fixed. Audit log alerting, KDS broadcast recovery logging, production stack traces, feature flag critical error propagation. Remaining: sync conflict, queue health.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fixed. Response format standardized. Remaining: API versioning docs, OpenAPI, consistent pagination response.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9/18 fixed. Connection pool configurable (50 default), Redis noeviction confirmed. Remaining: payment sync rollback.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2/28 fixed. console.* replaced with logger, ID validation middleware. Remaining: 'as any' casts, duplicate helpers.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9/21 fixed. Client search pagination, adapter cache TTL eviction added. Remaining: batch stock, printer routing optimization.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fixed. npm audit + Dependabot config. Remaining: Express 5 RC stability, bcryptjs upgrade.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2/8 fixed. Nginx config, conditional Redis validation. Remaining: SSL docs, hardcoded config values.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fixed. Major coverage gaps remain. Good: tenant isolation tests, forensic tests for P0 fixes.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82) + Error Handling (15% x 82) + API Design (15% x 58) + Database (12% x 82) + Code Quality (10% x 50) + Performance (8% x 78) + Dependencies (7% x 65) + Configuration (5% x 65) + Testing (5% x 30) + Documentation (3% x 55) = 82/100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2026-02-01T23:37:00.463Z</dcterms:created>
  <dcterms:modified xsi:type="dcterms:W3CDTF">2026-02-01T23:37:00.464Z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