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78859F" w14:textId="77777777" w:rsidR="0094284E" w:rsidRPr="0094284E" w:rsidRDefault="0094284E" w:rsidP="0094284E">
      <w:pPr>
        <w:spacing w:before="240" w:after="240"/>
        <w:ind w:firstLine="0"/>
        <w:jc w:val="center"/>
        <w:rPr>
          <w:rFonts w:eastAsia="Times New Roman" w:cs="Times New Roman"/>
          <w:b/>
          <w:bCs/>
          <w:sz w:val="36"/>
          <w:szCs w:val="36"/>
          <w:lang w:val="en-SE"/>
        </w:rPr>
      </w:pPr>
      <w:r w:rsidRPr="0094284E">
        <w:rPr>
          <w:rFonts w:eastAsia="Times New Roman" w:cs="Times New Roman"/>
          <w:b/>
          <w:bCs/>
          <w:sz w:val="36"/>
          <w:szCs w:val="36"/>
          <w:lang w:val="en-SE"/>
        </w:rPr>
        <w:t>Infrastructure, Race, and Urban Change in Brazil: A Computational Framework for Constructing a National Database of Major Infrastructure Projects</w:t>
      </w:r>
    </w:p>
    <w:p w14:paraId="2E4B85EA" w14:textId="3E31DECB" w:rsidR="00DE1AD5" w:rsidRPr="00C84624" w:rsidRDefault="007C0A06" w:rsidP="00C84624">
      <w:pPr>
        <w:spacing w:before="240" w:after="240"/>
        <w:ind w:firstLine="0"/>
        <w:jc w:val="center"/>
        <w:rPr>
          <w:rFonts w:eastAsia="Times New Roman" w:cs="Times New Roman"/>
          <w:szCs w:val="24"/>
          <w:lang w:val="en-SE"/>
        </w:rPr>
      </w:pPr>
      <w:r>
        <w:rPr>
          <w:rFonts w:eastAsia="Times New Roman" w:cs="Times New Roman"/>
          <w:b/>
          <w:bCs/>
          <w:szCs w:val="24"/>
        </w:rPr>
        <w:t>Fabio Schreiber</w:t>
      </w:r>
      <w:r w:rsidR="10070757" w:rsidRPr="10070757">
        <w:rPr>
          <w:rFonts w:eastAsia="Times New Roman" w:cs="Times New Roman"/>
          <w:b/>
          <w:bCs/>
          <w:szCs w:val="24"/>
        </w:rPr>
        <w:t xml:space="preserve">, </w:t>
      </w:r>
      <w:r>
        <w:rPr>
          <w:rFonts w:eastAsia="Times New Roman" w:cs="Times New Roman"/>
          <w:szCs w:val="24"/>
        </w:rPr>
        <w:t>Lund University</w:t>
      </w:r>
      <w:r w:rsidR="00C84624">
        <w:rPr>
          <w:rFonts w:eastAsia="Times New Roman" w:cs="Times New Roman"/>
          <w:szCs w:val="24"/>
        </w:rPr>
        <w:t>;</w:t>
      </w:r>
      <w:r w:rsidR="10070757" w:rsidRPr="00DE1AD5">
        <w:rPr>
          <w:rFonts w:eastAsia="Times New Roman" w:cs="Times New Roman"/>
          <w:szCs w:val="24"/>
        </w:rPr>
        <w:t xml:space="preserve"> </w:t>
      </w:r>
      <w:r w:rsidRPr="007C0A06">
        <w:rPr>
          <w:rFonts w:eastAsia="Times New Roman" w:cs="Times New Roman"/>
          <w:b/>
          <w:bCs/>
          <w:szCs w:val="24"/>
        </w:rPr>
        <w:t>Philipp Stark</w:t>
      </w:r>
      <w:r w:rsidR="10070757" w:rsidRPr="10070757">
        <w:rPr>
          <w:rFonts w:eastAsia="Times New Roman" w:cs="Times New Roman"/>
          <w:b/>
          <w:bCs/>
          <w:szCs w:val="24"/>
        </w:rPr>
        <w:t xml:space="preserve">, </w:t>
      </w:r>
      <w:r w:rsidR="00C84624">
        <w:rPr>
          <w:rFonts w:eastAsia="Times New Roman" w:cs="Times New Roman"/>
          <w:szCs w:val="24"/>
        </w:rPr>
        <w:t>Lund University</w:t>
      </w:r>
    </w:p>
    <w:p w14:paraId="0625579B" w14:textId="68D0DFC3" w:rsidR="00745F5D" w:rsidRPr="00745F5D" w:rsidRDefault="00FF4081" w:rsidP="00FE1FFA">
      <w:pPr>
        <w:spacing w:after="200" w:line="276" w:lineRule="auto"/>
        <w:ind w:firstLine="0"/>
        <w:jc w:val="both"/>
        <w:rPr>
          <w:lang w:val="en-SE"/>
        </w:rPr>
      </w:pPr>
      <w:r w:rsidRPr="00FF4081">
        <w:rPr>
          <w:lang w:val="en-SE"/>
        </w:rPr>
        <w:t>Large-scale infrastructure investments are frequently promoted as instruments of urban development</w:t>
      </w:r>
      <w:r w:rsidR="007C0A06">
        <w:rPr>
          <w:lang w:val="en-SE"/>
        </w:rPr>
        <w:t>.</w:t>
      </w:r>
      <w:r w:rsidRPr="00FF4081">
        <w:rPr>
          <w:lang w:val="en-SE"/>
        </w:rPr>
        <w:t xml:space="preserve"> </w:t>
      </w:r>
      <w:r w:rsidR="007C0A06" w:rsidRPr="007C0A06">
        <w:rPr>
          <w:lang w:val="en-SE"/>
        </w:rPr>
        <w:t>However, it remains unclear who benefits from them.</w:t>
      </w:r>
      <w:r w:rsidRPr="00FF4081">
        <w:rPr>
          <w:lang w:val="en-SE"/>
        </w:rPr>
        <w:t xml:space="preserve"> </w:t>
      </w:r>
      <w:r w:rsidR="00C84624" w:rsidRPr="00C84624">
        <w:t>While it has been investigated under a class-based framing, racial inequality remains under-researched in this aspect</w:t>
      </w:r>
      <w:r w:rsidR="00E910E5">
        <w:rPr>
          <w:lang w:val="en-SE"/>
        </w:rPr>
        <w:t xml:space="preserve"> </w:t>
      </w:r>
      <w:r w:rsidR="00E910E5">
        <w:rPr>
          <w:lang w:val="en-SE"/>
        </w:rPr>
        <w:fldChar w:fldCharType="begin"/>
      </w:r>
      <w:r w:rsidR="00E910E5">
        <w:rPr>
          <w:lang w:val="en-SE"/>
        </w:rPr>
        <w:instrText xml:space="preserve"> ADDIN ZOTERO_ITEM CSL_CITATION {"citationID":"5cpbDba5","properties":{"unsorted":false,"formattedCitation":"(Dantzler, 2021)","plainCitation":"(Dantzler, 2021)","noteIndex":0},"citationItems":[{"id":2541,"uris":["http://zotero.org/users/9149587/items/32S3592M"],"itemData":{"id":2541,"type":"article-journal","citation-key":"dantzlerUrbanProcessRacial2021","container-title":"Journal of Race, Ethnicity and the City","DOI":"10.1080/26884674.2021.1934201","ISSN":"2688-4674, 2688-4682","issue":"2","journalAbbreviation":"Journal of Race, Ethnicity and the City","language":"en","page":"113-134","source":"DOI.org (Crossref)","title":"The urban process under racial capitalism: Race, anti-Blackness, and capital accumulation","title-short":"The urban process under racial capitalism","volume":"2","author":[{"family":"Dantzler","given":"Prentiss A."}],"issued":{"date-parts":[["2021",7,3]]}}}],"schema":"https://github.com/citation-style-language/schema/raw/master/csl-citation.json"} </w:instrText>
      </w:r>
      <w:r w:rsidR="00E910E5">
        <w:rPr>
          <w:lang w:val="en-SE"/>
        </w:rPr>
        <w:fldChar w:fldCharType="separate"/>
      </w:r>
      <w:r w:rsidR="00E910E5">
        <w:rPr>
          <w:noProof/>
          <w:lang w:val="en-SE"/>
        </w:rPr>
        <w:t>(Dantzler, 2021)</w:t>
      </w:r>
      <w:r w:rsidR="00E910E5">
        <w:rPr>
          <w:lang w:val="en-SE"/>
        </w:rPr>
        <w:fldChar w:fldCharType="end"/>
      </w:r>
      <w:r w:rsidR="00745F5D" w:rsidRPr="00745F5D">
        <w:rPr>
          <w:lang w:val="en-SE"/>
        </w:rPr>
        <w:t xml:space="preserve">. </w:t>
      </w:r>
      <w:r w:rsidR="005F4F98" w:rsidRPr="005F4F98">
        <w:rPr>
          <w:lang w:val="en-SE"/>
        </w:rPr>
        <w:t xml:space="preserve">In Brazil, urban planning has historically contributed to the reproduction of </w:t>
      </w:r>
      <w:r w:rsidR="005F4F98" w:rsidRPr="00212405">
        <w:rPr>
          <w:highlight w:val="yellow"/>
          <w:lang w:val="en-SE"/>
        </w:rPr>
        <w:t>racially segregated spaces</w:t>
      </w:r>
      <w:r w:rsidR="005F4F98" w:rsidRPr="005F4F98">
        <w:rPr>
          <w:lang w:val="en-SE"/>
        </w:rPr>
        <w:t xml:space="preserve"> and unequal access to urban resources, while infrastructure and development interventions have often been implemented through colour-blind approaches that overlook </w:t>
      </w:r>
      <w:r w:rsidR="005F4F98" w:rsidRPr="003922BC">
        <w:rPr>
          <w:highlight w:val="yellow"/>
          <w:lang w:val="en-SE"/>
        </w:rPr>
        <w:t>racialised patterns of inequality</w:t>
      </w:r>
      <w:r w:rsidRPr="00FF4081">
        <w:rPr>
          <w:lang w:val="en-SE"/>
        </w:rPr>
        <w:t xml:space="preserve"> </w:t>
      </w:r>
      <w:r w:rsidR="00E51B74">
        <w:rPr>
          <w:lang w:val="en-SE"/>
        </w:rPr>
        <w:fldChar w:fldCharType="begin"/>
      </w:r>
      <w:r w:rsidR="00E51B74">
        <w:rPr>
          <w:lang w:val="en-SE"/>
        </w:rPr>
        <w:instrText xml:space="preserve"> ADDIN ZOTERO_ITEM CSL_CITATION {"citationID":"dUWYKdNl","properties":{"unsorted":false,"formattedCitation":"(Melga\\uc0\\u231{}o &amp; Xavier Pinto Coelho, 2022; Xavier Pinto Coelho &amp; Melga\\uc0\\u231{}o, 2025)","plainCitation":"(Melgaço &amp; Xavier Pinto Coelho, 2022; Xavier Pinto Coelho &amp; Melgaço, 2025)","noteIndex":0},"citationItems":[{"id":5,"uris":["http://zotero.org/users/9149587/items/X44NYUJY"],"itemData":{"id":5,"type":"article-journal","abstract":"This article analyzes two planned cities—Belo Horizonte (Brazil) and Bloemfontein (South Africa)—to investigate connectivities across geographies and temporalities and reveal the role of urban planning in racial capitalism. Early works in urban sociology underscore the color line in producing differentiation in capitalist development. But color-blind analyses of capitalism have undermined the role of race in the urbanization process and formation of value—of places and people—and how the modern triad—colonial, racial, and capital—is deeply implicated in power modalities. Based on policy analysis, we historicize political choices discussing urban planning and national developmentalist schemes after redemocratization that produced racial-spatial inequalities. We argue that color-blind urban policies still neglect the role of race in the production of Brazilian and South African cities under the guise of “planning innocence.” This discussion expands our understanding of urbanization and capital accumulation as a dialectical process of Black dispossession and the protection of White property in the postcolony.","citation-key":"melgacoRaceSpacePostcolony2022","container-title":"City &amp; Community","DOI":"10.1177/15356841221087195","ISSN":"1535-6841, 1540-6040","issue":"3","journalAbbreviation":"City &amp; Community","language":"en","page":"214-237","source":"DOI.org (Crossref)","title":"Race and Space in the Postcolony: A Relational Study on Urban Planning Under Racial Capitalism in Brazil and South Africa","title-short":"Race and Space in the Postcolony","volume":"21","author":[{"family":"Melgaço","given":"Lorena"},{"family":"Xavier Pinto Coelho","given":"Luana"}],"issued":{"date-parts":[["2022",9]]}}},{"id":2532,"uris":["http://zotero.org/users/9149587/items/TEH5Y6TF"],"itemData":{"id":2532,"type":"article-journal","abstract":"A key critique of urban planning in postcolonial contexts is the persistence of Western/Eurocentric approaches that disregard the spatial production of Black and Indigenous populations as legitimate. In Brazil, despite shifts from authoritarian to democratic governments, racialised territories have consistently been subjected to state intervention. While policies have evolved—from deregulation and disinvestment to infrastructural investment—the underlying patterns of violence, dispossession, and undemocratic practices endure. This article explores the connection between Brazil’s authoritarian urban planning history and the tenets of racial capitalism. Through a qualitative research synthesis, we examine scholarly literature focusing on the Growth Acceleration Programme on Urbanisation of Precarious Settlements (PAC‐UAP) during the Workers’ Party (PT) administration (2003–2016). Our aim is to (a) identify the conceptual and analytical approaches used by researchers, and (b) put these studies into dialogue with racial capitalism. By doing so, we unveil the inherent non‐democratic tradition of planning in Brazil despite the implementation of a progressive policy. Furthermore, we point to the relevance of using racial capitalism as a lens to understand the causes of structural violence that remain in urban planning.","citation-key":"xavierpintocoelhoPrecariousSettlementUpgrading2025","container-title":"Urban Planning","DOI":"10.17645/up.9674","ISSN":"2183-7635","journalAbbreviation":"UP","license":"https://creativecommons.org/licenses/by/4.0","page":"9674","source":"DOI.org (Crossref)","title":"Precarious Settlement Upgrading and Racial Capitalism: Planning Authoritarianism and Its Crossroads for Democracy","title-short":"Precarious Settlement Upgrading and Racial Capitalism","volume":"10","author":[{"family":"Xavier Pinto Coelho","given":"Luana"},{"family":"Melgaço","given":"Lorena"}],"issued":{"date-parts":[["2025",5,21]]}}}],"schema":"https://github.com/citation-style-language/schema/raw/master/csl-citation.json"} </w:instrText>
      </w:r>
      <w:r w:rsidR="00E51B74">
        <w:rPr>
          <w:lang w:val="en-SE"/>
        </w:rPr>
        <w:fldChar w:fldCharType="separate"/>
      </w:r>
      <w:r w:rsidR="00E51B74" w:rsidRPr="00E51B74">
        <w:rPr>
          <w:rFonts w:cs="Times New Roman"/>
          <w:szCs w:val="24"/>
          <w:lang w:val="en-SE"/>
        </w:rPr>
        <w:t>(Melgaço &amp; Xavier Pinto Coelho, 2022; Xavier Pinto Coelho &amp; Melgaço, 2025)</w:t>
      </w:r>
      <w:r w:rsidR="00E51B74">
        <w:rPr>
          <w:lang w:val="en-SE"/>
        </w:rPr>
        <w:fldChar w:fldCharType="end"/>
      </w:r>
      <w:r w:rsidR="00E51B74">
        <w:rPr>
          <w:lang w:val="en-SE"/>
        </w:rPr>
        <w:t>.</w:t>
      </w:r>
      <w:r w:rsidR="00745F5D" w:rsidRPr="00745F5D">
        <w:rPr>
          <w:lang w:val="en-SE"/>
        </w:rPr>
        <w:t xml:space="preserve"> </w:t>
      </w:r>
      <w:r w:rsidR="00FA3E17" w:rsidRPr="00FA3E17">
        <w:rPr>
          <w:lang w:val="en-SE"/>
        </w:rPr>
        <w:t>Although individual case studies suggest that infrastructure investments may contribute to urban inequality, the absence of a systematic database of large infrastructure projects has prevented national-scale analysis. The availability of census tract data from 2010 and 2022 creates a unique opportunity to examine these relationships across Brazil</w:t>
      </w:r>
      <w:r w:rsidR="00FA3E17">
        <w:rPr>
          <w:lang w:val="en-SE"/>
        </w:rPr>
        <w:t xml:space="preserve"> </w:t>
      </w:r>
      <w:r w:rsidR="00FA3E17">
        <w:rPr>
          <w:lang w:val="en-SE"/>
        </w:rPr>
        <w:fldChar w:fldCharType="begin"/>
      </w:r>
      <w:r w:rsidR="00FA3E17">
        <w:rPr>
          <w:lang w:val="en-SE"/>
        </w:rPr>
        <w:instrText xml:space="preserve"> ADDIN ZOTERO_ITEM CSL_CITATION {"citationID":"gkwMSens","properties":{"unsorted":false,"formattedCitation":"(IBGE, 2012, 2024)","plainCitation":"(IBGE, 2012, 2024)","noteIndex":0},"citationItems":[{"id":2535,"uris":["http://zotero.org/users/9149587/items/JCQ5X6JM"],"itemData":{"id":2535,"type":"dataset","citation-key":"ibgeCensoDemografico20222024","language":"pt","note":"2010 Demographic Census: Census Tract Aggregate of Universe Results","title":"Censo Demográfico 2010: agregado de Setores Censitários dos Resultados do Universo","URL":"https://ftp.ibge.gov.br/Censos/Censo_Demografico_2010/","author":[{"family":"IBGE","given":""}],"issued":{"date-parts":[["2012"]]}}},{"id":2534,"uris":["http://zotero.org/users/9149587/items/HF9MAV99"],"itemData":{"id":2534,"type":"dataset","citation-key":"zotero-item-2534","language":"pt","note":"2022 Demographic Census: Census Tract Aggregate of Universe Results","title":"Censo Demográfico 2022: agregado de Setores Censitários dos Resultados do Universo","URL":"https://ftp.ibge.gov.br/Censos/Censo_Demografico_2022/","author":[{"family":"IBGE","given":""}],"issued":{"date-parts":[["2024"]]}}}],"schema":"https://github.com/citation-style-language/schema/raw/master/csl-citation.json"} </w:instrText>
      </w:r>
      <w:r w:rsidR="00FA3E17">
        <w:rPr>
          <w:lang w:val="en-SE"/>
        </w:rPr>
        <w:fldChar w:fldCharType="separate"/>
      </w:r>
      <w:r w:rsidR="00FA3E17">
        <w:rPr>
          <w:noProof/>
          <w:lang w:val="en-SE"/>
        </w:rPr>
        <w:t>(IBGE, 2012, 2024)</w:t>
      </w:r>
      <w:r w:rsidR="00FA3E17">
        <w:rPr>
          <w:lang w:val="en-SE"/>
        </w:rPr>
        <w:fldChar w:fldCharType="end"/>
      </w:r>
      <w:r w:rsidR="00FA3E17">
        <w:rPr>
          <w:lang w:val="en-SE"/>
        </w:rPr>
        <w:t>.</w:t>
      </w:r>
    </w:p>
    <w:p w14:paraId="62FE5A12" w14:textId="69ACE267" w:rsidR="00050CCC" w:rsidRPr="00050CCC" w:rsidRDefault="00261D38" w:rsidP="00261D38">
      <w:pPr>
        <w:spacing w:after="200" w:line="276" w:lineRule="auto"/>
        <w:ind w:firstLine="0"/>
        <w:jc w:val="both"/>
        <w:rPr>
          <w:lang w:val="en-SE"/>
        </w:rPr>
      </w:pPr>
      <w:r w:rsidRPr="00261D38">
        <w:rPr>
          <w:lang w:val="en-SE"/>
        </w:rPr>
        <w:t xml:space="preserve">We address this limitation by developing a computational framework for building a </w:t>
      </w:r>
      <w:r w:rsidR="0094284E" w:rsidRPr="0094284E">
        <w:rPr>
          <w:lang w:val="en-SE"/>
        </w:rPr>
        <w:t>georeferenced national database of major infrastructure projects</w:t>
      </w:r>
      <w:r w:rsidRPr="00261D38">
        <w:rPr>
          <w:lang w:val="en-SE"/>
        </w:rPr>
        <w:t xml:space="preserve"> covering the 2010 to 2022 intercensal period. </w:t>
      </w:r>
      <w:r w:rsidR="007828AD" w:rsidRPr="007828AD">
        <w:rPr>
          <w:lang w:val="en-SE"/>
        </w:rPr>
        <w:t xml:space="preserve">Critical project attributes are often available in planning and licensing documents even when absent from structured datasets </w:t>
      </w:r>
      <w:r w:rsidR="007828AD">
        <w:rPr>
          <w:lang w:val="en-SE"/>
        </w:rPr>
        <w:fldChar w:fldCharType="begin"/>
      </w:r>
      <w:r w:rsidR="007828AD">
        <w:rPr>
          <w:lang w:val="en-SE"/>
        </w:rPr>
        <w:instrText xml:space="preserve"> ADDIN ZOTERO_ITEM CSL_CITATION {"citationID":"N8mmFqHO","properties":{"unsorted":false,"formattedCitation":"(Hyde et al., 2025)","plainCitation":"(Hyde et al., 2025)","noteIndex":0},"citationItems":[{"id":2499,"uris":["http://zotero.org/users/9149587/items/IF6XXYCH"],"itemData":{"id":2499,"type":"article-journal","abstract":"New infrastructure projects are planned or under construction in several countries, including in the bioculturally diverse Amazon, Mekong, and Congo regions. While infrastructure development can improve human health and living standards, it may also lead to environmental degradation, such as deforestation, and social change, such as loss of livelihoods. Accessible, high-quality data about infrastructure projects is essential for both monitoring these projects and studying their social and environmental impacts. As a case study, we investigated the availability and quality of data on infrastructure projects in the Brazilian Amazon by reviewing the academic literature and surveying researchers from the conservation and development community. We used the results of these surveys to identify recommended steps for the gathering, organizing, and sharing of infrastructure data by social-ecological researchers and practitioners. Although data on infrastructure in the Brazilian Amazon were generally available, they were often of poor quality and lacked information critical for monitoring and research. Data were often difficult to find on government and non-government websites as well as reformat, resulting in loss of time and resources for researchers and other stakeholders. Discrepancies between researchers’ survey responses on data needs and the types of data used in peer-reviewed articles on infrastructure projects indicate the following information was often missing: geographic extent of the project, construction and operation dates, and project type (e.g., paved vs. unpaved road). Including these data in a standardized format, along with making them more readily accessible by hosting them in public repositories and ensuring they are current and comprehensive, would facilitate research and improve planning, decision-making, and monitoring of operational and planned infrastructure projects in Brazil and other developing countries.","citation-key":"hydeLackOpenData2025","container-title":"PeerJ","DOI":"10.7717/peerj.19926","ISSN":"2167-8359","journalAbbreviation":"PeerJ","page":"e19926","PMID":"40949737","PMCID":"PMC12428534","source":"PubMed Central","title":"A lack of open data standards for large infrastructure projects hampers social-ecological research in the Brazilian Amazon","volume":"13","author":[{"family":"Hyde","given":"Jacy L."},{"family":"Swanson","given":"Christine"},{"family":"Bohlman","given":"Stephanie A."},{"family":"Athayde","given":"Simone"},{"family":"Bruna","given":"Emilio M."},{"family":"Valle","given":"Denis R."}],"issued":{"date-parts":[["2025",9,9]]}}}],"schema":"https://github.com/citation-style-language/schema/raw/master/csl-citation.json"} </w:instrText>
      </w:r>
      <w:r w:rsidR="007828AD">
        <w:rPr>
          <w:lang w:val="en-SE"/>
        </w:rPr>
        <w:fldChar w:fldCharType="separate"/>
      </w:r>
      <w:r w:rsidR="007828AD">
        <w:rPr>
          <w:noProof/>
          <w:lang w:val="en-SE"/>
        </w:rPr>
        <w:t>(Hyde et al., 2025)</w:t>
      </w:r>
      <w:r w:rsidR="007828AD">
        <w:rPr>
          <w:lang w:val="en-SE"/>
        </w:rPr>
        <w:fldChar w:fldCharType="end"/>
      </w:r>
      <w:r w:rsidR="007828AD">
        <w:rPr>
          <w:lang w:val="en-SE"/>
        </w:rPr>
        <w:t>.</w:t>
      </w:r>
      <w:r w:rsidR="00C3346D" w:rsidRPr="00C3346D">
        <w:rPr>
          <w:lang w:val="en-SE"/>
        </w:rPr>
        <w:t xml:space="preserve"> </w:t>
      </w:r>
      <w:r w:rsidR="007828AD" w:rsidRPr="007828AD">
        <w:rPr>
          <w:lang w:val="en-SE"/>
        </w:rPr>
        <w:t>Project records will be identified from planning and licensing sources, including IBAMA environmental licensing files, PAC investment records, and ANEEL energy project databases.</w:t>
      </w:r>
      <w:r w:rsidRPr="00261D38">
        <w:rPr>
          <w:lang w:val="en-SE"/>
        </w:rPr>
        <w:t xml:space="preserve"> </w:t>
      </w:r>
      <w:r w:rsidR="007828AD" w:rsidRPr="007828AD">
        <w:rPr>
          <w:lang w:val="en-SE"/>
        </w:rPr>
        <w:t>Large language model-based information extraction techniques will be used to convert these records into structured project data</w:t>
      </w:r>
      <w:r>
        <w:rPr>
          <w:lang w:val="en-SE"/>
        </w:rPr>
        <w:t xml:space="preserve"> </w:t>
      </w:r>
      <w:r>
        <w:rPr>
          <w:lang w:val="en-SE"/>
        </w:rPr>
        <w:fldChar w:fldCharType="begin"/>
      </w:r>
      <w:r>
        <w:rPr>
          <w:lang w:val="en-SE"/>
        </w:rPr>
        <w:instrText xml:space="preserve"> ADDIN ZOTERO_ITEM CSL_CITATION {"citationID":"McYDI0Az","properties":{"unsorted":false,"formattedCitation":"(Perot et al., 2024)","plainCitation":"(Perot et al., 2024)","noteIndex":0},"citationItems":[{"id":2536,"uris":["http://zotero.org/users/9149587/items/YITWH67K"],"itemData":{"id":2536,"type":"article","abstract":"Large Language Models (LLM) have revolutionized Natural Language Processing (NLP), improving state-of-the-art and exhibiting emergent capabilities across various tasks. However, their application in extracting information from visually rich documents, which is at the core of many document processing workflows and involving the extraction of key entities from semi-structured documents, has not yet been successful. The main obstacles to adopting LLMs for this task include the absence of layout encoding within LLMs, which is critical for high quality extraction, and the lack of a grounding mechanism to localize the predicted entities within the document. In this paper, we introduce Language Model-based Document Information Extraction and Localization (LMDX), a methodology to reframe the document information extraction task for a LLM. LMDX enables extraction of singular, repeated, and hierarchical entities, both with and without training data, while providing grounding guarantees and localizing the entities within the document. Finally, we apply LMDX to the PaLM 2-S and Gemini Pro LLMs and evaluate it on VRDU and CORD benchmarks, setting a new state-of-the-art and showing how LMDX enables the creation of high quality, data-efficient parsers.","citation-key":"perotLMDXLanguageModelbased2024","DOI":"10.48550/arXiv.2309.10952","note":"arXiv:2309.10952 [cs.CL]","number":"arXiv:2309.10952","publisher":"arXiv","source":"arXiv.org","title":"LMDX: Language Model-based Document Information Extraction and Localization","title-short":"LMDX","URL":"http://arxiv.org/abs/2309.10952","author":[{"family":"Perot","given":"Vincent"},{"family":"Kang","given":"Kai"},{"family":"Luisier","given":"Florian"},{"family":"Su","given":"Guolong"},{"family":"Sun","given":"Xiaoyu"},{"family":"Boppana","given":"Ramya Sree"},{"family":"Wang","given":"Zilong"},{"family":"Wang","given":"Zifeng"},{"family":"Mu","given":"Jiaqi"},{"family":"Zhang","given":"Hao"},{"family":"Lee","given":"Chen-Yu"},{"family":"Hua","given":"Nan"}],"accessed":{"date-parts":[["2026",6,22]]},"issued":{"date-parts":[["2024",6,21]]}}}],"schema":"https://github.com/citation-style-language/schema/raw/master/csl-citation.json"} </w:instrText>
      </w:r>
      <w:r>
        <w:rPr>
          <w:lang w:val="en-SE"/>
        </w:rPr>
        <w:fldChar w:fldCharType="separate"/>
      </w:r>
      <w:r>
        <w:rPr>
          <w:noProof/>
          <w:lang w:val="en-SE"/>
        </w:rPr>
        <w:t>(Perot et al., 2024)</w:t>
      </w:r>
      <w:r>
        <w:rPr>
          <w:lang w:val="en-SE"/>
        </w:rPr>
        <w:fldChar w:fldCharType="end"/>
      </w:r>
      <w:r w:rsidRPr="00261D38">
        <w:rPr>
          <w:lang w:val="en-SE"/>
        </w:rPr>
        <w:t xml:space="preserve">. </w:t>
      </w:r>
      <w:r w:rsidR="007828AD" w:rsidRPr="007828AD">
        <w:rPr>
          <w:lang w:val="en-SE"/>
        </w:rPr>
        <w:t>The resulting records will then be geocoded, linked, and deduplicated to create a national database of infrastructure interventions across the energy, transport, sanitation, and housing sectors.</w:t>
      </w:r>
    </w:p>
    <w:p w14:paraId="40129657" w14:textId="3E811C03" w:rsidR="000D34B4" w:rsidRDefault="000D34B4" w:rsidP="000D34B4">
      <w:pPr>
        <w:spacing w:after="200" w:line="276" w:lineRule="auto"/>
        <w:ind w:firstLine="0"/>
        <w:jc w:val="both"/>
        <w:rPr>
          <w:lang w:val="en-SE"/>
        </w:rPr>
      </w:pPr>
      <w:r w:rsidRPr="000D34B4">
        <w:rPr>
          <w:lang w:val="en-SE"/>
        </w:rPr>
        <w:t>The framework further integrates Earth observation data to improve the completeness and reliability of project records. Previous research has shown that satellite imagery can provide an independent source of information on infrastructure implementation and construction progres</w:t>
      </w:r>
      <w:r>
        <w:rPr>
          <w:lang w:val="en-SE"/>
        </w:rPr>
        <w:t xml:space="preserve">s </w:t>
      </w:r>
      <w:r>
        <w:rPr>
          <w:lang w:val="en-SE"/>
        </w:rPr>
        <w:fldChar w:fldCharType="begin"/>
      </w:r>
      <w:r>
        <w:rPr>
          <w:lang w:val="en-SE"/>
        </w:rPr>
        <w:instrText xml:space="preserve"> ADDIN ZOTERO_ITEM CSL_CITATION {"citationID":"JumZrJuK","properties":{"unsorted":false,"formattedCitation":"(Behnam et al., 2016)","plainCitation":"(Behnam et al., 2016)","noteIndex":0},"citationItems":[{"id":2540,"uris":["http://zotero.org/users/9149587/items/C7K8NUIZ"],"itemData":{"id":2540,"type":"article-journal","abstract":"This paper presents an automated system for progress monitoring of key repetitive construction activities in linear infrastructure projects. The prototype model utilizes several feature recognition techniques to automatically measure the actual progress of different locations in the project using high resolution satellite remote sensing images. A spatiotemporal database integrated with a baseline schedule automatically provides the location-based progress data. The system uses location-based charts and a progress map to generate and display the progress reports on a web-based open source interface. The prototype model was applied to an elevated railway project. The main beneﬁts of the proposed system include the automated measurement, enhanced visualization and documentation of planned/actual progress in large linear projects. The system can enhance the process of communication on deviations and construction eﬃciency between project decision makers through a web-based monitoring interface.","citation-key":"behnamAutomatedProgressMonitoring2016","container-title":"Automation in Construction","DOI":"10.1016/j.autcon.2016.05.002","ISSN":"09265805","journalAbbreviation":"Automation in Construction","language":"en","page":"114-127","source":"DOI.org (Crossref)","title":"Automated progress monitoring system for linear infrastructure projects using satellite remote sensing","volume":"68","author":[{"family":"Behnam","given":"Ali"},{"family":"Wickramasinghe","given":"Darshana Charitha"},{"family":"Ghaffar","given":"Moataz Ahmed Abdel"},{"family":"Vu","given":"Tuong Thuy"},{"family":"Tang","given":"Yu Hoe"},{"family":"Isa","given":"Hazril Bin Md"}],"issued":{"date-parts":[["2016",8]]}}}],"schema":"https://github.com/citation-style-language/schema/raw/master/csl-citation.json"} </w:instrText>
      </w:r>
      <w:r>
        <w:rPr>
          <w:lang w:val="en-SE"/>
        </w:rPr>
        <w:fldChar w:fldCharType="separate"/>
      </w:r>
      <w:r>
        <w:rPr>
          <w:noProof/>
          <w:lang w:val="en-SE"/>
        </w:rPr>
        <w:t>(Behnam et al., 2016)</w:t>
      </w:r>
      <w:r>
        <w:rPr>
          <w:lang w:val="en-SE"/>
        </w:rPr>
        <w:fldChar w:fldCharType="end"/>
      </w:r>
      <w:r w:rsidRPr="000D34B4">
        <w:rPr>
          <w:lang w:val="en-SE"/>
        </w:rPr>
        <w:t>. Sentinel-2 imagery will be used to corroborate reported project locations by identifying whether documented infrastructure interventions correspond to observable land surface change at the reported site. Comparisons between administrative records and remotely sensed observations will identify cases where project locations cannot be independently confirmed. These assessments will be retained as analytical attributes of the database. This approach provides a scalable means of evaluating the spatial reliability of infrastructure records at the national scale.</w:t>
      </w:r>
    </w:p>
    <w:p w14:paraId="518A7229" w14:textId="1DFC1500" w:rsidR="00FA3E17" w:rsidRDefault="0094284E" w:rsidP="003B4594">
      <w:pPr>
        <w:spacing w:after="200" w:line="276" w:lineRule="auto"/>
        <w:ind w:firstLine="0"/>
        <w:jc w:val="both"/>
        <w:rPr>
          <w:lang w:val="en-SE"/>
        </w:rPr>
      </w:pPr>
      <w:r w:rsidRPr="0094284E">
        <w:rPr>
          <w:lang w:val="en-SE"/>
        </w:rPr>
        <w:t xml:space="preserve">The project makes two contributions. First, it develops a computational framework for constructing a georeferenced national database of major infrastructure projects in Brazil by integrating fragmented documentary, administrative, and geospatial sources. Second, it creates </w:t>
      </w:r>
      <w:r w:rsidRPr="0094284E">
        <w:rPr>
          <w:lang w:val="en-SE"/>
        </w:rPr>
        <w:lastRenderedPageBreak/>
        <w:t>the foundations for examining how large-scale infrastructure development is associated with changes in the racial geography of Brazilian cities.</w:t>
      </w:r>
      <w:r w:rsidR="003B4594" w:rsidRPr="003B4594">
        <w:rPr>
          <w:lang w:val="en-SE"/>
        </w:rPr>
        <w:t xml:space="preserve"> </w:t>
      </w:r>
    </w:p>
    <w:p w14:paraId="3FE2D49E" w14:textId="7D76CC59" w:rsidR="00BF7551" w:rsidRDefault="00FA3E17" w:rsidP="00722B12">
      <w:pPr>
        <w:spacing w:line="276" w:lineRule="auto"/>
        <w:ind w:firstLine="0"/>
        <w:jc w:val="center"/>
        <w:rPr>
          <w:lang w:val="en-SE"/>
        </w:rPr>
      </w:pPr>
      <w:r>
        <w:rPr>
          <w:noProof/>
          <w:lang w:val="en-SE"/>
        </w:rPr>
        <w:drawing>
          <wp:inline distT="0" distB="0" distL="0" distR="0" wp14:anchorId="519C7984" wp14:editId="0CED0F76">
            <wp:extent cx="3675098" cy="4662438"/>
            <wp:effectExtent l="0" t="0" r="0" b="0"/>
            <wp:docPr id="3730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4568" name="Picture 373044568"/>
                    <pic:cNvPicPr/>
                  </pic:nvPicPr>
                  <pic:blipFill>
                    <a:blip r:embed="rId8">
                      <a:extLst>
                        <a:ext uri="{28A0092B-C50C-407E-A947-70E740481C1C}">
                          <a14:useLocalDpi xmlns:a14="http://schemas.microsoft.com/office/drawing/2010/main" val="0"/>
                        </a:ext>
                      </a:extLst>
                    </a:blip>
                    <a:stretch>
                      <a:fillRect/>
                    </a:stretch>
                  </pic:blipFill>
                  <pic:spPr>
                    <a:xfrm>
                      <a:off x="0" y="0"/>
                      <a:ext cx="3697985" cy="4691474"/>
                    </a:xfrm>
                    <a:prstGeom prst="rect">
                      <a:avLst/>
                    </a:prstGeom>
                  </pic:spPr>
                </pic:pic>
              </a:graphicData>
            </a:graphic>
          </wp:inline>
        </w:drawing>
      </w:r>
    </w:p>
    <w:p w14:paraId="73FF8DD6" w14:textId="301DA051" w:rsidR="00D3046C" w:rsidRPr="00D3046C" w:rsidRDefault="00D3046C" w:rsidP="003B4594">
      <w:pPr>
        <w:spacing w:after="200" w:line="276" w:lineRule="auto"/>
        <w:ind w:firstLine="0"/>
        <w:jc w:val="both"/>
        <w:rPr>
          <w:sz w:val="21"/>
          <w:szCs w:val="20"/>
          <w:lang w:val="en-SE"/>
        </w:rPr>
      </w:pPr>
      <w:r w:rsidRPr="00113C25">
        <w:rPr>
          <w:b/>
          <w:bCs/>
          <w:sz w:val="21"/>
          <w:szCs w:val="20"/>
          <w:lang w:val="en-SE"/>
        </w:rPr>
        <w:t>Figure 1.</w:t>
      </w:r>
      <w:r>
        <w:rPr>
          <w:sz w:val="21"/>
          <w:szCs w:val="20"/>
          <w:lang w:val="en-SE"/>
        </w:rPr>
        <w:t xml:space="preserve"> </w:t>
      </w:r>
      <w:r w:rsidR="00113C25" w:rsidRPr="00113C25">
        <w:rPr>
          <w:b/>
          <w:bCs/>
          <w:sz w:val="21"/>
          <w:szCs w:val="20"/>
          <w:lang w:val="en-SE"/>
        </w:rPr>
        <w:t>Illustrative example of the racial geography surrounding a major infrastructure investment.</w:t>
      </w:r>
      <w:r w:rsidR="00113C25" w:rsidRPr="00113C25">
        <w:rPr>
          <w:sz w:val="21"/>
          <w:szCs w:val="20"/>
          <w:lang w:val="en-SE"/>
        </w:rPr>
        <w:t xml:space="preserve"> </w:t>
      </w:r>
      <w:r w:rsidRPr="00D3046C">
        <w:rPr>
          <w:sz w:val="21"/>
          <w:szCs w:val="20"/>
          <w:lang w:val="en-SE"/>
        </w:rPr>
        <w:t>The map shows the share of residents identifying as Black in census tracts surrounding the Linha Verde transport corridor in 2022. The green line indicates the corridor linking central Belo Horizonte to Confins Airport.</w:t>
      </w:r>
    </w:p>
    <w:p w14:paraId="51387D09" w14:textId="6D797589" w:rsidR="0039487E" w:rsidRPr="007828AD" w:rsidRDefault="0039487E" w:rsidP="00FA3E17">
      <w:pPr>
        <w:spacing w:before="240" w:after="200" w:line="276" w:lineRule="auto"/>
        <w:ind w:firstLine="0"/>
        <w:jc w:val="both"/>
        <w:rPr>
          <w:b/>
          <w:sz w:val="32"/>
          <w:szCs w:val="32"/>
          <w:lang w:val="en-SE"/>
        </w:rPr>
      </w:pPr>
      <w:r w:rsidRPr="0094284E">
        <w:rPr>
          <w:sz w:val="32"/>
          <w:szCs w:val="32"/>
          <w:lang w:val="en-SE"/>
        </w:rPr>
        <w:t>References</w:t>
      </w:r>
    </w:p>
    <w:p w14:paraId="2EC69469" w14:textId="77777777" w:rsidR="00FA3E17" w:rsidRPr="00FA3E17" w:rsidRDefault="0039487E" w:rsidP="00FA3E17">
      <w:pPr>
        <w:pStyle w:val="Bibliography"/>
        <w:spacing w:after="240" w:line="240" w:lineRule="auto"/>
        <w:rPr>
          <w:rFonts w:cs="Times New Roman"/>
          <w:lang w:val="en-GB"/>
        </w:rPr>
      </w:pPr>
      <w:r>
        <w:rPr>
          <w:lang w:val="en-SE"/>
        </w:rPr>
        <w:fldChar w:fldCharType="begin"/>
      </w:r>
      <w:r w:rsidR="007828AD">
        <w:rPr>
          <w:lang w:val="en-SE"/>
        </w:rPr>
        <w:instrText xml:space="preserve"> ADDIN ZOTERO_BIBL {"uncited":[],"omitted":[],"custom":[]} CSL_BIBLIOGRAPHY </w:instrText>
      </w:r>
      <w:r>
        <w:rPr>
          <w:lang w:val="en-SE"/>
        </w:rPr>
        <w:fldChar w:fldCharType="separate"/>
      </w:r>
      <w:r w:rsidR="00FA3E17" w:rsidRPr="00FA3E17">
        <w:rPr>
          <w:rFonts w:cs="Times New Roman"/>
          <w:lang w:val="en-SE"/>
        </w:rPr>
        <w:t xml:space="preserve">Behnam, A., Wickramasinghe, D. C., Ghaffar, M. A. A., Vu, T. T., Tang, Y. H., &amp; Isa, H. B. M. (2016). </w:t>
      </w:r>
      <w:r w:rsidR="00FA3E17" w:rsidRPr="00FA3E17">
        <w:rPr>
          <w:rFonts w:cs="Times New Roman"/>
          <w:lang w:val="en-GB"/>
        </w:rPr>
        <w:t xml:space="preserve">Automated progress monitoring system for linear infrastructure projects using satellite remote sensing. </w:t>
      </w:r>
      <w:r w:rsidR="00FA3E17" w:rsidRPr="00FA3E17">
        <w:rPr>
          <w:rFonts w:cs="Times New Roman"/>
          <w:i/>
          <w:iCs/>
          <w:lang w:val="en-GB"/>
        </w:rPr>
        <w:t>Automation in Construction</w:t>
      </w:r>
      <w:r w:rsidR="00FA3E17" w:rsidRPr="00FA3E17">
        <w:rPr>
          <w:rFonts w:cs="Times New Roman"/>
          <w:lang w:val="en-GB"/>
        </w:rPr>
        <w:t xml:space="preserve">, </w:t>
      </w:r>
      <w:r w:rsidR="00FA3E17" w:rsidRPr="00FA3E17">
        <w:rPr>
          <w:rFonts w:cs="Times New Roman"/>
          <w:i/>
          <w:iCs/>
          <w:lang w:val="en-GB"/>
        </w:rPr>
        <w:t>68</w:t>
      </w:r>
      <w:r w:rsidR="00FA3E17" w:rsidRPr="00FA3E17">
        <w:rPr>
          <w:rFonts w:cs="Times New Roman"/>
          <w:lang w:val="en-GB"/>
        </w:rPr>
        <w:t>, 114–127. https://doi.org/10.1016/j.autcon.2016.05.002</w:t>
      </w:r>
    </w:p>
    <w:p w14:paraId="1338430F" w14:textId="77777777" w:rsidR="00FA3E17" w:rsidRPr="00FA3E17" w:rsidRDefault="00FA3E17" w:rsidP="00FA3E17">
      <w:pPr>
        <w:pStyle w:val="Bibliography"/>
        <w:spacing w:after="240" w:line="240" w:lineRule="auto"/>
        <w:rPr>
          <w:rFonts w:cs="Times New Roman"/>
          <w:lang w:val="en-GB"/>
        </w:rPr>
      </w:pPr>
      <w:r w:rsidRPr="00FA3E17">
        <w:rPr>
          <w:rFonts w:cs="Times New Roman"/>
          <w:lang w:val="en-GB"/>
        </w:rPr>
        <w:t xml:space="preserve">Dantzler, P. A. (2021). The urban process under racial capitalism: Race, anti-Blackness, and capital accumulation. </w:t>
      </w:r>
      <w:r w:rsidRPr="00FA3E17">
        <w:rPr>
          <w:rFonts w:cs="Times New Roman"/>
          <w:i/>
          <w:iCs/>
          <w:lang w:val="en-GB"/>
        </w:rPr>
        <w:t>Journal of Race, Ethnicity and the City</w:t>
      </w:r>
      <w:r w:rsidRPr="00FA3E17">
        <w:rPr>
          <w:rFonts w:cs="Times New Roman"/>
          <w:lang w:val="en-GB"/>
        </w:rPr>
        <w:t xml:space="preserve">, </w:t>
      </w:r>
      <w:r w:rsidRPr="00FA3E17">
        <w:rPr>
          <w:rFonts w:cs="Times New Roman"/>
          <w:i/>
          <w:iCs/>
          <w:lang w:val="en-GB"/>
        </w:rPr>
        <w:t>2</w:t>
      </w:r>
      <w:r w:rsidRPr="00FA3E17">
        <w:rPr>
          <w:rFonts w:cs="Times New Roman"/>
          <w:lang w:val="en-GB"/>
        </w:rPr>
        <w:t>(2), 113–134. https://doi.org/10.1080/26884674.2021.1934201</w:t>
      </w:r>
    </w:p>
    <w:p w14:paraId="707151CA" w14:textId="77777777" w:rsidR="00FA3E17" w:rsidRPr="00FA3E17" w:rsidRDefault="00FA3E17" w:rsidP="00FA3E17">
      <w:pPr>
        <w:pStyle w:val="Bibliography"/>
        <w:spacing w:after="240" w:line="240" w:lineRule="auto"/>
        <w:rPr>
          <w:rFonts w:cs="Times New Roman"/>
          <w:lang w:val="en-GB"/>
        </w:rPr>
      </w:pPr>
      <w:r w:rsidRPr="00FA3E17">
        <w:rPr>
          <w:rFonts w:cs="Times New Roman"/>
          <w:lang w:val="sv-SE"/>
        </w:rPr>
        <w:t xml:space="preserve">Hyde, J. L., Swanson, C., Bohlman, S. A., Athayde, S., Bruna, E. M., &amp; Valle, D. R. (2025). </w:t>
      </w:r>
      <w:r w:rsidRPr="00FA3E17">
        <w:rPr>
          <w:rFonts w:cs="Times New Roman"/>
          <w:lang w:val="en-GB"/>
        </w:rPr>
        <w:t xml:space="preserve">A lack of open data standards for large infrastructure projects hampers social-ecological research in the Brazilian Amazon. </w:t>
      </w:r>
      <w:r w:rsidRPr="00FA3E17">
        <w:rPr>
          <w:rFonts w:cs="Times New Roman"/>
          <w:i/>
          <w:iCs/>
          <w:lang w:val="en-GB"/>
        </w:rPr>
        <w:t>PeerJ</w:t>
      </w:r>
      <w:r w:rsidRPr="00FA3E17">
        <w:rPr>
          <w:rFonts w:cs="Times New Roman"/>
          <w:lang w:val="en-GB"/>
        </w:rPr>
        <w:t xml:space="preserve">, </w:t>
      </w:r>
      <w:r w:rsidRPr="00FA3E17">
        <w:rPr>
          <w:rFonts w:cs="Times New Roman"/>
          <w:i/>
          <w:iCs/>
          <w:lang w:val="en-GB"/>
        </w:rPr>
        <w:t>13</w:t>
      </w:r>
      <w:r w:rsidRPr="00FA3E17">
        <w:rPr>
          <w:rFonts w:cs="Times New Roman"/>
          <w:lang w:val="en-GB"/>
        </w:rPr>
        <w:t>, e19926. https://doi.org/10.7717/peerj.19926</w:t>
      </w:r>
    </w:p>
    <w:p w14:paraId="465BAD31" w14:textId="77777777" w:rsidR="00FA3E17" w:rsidRPr="00FA3E17" w:rsidRDefault="00FA3E17" w:rsidP="00FA3E17">
      <w:pPr>
        <w:pStyle w:val="Bibliography"/>
        <w:spacing w:after="240" w:line="240" w:lineRule="auto"/>
        <w:rPr>
          <w:rFonts w:cs="Times New Roman"/>
          <w:lang w:val="en-GB"/>
        </w:rPr>
      </w:pPr>
      <w:r w:rsidRPr="00FA3E17">
        <w:rPr>
          <w:rFonts w:cs="Times New Roman"/>
          <w:lang w:val="en-GB"/>
        </w:rPr>
        <w:lastRenderedPageBreak/>
        <w:t xml:space="preserve">IBGE. (2012). </w:t>
      </w:r>
      <w:r w:rsidRPr="00FA3E17">
        <w:rPr>
          <w:rFonts w:cs="Times New Roman"/>
          <w:i/>
          <w:iCs/>
          <w:lang w:val="en-GB"/>
        </w:rPr>
        <w:t>Censo Demográfico 2010: Agregado de Setores Censitários dos Resultados do Universo</w:t>
      </w:r>
      <w:r w:rsidRPr="00FA3E17">
        <w:rPr>
          <w:rFonts w:cs="Times New Roman"/>
          <w:lang w:val="en-GB"/>
        </w:rPr>
        <w:t xml:space="preserve"> [Dataset]. https://ftp.ibge.gov.br/Censos/Censo_Demografico_2010/</w:t>
      </w:r>
    </w:p>
    <w:p w14:paraId="460FFF8D" w14:textId="77777777" w:rsidR="00FA3E17" w:rsidRPr="00FA3E17" w:rsidRDefault="00FA3E17" w:rsidP="00FA3E17">
      <w:pPr>
        <w:pStyle w:val="Bibliography"/>
        <w:spacing w:after="240" w:line="240" w:lineRule="auto"/>
        <w:rPr>
          <w:rFonts w:cs="Times New Roman"/>
          <w:lang w:val="en-GB"/>
        </w:rPr>
      </w:pPr>
      <w:r w:rsidRPr="00FA3E17">
        <w:rPr>
          <w:rFonts w:cs="Times New Roman"/>
          <w:lang w:val="en-GB"/>
        </w:rPr>
        <w:t xml:space="preserve">IBGE. (2024). </w:t>
      </w:r>
      <w:r w:rsidRPr="00FA3E17">
        <w:rPr>
          <w:rFonts w:cs="Times New Roman"/>
          <w:i/>
          <w:iCs/>
          <w:lang w:val="en-GB"/>
        </w:rPr>
        <w:t>Censo Demográfico 2022: Agregado de Setores Censitários dos Resultados do Universo</w:t>
      </w:r>
      <w:r w:rsidRPr="00FA3E17">
        <w:rPr>
          <w:rFonts w:cs="Times New Roman"/>
          <w:lang w:val="en-GB"/>
        </w:rPr>
        <w:t xml:space="preserve"> [Dataset]. https://ftp.ibge.gov.br/Censos/Censo_Demografico_2022/</w:t>
      </w:r>
    </w:p>
    <w:p w14:paraId="6ECB9A63" w14:textId="77777777" w:rsidR="00FA3E17" w:rsidRPr="00FA3E17" w:rsidRDefault="00FA3E17" w:rsidP="00FA3E17">
      <w:pPr>
        <w:pStyle w:val="Bibliography"/>
        <w:spacing w:after="240" w:line="240" w:lineRule="auto"/>
        <w:rPr>
          <w:rFonts w:cs="Times New Roman"/>
          <w:lang w:val="en-GB"/>
        </w:rPr>
      </w:pPr>
      <w:r w:rsidRPr="00FA3E17">
        <w:rPr>
          <w:rFonts w:cs="Times New Roman"/>
          <w:lang w:val="en-GB"/>
        </w:rPr>
        <w:t xml:space="preserve">Melgaço, L., &amp; Xavier Pinto Coelho, L. (2022). Race and Space in the Postcolony: A Relational Study on Urban Planning Under Racial Capitalism in Brazil and South Africa. </w:t>
      </w:r>
      <w:r w:rsidRPr="00FA3E17">
        <w:rPr>
          <w:rFonts w:cs="Times New Roman"/>
          <w:i/>
          <w:iCs/>
          <w:lang w:val="en-GB"/>
        </w:rPr>
        <w:t>City &amp; Community</w:t>
      </w:r>
      <w:r w:rsidRPr="00FA3E17">
        <w:rPr>
          <w:rFonts w:cs="Times New Roman"/>
          <w:lang w:val="en-GB"/>
        </w:rPr>
        <w:t xml:space="preserve">, </w:t>
      </w:r>
      <w:r w:rsidRPr="00FA3E17">
        <w:rPr>
          <w:rFonts w:cs="Times New Roman"/>
          <w:i/>
          <w:iCs/>
          <w:lang w:val="en-GB"/>
        </w:rPr>
        <w:t>21</w:t>
      </w:r>
      <w:r w:rsidRPr="00FA3E17">
        <w:rPr>
          <w:rFonts w:cs="Times New Roman"/>
          <w:lang w:val="en-GB"/>
        </w:rPr>
        <w:t>(3), 214–237. https://doi.org/10.1177/15356841221087195</w:t>
      </w:r>
    </w:p>
    <w:p w14:paraId="13EEC3D3" w14:textId="77777777" w:rsidR="00FA3E17" w:rsidRPr="00FA3E17" w:rsidRDefault="00FA3E17" w:rsidP="00FA3E17">
      <w:pPr>
        <w:pStyle w:val="Bibliography"/>
        <w:spacing w:after="240" w:line="240" w:lineRule="auto"/>
        <w:rPr>
          <w:rFonts w:cs="Times New Roman"/>
          <w:lang w:val="en-GB"/>
        </w:rPr>
      </w:pPr>
      <w:r w:rsidRPr="00FA3E17">
        <w:rPr>
          <w:rFonts w:cs="Times New Roman"/>
          <w:lang w:val="en-GB"/>
        </w:rPr>
        <w:t xml:space="preserve">Perot, V., Kang, K., Luisier, F., Su, G., Sun, X., Boppana, R. S., Wang, Z., Wang, Z., Mu, J., Zhang, H., Lee, C.-Y., &amp; Hua, N. (2024). </w:t>
      </w:r>
      <w:r w:rsidRPr="00FA3E17">
        <w:rPr>
          <w:rFonts w:cs="Times New Roman"/>
          <w:i/>
          <w:iCs/>
          <w:lang w:val="en-GB"/>
        </w:rPr>
        <w:t>LMDX: Language Model-based Document Information Extraction and Localization</w:t>
      </w:r>
      <w:r w:rsidRPr="00FA3E17">
        <w:rPr>
          <w:rFonts w:cs="Times New Roman"/>
          <w:lang w:val="en-GB"/>
        </w:rPr>
        <w:t xml:space="preserve"> (arXiv:2309.10952). arXiv. https://doi.org/10.48550/arXiv.2309.10952</w:t>
      </w:r>
    </w:p>
    <w:p w14:paraId="49DB32DE" w14:textId="77777777" w:rsidR="00FA3E17" w:rsidRPr="00FA3E17" w:rsidRDefault="00FA3E17" w:rsidP="00FA3E17">
      <w:pPr>
        <w:pStyle w:val="Bibliography"/>
        <w:spacing w:after="240" w:line="240" w:lineRule="auto"/>
        <w:rPr>
          <w:rFonts w:cs="Times New Roman"/>
          <w:lang w:val="en-GB"/>
        </w:rPr>
      </w:pPr>
      <w:r w:rsidRPr="00FA3E17">
        <w:rPr>
          <w:rFonts w:cs="Times New Roman"/>
          <w:lang w:val="en-GB"/>
        </w:rPr>
        <w:t xml:space="preserve">Xavier Pinto Coelho, L., &amp; Melgaço, L. (2025). Precarious Settlement Upgrading and Racial Capitalism: Planning Authoritarianism and Its Crossroads for Democracy. </w:t>
      </w:r>
      <w:r w:rsidRPr="00FA3E17">
        <w:rPr>
          <w:rFonts w:cs="Times New Roman"/>
          <w:i/>
          <w:iCs/>
          <w:lang w:val="en-GB"/>
        </w:rPr>
        <w:t>Urban Planning</w:t>
      </w:r>
      <w:r w:rsidRPr="00FA3E17">
        <w:rPr>
          <w:rFonts w:cs="Times New Roman"/>
          <w:lang w:val="en-GB"/>
        </w:rPr>
        <w:t xml:space="preserve">, </w:t>
      </w:r>
      <w:r w:rsidRPr="00FA3E17">
        <w:rPr>
          <w:rFonts w:cs="Times New Roman"/>
          <w:i/>
          <w:iCs/>
          <w:lang w:val="en-GB"/>
        </w:rPr>
        <w:t>10</w:t>
      </w:r>
      <w:r w:rsidRPr="00FA3E17">
        <w:rPr>
          <w:rFonts w:cs="Times New Roman"/>
          <w:lang w:val="en-GB"/>
        </w:rPr>
        <w:t>, 9674. https://doi.org/10.17645/up.9674</w:t>
      </w:r>
    </w:p>
    <w:p w14:paraId="14ADA293" w14:textId="793B57D8" w:rsidR="00DE1AD5" w:rsidRDefault="0039487E" w:rsidP="00FA3E17">
      <w:pPr>
        <w:pStyle w:val="Bibliography"/>
        <w:spacing w:before="240" w:line="240" w:lineRule="auto"/>
      </w:pPr>
      <w:r>
        <w:rPr>
          <w:lang w:val="en-SE"/>
        </w:rPr>
        <w:fldChar w:fldCharType="end"/>
      </w:r>
    </w:p>
    <w:p w14:paraId="5E36C3F0" w14:textId="530FB641" w:rsidR="10070757" w:rsidRDefault="10070757" w:rsidP="10070757">
      <w:pPr>
        <w:ind w:firstLine="0"/>
        <w:jc w:val="both"/>
        <w:rPr>
          <w:rFonts w:cs="Times New Roman"/>
        </w:rPr>
      </w:pPr>
    </w:p>
    <w:sectPr w:rsidR="10070757" w:rsidSect="00917118">
      <w:headerReference w:type="default" r:id="rId9"/>
      <w:footerReference w:type="default" r:id="rId10"/>
      <w:pgSz w:w="11907" w:h="16840" w:code="9"/>
      <w:pgMar w:top="1440" w:right="1440" w:bottom="1440" w:left="1440" w:header="3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B93C7" w14:textId="77777777" w:rsidR="00A53357" w:rsidRDefault="00A53357" w:rsidP="002C233A">
      <w:r>
        <w:separator/>
      </w:r>
    </w:p>
  </w:endnote>
  <w:endnote w:type="continuationSeparator" w:id="0">
    <w:p w14:paraId="4E61CAD1" w14:textId="77777777" w:rsidR="00A53357" w:rsidRDefault="00A53357" w:rsidP="002C2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61056466"/>
      <w:docPartObj>
        <w:docPartGallery w:val="Page Numbers (Bottom of Page)"/>
        <w:docPartUnique/>
      </w:docPartObj>
    </w:sdtPr>
    <w:sdtEndPr>
      <w:rPr>
        <w:rFonts w:cs="Times New Roman"/>
        <w:noProof/>
      </w:rPr>
    </w:sdtEndPr>
    <w:sdtContent>
      <w:p w14:paraId="7F360A44" w14:textId="091AEE40" w:rsidR="002C233A" w:rsidRPr="0021055B" w:rsidRDefault="002C233A" w:rsidP="0021055B">
        <w:pPr>
          <w:pStyle w:val="Footer"/>
          <w:ind w:firstLine="0"/>
          <w:jc w:val="center"/>
          <w:rPr>
            <w:rFonts w:cs="Times New Roman"/>
            <w:noProof/>
          </w:rPr>
        </w:pPr>
        <w:r w:rsidRPr="002C233A">
          <w:rPr>
            <w:rFonts w:cs="Times New Roman"/>
          </w:rPr>
          <w:fldChar w:fldCharType="begin"/>
        </w:r>
        <w:r w:rsidRPr="002C233A">
          <w:rPr>
            <w:rFonts w:cs="Times New Roman"/>
          </w:rPr>
          <w:instrText xml:space="preserve"> PAGE   \* MERGEFORMAT </w:instrText>
        </w:r>
        <w:r w:rsidRPr="002C233A">
          <w:rPr>
            <w:rFonts w:cs="Times New Roman"/>
          </w:rPr>
          <w:fldChar w:fldCharType="separate"/>
        </w:r>
        <w:r w:rsidR="00237370">
          <w:rPr>
            <w:rFonts w:cs="Times New Roman"/>
            <w:noProof/>
          </w:rPr>
          <w:t>1</w:t>
        </w:r>
        <w:r w:rsidRPr="002C233A">
          <w:rPr>
            <w:rFonts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418F47" w14:textId="77777777" w:rsidR="00A53357" w:rsidRDefault="00A53357" w:rsidP="002C233A">
      <w:r>
        <w:separator/>
      </w:r>
    </w:p>
  </w:footnote>
  <w:footnote w:type="continuationSeparator" w:id="0">
    <w:p w14:paraId="1CE663F1" w14:textId="77777777" w:rsidR="00A53357" w:rsidRDefault="00A53357" w:rsidP="002C2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93415" w14:textId="663823E1" w:rsidR="002C233A" w:rsidRPr="007F4880" w:rsidRDefault="0096359E" w:rsidP="007F4880">
    <w:pPr>
      <w:pStyle w:val="Header"/>
      <w:ind w:firstLine="0"/>
      <w:jc w:val="center"/>
      <w:rPr>
        <w:rFonts w:cs="Times New Roman"/>
        <w:bCs/>
        <w:szCs w:val="24"/>
      </w:rPr>
    </w:pPr>
    <w:r w:rsidRPr="0096359E">
      <w:rPr>
        <w:rFonts w:cs="Times New Roman"/>
        <w:bCs/>
        <w:szCs w:val="24"/>
      </w:rPr>
      <w:t>CS2</w:t>
    </w:r>
    <w:r w:rsidR="0070274D">
      <w:rPr>
        <w:rFonts w:cs="Times New Roman"/>
        <w:bCs/>
        <w:szCs w:val="24"/>
      </w:rPr>
      <w:t>Nordics</w:t>
    </w:r>
    <w:r w:rsidR="007F4880">
      <w:rPr>
        <w:rFonts w:cs="Times New Roman"/>
        <w:bCs/>
        <w:szCs w:val="24"/>
      </w:rPr>
      <w:t xml:space="preserve"> </w:t>
    </w:r>
    <w:r w:rsidRPr="0096359E">
      <w:rPr>
        <w:rFonts w:cs="Times New Roman"/>
        <w:bCs/>
        <w:szCs w:val="24"/>
      </w:rPr>
      <w:t xml:space="preserve">2026 </w:t>
    </w:r>
    <w:r>
      <w:rPr>
        <w:rFonts w:cs="Times New Roman"/>
        <w:bCs/>
        <w:szCs w:val="24"/>
      </w:rPr>
      <w:t xml:space="preserve">– </w:t>
    </w:r>
    <w:r w:rsidR="0070274D">
      <w:rPr>
        <w:rFonts w:cs="Times New Roman"/>
        <w:bCs/>
        <w:szCs w:val="24"/>
      </w:rPr>
      <w:t>Copenhagen, Denmark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900F5"/>
    <w:multiLevelType w:val="hybridMultilevel"/>
    <w:tmpl w:val="A6BE6E5A"/>
    <w:lvl w:ilvl="0" w:tplc="0F601BB8">
      <w:start w:val="1"/>
      <w:numFmt w:val="bullet"/>
      <w:lvlText w:val=""/>
      <w:lvlJc w:val="left"/>
      <w:pPr>
        <w:ind w:left="1210" w:hanging="360"/>
      </w:pPr>
      <w:rPr>
        <w:rFonts w:ascii="Symbol" w:hAnsi="Symbol" w:hint="default"/>
      </w:rPr>
    </w:lvl>
    <w:lvl w:ilvl="1" w:tplc="B0202688">
      <w:start w:val="1"/>
      <w:numFmt w:val="bullet"/>
      <w:lvlText w:val="o"/>
      <w:lvlJc w:val="left"/>
      <w:pPr>
        <w:ind w:left="1930" w:hanging="360"/>
      </w:pPr>
      <w:rPr>
        <w:rFonts w:ascii="Courier New" w:hAnsi="Courier New" w:hint="default"/>
      </w:rPr>
    </w:lvl>
    <w:lvl w:ilvl="2" w:tplc="931C0F4E">
      <w:start w:val="1"/>
      <w:numFmt w:val="bullet"/>
      <w:lvlText w:val=""/>
      <w:lvlJc w:val="left"/>
      <w:pPr>
        <w:ind w:left="2650" w:hanging="360"/>
      </w:pPr>
      <w:rPr>
        <w:rFonts w:ascii="Wingdings" w:hAnsi="Wingdings" w:hint="default"/>
      </w:rPr>
    </w:lvl>
    <w:lvl w:ilvl="3" w:tplc="791A41DE">
      <w:start w:val="1"/>
      <w:numFmt w:val="bullet"/>
      <w:lvlText w:val=""/>
      <w:lvlJc w:val="left"/>
      <w:pPr>
        <w:ind w:left="3370" w:hanging="360"/>
      </w:pPr>
      <w:rPr>
        <w:rFonts w:ascii="Symbol" w:hAnsi="Symbol" w:hint="default"/>
      </w:rPr>
    </w:lvl>
    <w:lvl w:ilvl="4" w:tplc="4B185A7C">
      <w:start w:val="1"/>
      <w:numFmt w:val="bullet"/>
      <w:lvlText w:val="o"/>
      <w:lvlJc w:val="left"/>
      <w:pPr>
        <w:ind w:left="4090" w:hanging="360"/>
      </w:pPr>
      <w:rPr>
        <w:rFonts w:ascii="Courier New" w:hAnsi="Courier New" w:hint="default"/>
      </w:rPr>
    </w:lvl>
    <w:lvl w:ilvl="5" w:tplc="CB8C48BC">
      <w:start w:val="1"/>
      <w:numFmt w:val="bullet"/>
      <w:lvlText w:val=""/>
      <w:lvlJc w:val="left"/>
      <w:pPr>
        <w:ind w:left="4810" w:hanging="360"/>
      </w:pPr>
      <w:rPr>
        <w:rFonts w:ascii="Wingdings" w:hAnsi="Wingdings" w:hint="default"/>
      </w:rPr>
    </w:lvl>
    <w:lvl w:ilvl="6" w:tplc="A762C866">
      <w:start w:val="1"/>
      <w:numFmt w:val="bullet"/>
      <w:lvlText w:val=""/>
      <w:lvlJc w:val="left"/>
      <w:pPr>
        <w:ind w:left="5530" w:hanging="360"/>
      </w:pPr>
      <w:rPr>
        <w:rFonts w:ascii="Symbol" w:hAnsi="Symbol" w:hint="default"/>
      </w:rPr>
    </w:lvl>
    <w:lvl w:ilvl="7" w:tplc="63F0543A">
      <w:start w:val="1"/>
      <w:numFmt w:val="bullet"/>
      <w:lvlText w:val="o"/>
      <w:lvlJc w:val="left"/>
      <w:pPr>
        <w:ind w:left="6250" w:hanging="360"/>
      </w:pPr>
      <w:rPr>
        <w:rFonts w:ascii="Courier New" w:hAnsi="Courier New" w:hint="default"/>
      </w:rPr>
    </w:lvl>
    <w:lvl w:ilvl="8" w:tplc="B16E5188">
      <w:start w:val="1"/>
      <w:numFmt w:val="bullet"/>
      <w:lvlText w:val=""/>
      <w:lvlJc w:val="left"/>
      <w:pPr>
        <w:ind w:left="6970" w:hanging="360"/>
      </w:pPr>
      <w:rPr>
        <w:rFonts w:ascii="Wingdings" w:hAnsi="Wingdings" w:hint="default"/>
      </w:rPr>
    </w:lvl>
  </w:abstractNum>
  <w:abstractNum w:abstractNumId="1" w15:restartNumberingAfterBreak="0">
    <w:nsid w:val="361D26BE"/>
    <w:multiLevelType w:val="hybridMultilevel"/>
    <w:tmpl w:val="579C59E8"/>
    <w:lvl w:ilvl="0" w:tplc="709684DE">
      <w:start w:val="1"/>
      <w:numFmt w:val="bullet"/>
      <w:lvlText w:val=""/>
      <w:lvlJc w:val="left"/>
      <w:pPr>
        <w:ind w:left="1210" w:hanging="360"/>
      </w:pPr>
      <w:rPr>
        <w:rFonts w:ascii="Symbol" w:hAnsi="Symbol" w:hint="default"/>
      </w:rPr>
    </w:lvl>
    <w:lvl w:ilvl="1" w:tplc="CEF659D8">
      <w:start w:val="1"/>
      <w:numFmt w:val="bullet"/>
      <w:lvlText w:val="o"/>
      <w:lvlJc w:val="left"/>
      <w:pPr>
        <w:ind w:left="1930" w:hanging="360"/>
      </w:pPr>
      <w:rPr>
        <w:rFonts w:ascii="Courier New" w:hAnsi="Courier New" w:hint="default"/>
      </w:rPr>
    </w:lvl>
    <w:lvl w:ilvl="2" w:tplc="3C3C3C3E">
      <w:start w:val="1"/>
      <w:numFmt w:val="bullet"/>
      <w:lvlText w:val=""/>
      <w:lvlJc w:val="left"/>
      <w:pPr>
        <w:ind w:left="2650" w:hanging="360"/>
      </w:pPr>
      <w:rPr>
        <w:rFonts w:ascii="Wingdings" w:hAnsi="Wingdings" w:hint="default"/>
      </w:rPr>
    </w:lvl>
    <w:lvl w:ilvl="3" w:tplc="8FAAF0DE">
      <w:start w:val="1"/>
      <w:numFmt w:val="bullet"/>
      <w:lvlText w:val=""/>
      <w:lvlJc w:val="left"/>
      <w:pPr>
        <w:ind w:left="3370" w:hanging="360"/>
      </w:pPr>
      <w:rPr>
        <w:rFonts w:ascii="Symbol" w:hAnsi="Symbol" w:hint="default"/>
      </w:rPr>
    </w:lvl>
    <w:lvl w:ilvl="4" w:tplc="08201F5C">
      <w:start w:val="1"/>
      <w:numFmt w:val="bullet"/>
      <w:lvlText w:val="o"/>
      <w:lvlJc w:val="left"/>
      <w:pPr>
        <w:ind w:left="4090" w:hanging="360"/>
      </w:pPr>
      <w:rPr>
        <w:rFonts w:ascii="Courier New" w:hAnsi="Courier New" w:hint="default"/>
      </w:rPr>
    </w:lvl>
    <w:lvl w:ilvl="5" w:tplc="50BED8D4">
      <w:start w:val="1"/>
      <w:numFmt w:val="bullet"/>
      <w:lvlText w:val=""/>
      <w:lvlJc w:val="left"/>
      <w:pPr>
        <w:ind w:left="4810" w:hanging="360"/>
      </w:pPr>
      <w:rPr>
        <w:rFonts w:ascii="Wingdings" w:hAnsi="Wingdings" w:hint="default"/>
      </w:rPr>
    </w:lvl>
    <w:lvl w:ilvl="6" w:tplc="DA883D7E">
      <w:start w:val="1"/>
      <w:numFmt w:val="bullet"/>
      <w:lvlText w:val=""/>
      <w:lvlJc w:val="left"/>
      <w:pPr>
        <w:ind w:left="5530" w:hanging="360"/>
      </w:pPr>
      <w:rPr>
        <w:rFonts w:ascii="Symbol" w:hAnsi="Symbol" w:hint="default"/>
      </w:rPr>
    </w:lvl>
    <w:lvl w:ilvl="7" w:tplc="5DECC31C">
      <w:start w:val="1"/>
      <w:numFmt w:val="bullet"/>
      <w:lvlText w:val="o"/>
      <w:lvlJc w:val="left"/>
      <w:pPr>
        <w:ind w:left="6250" w:hanging="360"/>
      </w:pPr>
      <w:rPr>
        <w:rFonts w:ascii="Courier New" w:hAnsi="Courier New" w:hint="default"/>
      </w:rPr>
    </w:lvl>
    <w:lvl w:ilvl="8" w:tplc="90B4EAFC">
      <w:start w:val="1"/>
      <w:numFmt w:val="bullet"/>
      <w:lvlText w:val=""/>
      <w:lvlJc w:val="left"/>
      <w:pPr>
        <w:ind w:left="6970" w:hanging="360"/>
      </w:pPr>
      <w:rPr>
        <w:rFonts w:ascii="Wingdings" w:hAnsi="Wingdings" w:hint="default"/>
      </w:rPr>
    </w:lvl>
  </w:abstractNum>
  <w:abstractNum w:abstractNumId="2" w15:restartNumberingAfterBreak="0">
    <w:nsid w:val="5B9766C5"/>
    <w:multiLevelType w:val="hybridMultilevel"/>
    <w:tmpl w:val="9DE4A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491D0D"/>
    <w:multiLevelType w:val="hybridMultilevel"/>
    <w:tmpl w:val="814C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5260FD"/>
    <w:multiLevelType w:val="hybridMultilevel"/>
    <w:tmpl w:val="32287D0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1306618412">
    <w:abstractNumId w:val="0"/>
  </w:num>
  <w:num w:numId="2" w16cid:durableId="1252620505">
    <w:abstractNumId w:val="1"/>
  </w:num>
  <w:num w:numId="3" w16cid:durableId="909995939">
    <w:abstractNumId w:val="3"/>
  </w:num>
  <w:num w:numId="4" w16cid:durableId="1723139256">
    <w:abstractNumId w:val="2"/>
  </w:num>
  <w:num w:numId="5" w16cid:durableId="9694816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06"/>
    <w:rsid w:val="000004DA"/>
    <w:rsid w:val="0000661C"/>
    <w:rsid w:val="00050CCC"/>
    <w:rsid w:val="00050CF7"/>
    <w:rsid w:val="00064317"/>
    <w:rsid w:val="00095868"/>
    <w:rsid w:val="000A2E34"/>
    <w:rsid w:val="000D34B4"/>
    <w:rsid w:val="00104985"/>
    <w:rsid w:val="00113C25"/>
    <w:rsid w:val="0011711C"/>
    <w:rsid w:val="001259A6"/>
    <w:rsid w:val="00160022"/>
    <w:rsid w:val="001B16A8"/>
    <w:rsid w:val="001D6383"/>
    <w:rsid w:val="002017AE"/>
    <w:rsid w:val="0021055B"/>
    <w:rsid w:val="00212405"/>
    <w:rsid w:val="002361F7"/>
    <w:rsid w:val="00237370"/>
    <w:rsid w:val="00254E59"/>
    <w:rsid w:val="00261D38"/>
    <w:rsid w:val="00270C1D"/>
    <w:rsid w:val="00272E2F"/>
    <w:rsid w:val="002C233A"/>
    <w:rsid w:val="002C56FD"/>
    <w:rsid w:val="002D1E79"/>
    <w:rsid w:val="00315A68"/>
    <w:rsid w:val="00375E58"/>
    <w:rsid w:val="003922BC"/>
    <w:rsid w:val="0039487E"/>
    <w:rsid w:val="003B4594"/>
    <w:rsid w:val="003E5A32"/>
    <w:rsid w:val="003F024C"/>
    <w:rsid w:val="0049444F"/>
    <w:rsid w:val="004C448C"/>
    <w:rsid w:val="004E4790"/>
    <w:rsid w:val="00520037"/>
    <w:rsid w:val="00542876"/>
    <w:rsid w:val="00570019"/>
    <w:rsid w:val="00571A21"/>
    <w:rsid w:val="005768E5"/>
    <w:rsid w:val="00580B99"/>
    <w:rsid w:val="005D0748"/>
    <w:rsid w:val="005F47EA"/>
    <w:rsid w:val="005F4F98"/>
    <w:rsid w:val="005F6DB4"/>
    <w:rsid w:val="00611D52"/>
    <w:rsid w:val="00624810"/>
    <w:rsid w:val="0063626B"/>
    <w:rsid w:val="0066778B"/>
    <w:rsid w:val="00692350"/>
    <w:rsid w:val="006B6EC3"/>
    <w:rsid w:val="006B7FB8"/>
    <w:rsid w:val="006C42C0"/>
    <w:rsid w:val="006D6AFD"/>
    <w:rsid w:val="0070274D"/>
    <w:rsid w:val="00704101"/>
    <w:rsid w:val="00710F70"/>
    <w:rsid w:val="00722B12"/>
    <w:rsid w:val="00745F5D"/>
    <w:rsid w:val="00773C3D"/>
    <w:rsid w:val="007828AD"/>
    <w:rsid w:val="00795F1A"/>
    <w:rsid w:val="007B1822"/>
    <w:rsid w:val="007C0A06"/>
    <w:rsid w:val="007F4880"/>
    <w:rsid w:val="008159F8"/>
    <w:rsid w:val="00890E6B"/>
    <w:rsid w:val="008933F2"/>
    <w:rsid w:val="008A433E"/>
    <w:rsid w:val="009016DD"/>
    <w:rsid w:val="00917118"/>
    <w:rsid w:val="0091738F"/>
    <w:rsid w:val="009328EE"/>
    <w:rsid w:val="0094284E"/>
    <w:rsid w:val="0096359E"/>
    <w:rsid w:val="00977660"/>
    <w:rsid w:val="009804FB"/>
    <w:rsid w:val="00992B26"/>
    <w:rsid w:val="00996C76"/>
    <w:rsid w:val="009A7F9E"/>
    <w:rsid w:val="009B41F6"/>
    <w:rsid w:val="00A270B2"/>
    <w:rsid w:val="00A53357"/>
    <w:rsid w:val="00A94D73"/>
    <w:rsid w:val="00AD0106"/>
    <w:rsid w:val="00AD19AB"/>
    <w:rsid w:val="00AD5961"/>
    <w:rsid w:val="00B02E32"/>
    <w:rsid w:val="00B51376"/>
    <w:rsid w:val="00BB7479"/>
    <w:rsid w:val="00BE2179"/>
    <w:rsid w:val="00BE7FC8"/>
    <w:rsid w:val="00BF7551"/>
    <w:rsid w:val="00C2451D"/>
    <w:rsid w:val="00C3346D"/>
    <w:rsid w:val="00C54A0D"/>
    <w:rsid w:val="00C84624"/>
    <w:rsid w:val="00CD0866"/>
    <w:rsid w:val="00CD1BC4"/>
    <w:rsid w:val="00CD724B"/>
    <w:rsid w:val="00D01F4C"/>
    <w:rsid w:val="00D04759"/>
    <w:rsid w:val="00D3046C"/>
    <w:rsid w:val="00D6111F"/>
    <w:rsid w:val="00D96C9D"/>
    <w:rsid w:val="00DE1AD5"/>
    <w:rsid w:val="00E21878"/>
    <w:rsid w:val="00E40A9D"/>
    <w:rsid w:val="00E51B74"/>
    <w:rsid w:val="00E5307C"/>
    <w:rsid w:val="00E80167"/>
    <w:rsid w:val="00E910E5"/>
    <w:rsid w:val="00EB2626"/>
    <w:rsid w:val="00EC7929"/>
    <w:rsid w:val="00F00609"/>
    <w:rsid w:val="00F05FE7"/>
    <w:rsid w:val="00F36BDC"/>
    <w:rsid w:val="00F45C12"/>
    <w:rsid w:val="00F54668"/>
    <w:rsid w:val="00F55712"/>
    <w:rsid w:val="00F6258A"/>
    <w:rsid w:val="00F806FF"/>
    <w:rsid w:val="00FA3E17"/>
    <w:rsid w:val="00FB0757"/>
    <w:rsid w:val="00FE1FFA"/>
    <w:rsid w:val="00FF4081"/>
    <w:rsid w:val="00FF6017"/>
    <w:rsid w:val="00FF7D79"/>
    <w:rsid w:val="10070757"/>
    <w:rsid w:val="112D2A6B"/>
    <w:rsid w:val="15E06ACB"/>
    <w:rsid w:val="1D2E2F8E"/>
    <w:rsid w:val="1ED6F4E3"/>
    <w:rsid w:val="2A569498"/>
    <w:rsid w:val="3F1987B8"/>
    <w:rsid w:val="53EF5445"/>
    <w:rsid w:val="55D9432F"/>
    <w:rsid w:val="55EB0334"/>
    <w:rsid w:val="74CEBA93"/>
    <w:rsid w:val="792F83E8"/>
    <w:rsid w:val="7F6BB4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4EAA3"/>
  <w15:docId w15:val="{5BA32B04-96F9-BF40-A315-A12EFF09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55B"/>
    <w:pPr>
      <w:spacing w:after="0" w:line="240" w:lineRule="auto"/>
      <w:ind w:firstLine="425"/>
    </w:pPr>
    <w:rPr>
      <w:rFonts w:ascii="Times New Roman" w:hAnsi="Times New Roman"/>
      <w:sz w:val="24"/>
    </w:rPr>
  </w:style>
  <w:style w:type="paragraph" w:styleId="Heading1">
    <w:name w:val="heading 1"/>
    <w:basedOn w:val="Normal"/>
    <w:next w:val="Normal"/>
    <w:link w:val="Heading1Char"/>
    <w:uiPriority w:val="9"/>
    <w:qFormat/>
    <w:rsid w:val="00E21878"/>
    <w:pPr>
      <w:spacing w:before="120" w:after="120"/>
      <w:ind w:firstLine="0"/>
      <w:outlineLvl w:val="0"/>
    </w:pPr>
    <w:rPr>
      <w:b/>
      <w:sz w:val="28"/>
      <w:szCs w:val="28"/>
    </w:rPr>
  </w:style>
  <w:style w:type="paragraph" w:styleId="Heading4">
    <w:name w:val="heading 4"/>
    <w:basedOn w:val="Normal"/>
    <w:next w:val="Normal"/>
    <w:link w:val="Heading4Char"/>
    <w:uiPriority w:val="9"/>
    <w:semiHidden/>
    <w:unhideWhenUsed/>
    <w:qFormat/>
    <w:rsid w:val="00C8462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233A"/>
    <w:pPr>
      <w:tabs>
        <w:tab w:val="center" w:pos="4680"/>
        <w:tab w:val="right" w:pos="9360"/>
      </w:tabs>
    </w:pPr>
  </w:style>
  <w:style w:type="character" w:customStyle="1" w:styleId="HeaderChar">
    <w:name w:val="Header Char"/>
    <w:basedOn w:val="DefaultParagraphFont"/>
    <w:link w:val="Header"/>
    <w:uiPriority w:val="99"/>
    <w:rsid w:val="002C233A"/>
  </w:style>
  <w:style w:type="paragraph" w:styleId="Footer">
    <w:name w:val="footer"/>
    <w:basedOn w:val="Normal"/>
    <w:link w:val="FooterChar"/>
    <w:uiPriority w:val="99"/>
    <w:unhideWhenUsed/>
    <w:rsid w:val="002C233A"/>
    <w:pPr>
      <w:tabs>
        <w:tab w:val="center" w:pos="4680"/>
        <w:tab w:val="right" w:pos="9360"/>
      </w:tabs>
    </w:pPr>
  </w:style>
  <w:style w:type="character" w:customStyle="1" w:styleId="FooterChar">
    <w:name w:val="Footer Char"/>
    <w:basedOn w:val="DefaultParagraphFont"/>
    <w:link w:val="Footer"/>
    <w:uiPriority w:val="99"/>
    <w:rsid w:val="002C233A"/>
  </w:style>
  <w:style w:type="character" w:customStyle="1" w:styleId="Heading1Char">
    <w:name w:val="Heading 1 Char"/>
    <w:basedOn w:val="DefaultParagraphFont"/>
    <w:link w:val="Heading1"/>
    <w:uiPriority w:val="9"/>
    <w:rsid w:val="00E21878"/>
    <w:rPr>
      <w:rFonts w:ascii="Times New Roman" w:hAnsi="Times New Roman"/>
      <w:b/>
      <w:sz w:val="28"/>
      <w:szCs w:val="28"/>
    </w:rPr>
  </w:style>
  <w:style w:type="paragraph" w:styleId="NormalWeb">
    <w:name w:val="Normal (Web)"/>
    <w:basedOn w:val="Normal"/>
    <w:uiPriority w:val="99"/>
    <w:semiHidden/>
    <w:unhideWhenUsed/>
    <w:rsid w:val="00D04759"/>
    <w:pPr>
      <w:spacing w:before="100" w:beforeAutospacing="1" w:after="100" w:afterAutospacing="1"/>
    </w:pPr>
    <w:rPr>
      <w:rFonts w:eastAsia="Times New Roman" w:cs="Times New Roman"/>
      <w:szCs w:val="24"/>
    </w:rPr>
  </w:style>
  <w:style w:type="paragraph" w:styleId="BalloonText">
    <w:name w:val="Balloon Text"/>
    <w:basedOn w:val="Normal"/>
    <w:link w:val="BalloonTextChar"/>
    <w:uiPriority w:val="99"/>
    <w:semiHidden/>
    <w:unhideWhenUsed/>
    <w:rsid w:val="00D04759"/>
    <w:rPr>
      <w:rFonts w:ascii="Tahoma" w:hAnsi="Tahoma" w:cs="Tahoma"/>
      <w:sz w:val="16"/>
      <w:szCs w:val="16"/>
    </w:rPr>
  </w:style>
  <w:style w:type="character" w:customStyle="1" w:styleId="BalloonTextChar">
    <w:name w:val="Balloon Text Char"/>
    <w:basedOn w:val="DefaultParagraphFont"/>
    <w:link w:val="BalloonText"/>
    <w:uiPriority w:val="99"/>
    <w:semiHidden/>
    <w:rsid w:val="00D04759"/>
    <w:rPr>
      <w:rFonts w:ascii="Tahoma" w:hAnsi="Tahoma" w:cs="Tahoma"/>
      <w:sz w:val="16"/>
      <w:szCs w:val="16"/>
    </w:rPr>
  </w:style>
  <w:style w:type="character" w:styleId="CommentReference">
    <w:name w:val="annotation reference"/>
    <w:basedOn w:val="DefaultParagraphFont"/>
    <w:uiPriority w:val="99"/>
    <w:semiHidden/>
    <w:unhideWhenUsed/>
    <w:rsid w:val="00A270B2"/>
    <w:rPr>
      <w:sz w:val="16"/>
      <w:szCs w:val="16"/>
    </w:rPr>
  </w:style>
  <w:style w:type="paragraph" w:styleId="CommentText">
    <w:name w:val="annotation text"/>
    <w:basedOn w:val="Normal"/>
    <w:link w:val="CommentTextChar"/>
    <w:uiPriority w:val="99"/>
    <w:semiHidden/>
    <w:unhideWhenUsed/>
    <w:rsid w:val="00A270B2"/>
    <w:rPr>
      <w:sz w:val="20"/>
      <w:szCs w:val="20"/>
    </w:rPr>
  </w:style>
  <w:style w:type="character" w:customStyle="1" w:styleId="CommentTextChar">
    <w:name w:val="Comment Text Char"/>
    <w:basedOn w:val="DefaultParagraphFont"/>
    <w:link w:val="CommentText"/>
    <w:uiPriority w:val="99"/>
    <w:semiHidden/>
    <w:rsid w:val="00A270B2"/>
    <w:rPr>
      <w:sz w:val="20"/>
      <w:szCs w:val="20"/>
    </w:rPr>
  </w:style>
  <w:style w:type="paragraph" w:styleId="CommentSubject">
    <w:name w:val="annotation subject"/>
    <w:basedOn w:val="CommentText"/>
    <w:next w:val="CommentText"/>
    <w:link w:val="CommentSubjectChar"/>
    <w:uiPriority w:val="99"/>
    <w:semiHidden/>
    <w:unhideWhenUsed/>
    <w:rsid w:val="00A270B2"/>
    <w:rPr>
      <w:b/>
      <w:bCs/>
    </w:rPr>
  </w:style>
  <w:style w:type="character" w:customStyle="1" w:styleId="CommentSubjectChar">
    <w:name w:val="Comment Subject Char"/>
    <w:basedOn w:val="CommentTextChar"/>
    <w:link w:val="CommentSubject"/>
    <w:uiPriority w:val="99"/>
    <w:semiHidden/>
    <w:rsid w:val="00A270B2"/>
    <w:rPr>
      <w:b/>
      <w:bCs/>
      <w:sz w:val="20"/>
      <w:szCs w:val="20"/>
    </w:rPr>
  </w:style>
  <w:style w:type="paragraph" w:styleId="ListParagraph">
    <w:name w:val="List Paragraph"/>
    <w:basedOn w:val="Normal"/>
    <w:uiPriority w:val="34"/>
    <w:qFormat/>
    <w:rsid w:val="005F47EA"/>
    <w:pPr>
      <w:ind w:left="720"/>
      <w:contextualSpacing/>
    </w:pPr>
  </w:style>
  <w:style w:type="paragraph" w:styleId="Title">
    <w:name w:val="Title"/>
    <w:basedOn w:val="Normal"/>
    <w:next w:val="Normal"/>
    <w:link w:val="TitleChar"/>
    <w:uiPriority w:val="10"/>
    <w:qFormat/>
    <w:rsid w:val="00992B2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2B26"/>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uiPriority w:val="99"/>
    <w:semiHidden/>
    <w:unhideWhenUsed/>
    <w:rsid w:val="3F1987B8"/>
    <w:rPr>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sid w:val="55D9432F"/>
    <w:rPr>
      <w:color w:val="0000FF"/>
      <w:u w:val="single"/>
    </w:rPr>
  </w:style>
  <w:style w:type="paragraph" w:customStyle="1" w:styleId="p1">
    <w:name w:val="p1"/>
    <w:basedOn w:val="Normal"/>
    <w:rsid w:val="00DE1AD5"/>
    <w:pPr>
      <w:ind w:firstLine="0"/>
    </w:pPr>
    <w:rPr>
      <w:rFonts w:ascii="Helvetica" w:eastAsia="Times New Roman" w:hAnsi="Helvetica" w:cs="Times New Roman"/>
      <w:color w:val="000000"/>
      <w:sz w:val="31"/>
      <w:szCs w:val="31"/>
    </w:rPr>
  </w:style>
  <w:style w:type="paragraph" w:styleId="Bibliography">
    <w:name w:val="Bibliography"/>
    <w:basedOn w:val="Normal"/>
    <w:next w:val="Normal"/>
    <w:uiPriority w:val="37"/>
    <w:unhideWhenUsed/>
    <w:rsid w:val="0039487E"/>
    <w:pPr>
      <w:spacing w:line="480" w:lineRule="auto"/>
      <w:ind w:left="720" w:hanging="720"/>
    </w:pPr>
  </w:style>
  <w:style w:type="character" w:customStyle="1" w:styleId="Heading4Char">
    <w:name w:val="Heading 4 Char"/>
    <w:basedOn w:val="DefaultParagraphFont"/>
    <w:link w:val="Heading4"/>
    <w:uiPriority w:val="9"/>
    <w:semiHidden/>
    <w:rsid w:val="00C84624"/>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7884570">
      <w:bodyDiv w:val="1"/>
      <w:marLeft w:val="0"/>
      <w:marRight w:val="0"/>
      <w:marTop w:val="0"/>
      <w:marBottom w:val="0"/>
      <w:divBdr>
        <w:top w:val="none" w:sz="0" w:space="0" w:color="auto"/>
        <w:left w:val="none" w:sz="0" w:space="0" w:color="auto"/>
        <w:bottom w:val="none" w:sz="0" w:space="0" w:color="auto"/>
        <w:right w:val="none" w:sz="0" w:space="0" w:color="auto"/>
      </w:divBdr>
    </w:div>
    <w:div w:id="768965865">
      <w:bodyDiv w:val="1"/>
      <w:marLeft w:val="0"/>
      <w:marRight w:val="0"/>
      <w:marTop w:val="0"/>
      <w:marBottom w:val="0"/>
      <w:divBdr>
        <w:top w:val="none" w:sz="0" w:space="0" w:color="auto"/>
        <w:left w:val="none" w:sz="0" w:space="0" w:color="auto"/>
        <w:bottom w:val="none" w:sz="0" w:space="0" w:color="auto"/>
        <w:right w:val="none" w:sz="0" w:space="0" w:color="auto"/>
      </w:divBdr>
      <w:divsChild>
        <w:div w:id="1079249943">
          <w:marLeft w:val="0"/>
          <w:marRight w:val="0"/>
          <w:marTop w:val="0"/>
          <w:marBottom w:val="0"/>
          <w:divBdr>
            <w:top w:val="none" w:sz="0" w:space="0" w:color="auto"/>
            <w:left w:val="none" w:sz="0" w:space="0" w:color="auto"/>
            <w:bottom w:val="none" w:sz="0" w:space="0" w:color="auto"/>
            <w:right w:val="none" w:sz="0" w:space="0" w:color="auto"/>
          </w:divBdr>
          <w:divsChild>
            <w:div w:id="2133786768">
              <w:marLeft w:val="0"/>
              <w:marRight w:val="0"/>
              <w:marTop w:val="0"/>
              <w:marBottom w:val="0"/>
              <w:divBdr>
                <w:top w:val="none" w:sz="0" w:space="0" w:color="auto"/>
                <w:left w:val="none" w:sz="0" w:space="0" w:color="auto"/>
                <w:bottom w:val="none" w:sz="0" w:space="0" w:color="auto"/>
                <w:right w:val="none" w:sz="0" w:space="0" w:color="auto"/>
              </w:divBdr>
              <w:divsChild>
                <w:div w:id="1123233338">
                  <w:marLeft w:val="0"/>
                  <w:marRight w:val="0"/>
                  <w:marTop w:val="0"/>
                  <w:marBottom w:val="0"/>
                  <w:divBdr>
                    <w:top w:val="none" w:sz="0" w:space="0" w:color="auto"/>
                    <w:left w:val="none" w:sz="0" w:space="0" w:color="auto"/>
                    <w:bottom w:val="none" w:sz="0" w:space="0" w:color="auto"/>
                    <w:right w:val="none" w:sz="0" w:space="0" w:color="auto"/>
                  </w:divBdr>
                </w:div>
              </w:divsChild>
            </w:div>
            <w:div w:id="1278832075">
              <w:marLeft w:val="0"/>
              <w:marRight w:val="0"/>
              <w:marTop w:val="0"/>
              <w:marBottom w:val="0"/>
              <w:divBdr>
                <w:top w:val="none" w:sz="0" w:space="0" w:color="auto"/>
                <w:left w:val="none" w:sz="0" w:space="0" w:color="auto"/>
                <w:bottom w:val="none" w:sz="0" w:space="0" w:color="auto"/>
                <w:right w:val="none" w:sz="0" w:space="0" w:color="auto"/>
              </w:divBdr>
              <w:divsChild>
                <w:div w:id="5965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7712">
          <w:marLeft w:val="0"/>
          <w:marRight w:val="0"/>
          <w:marTop w:val="0"/>
          <w:marBottom w:val="0"/>
          <w:divBdr>
            <w:top w:val="none" w:sz="0" w:space="0" w:color="auto"/>
            <w:left w:val="none" w:sz="0" w:space="0" w:color="auto"/>
            <w:bottom w:val="none" w:sz="0" w:space="0" w:color="auto"/>
            <w:right w:val="none" w:sz="0" w:space="0" w:color="auto"/>
          </w:divBdr>
          <w:divsChild>
            <w:div w:id="602225005">
              <w:marLeft w:val="0"/>
              <w:marRight w:val="0"/>
              <w:marTop w:val="0"/>
              <w:marBottom w:val="0"/>
              <w:divBdr>
                <w:top w:val="none" w:sz="0" w:space="0" w:color="auto"/>
                <w:left w:val="none" w:sz="0" w:space="0" w:color="auto"/>
                <w:bottom w:val="none" w:sz="0" w:space="0" w:color="auto"/>
                <w:right w:val="none" w:sz="0" w:space="0" w:color="auto"/>
              </w:divBdr>
              <w:divsChild>
                <w:div w:id="14184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2315">
      <w:bodyDiv w:val="1"/>
      <w:marLeft w:val="0"/>
      <w:marRight w:val="0"/>
      <w:marTop w:val="0"/>
      <w:marBottom w:val="0"/>
      <w:divBdr>
        <w:top w:val="none" w:sz="0" w:space="0" w:color="auto"/>
        <w:left w:val="none" w:sz="0" w:space="0" w:color="auto"/>
        <w:bottom w:val="none" w:sz="0" w:space="0" w:color="auto"/>
        <w:right w:val="none" w:sz="0" w:space="0" w:color="auto"/>
      </w:divBdr>
      <w:divsChild>
        <w:div w:id="1644235835">
          <w:marLeft w:val="0"/>
          <w:marRight w:val="0"/>
          <w:marTop w:val="0"/>
          <w:marBottom w:val="0"/>
          <w:divBdr>
            <w:top w:val="none" w:sz="0" w:space="0" w:color="auto"/>
            <w:left w:val="none" w:sz="0" w:space="0" w:color="auto"/>
            <w:bottom w:val="none" w:sz="0" w:space="0" w:color="auto"/>
            <w:right w:val="none" w:sz="0" w:space="0" w:color="auto"/>
          </w:divBdr>
          <w:divsChild>
            <w:div w:id="1381589979">
              <w:marLeft w:val="0"/>
              <w:marRight w:val="0"/>
              <w:marTop w:val="0"/>
              <w:marBottom w:val="0"/>
              <w:divBdr>
                <w:top w:val="none" w:sz="0" w:space="0" w:color="auto"/>
                <w:left w:val="none" w:sz="0" w:space="0" w:color="auto"/>
                <w:bottom w:val="none" w:sz="0" w:space="0" w:color="auto"/>
                <w:right w:val="none" w:sz="0" w:space="0" w:color="auto"/>
              </w:divBdr>
              <w:divsChild>
                <w:div w:id="6382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98085">
      <w:bodyDiv w:val="1"/>
      <w:marLeft w:val="0"/>
      <w:marRight w:val="0"/>
      <w:marTop w:val="0"/>
      <w:marBottom w:val="0"/>
      <w:divBdr>
        <w:top w:val="none" w:sz="0" w:space="0" w:color="auto"/>
        <w:left w:val="none" w:sz="0" w:space="0" w:color="auto"/>
        <w:bottom w:val="none" w:sz="0" w:space="0" w:color="auto"/>
        <w:right w:val="none" w:sz="0" w:space="0" w:color="auto"/>
      </w:divBdr>
    </w:div>
    <w:div w:id="1111826126">
      <w:bodyDiv w:val="1"/>
      <w:marLeft w:val="0"/>
      <w:marRight w:val="0"/>
      <w:marTop w:val="0"/>
      <w:marBottom w:val="0"/>
      <w:divBdr>
        <w:top w:val="none" w:sz="0" w:space="0" w:color="auto"/>
        <w:left w:val="none" w:sz="0" w:space="0" w:color="auto"/>
        <w:bottom w:val="none" w:sz="0" w:space="0" w:color="auto"/>
        <w:right w:val="none" w:sz="0" w:space="0" w:color="auto"/>
      </w:divBdr>
      <w:divsChild>
        <w:div w:id="1900625763">
          <w:marLeft w:val="0"/>
          <w:marRight w:val="0"/>
          <w:marTop w:val="0"/>
          <w:marBottom w:val="0"/>
          <w:divBdr>
            <w:top w:val="none" w:sz="0" w:space="0" w:color="auto"/>
            <w:left w:val="none" w:sz="0" w:space="0" w:color="auto"/>
            <w:bottom w:val="none" w:sz="0" w:space="0" w:color="auto"/>
            <w:right w:val="none" w:sz="0" w:space="0" w:color="auto"/>
          </w:divBdr>
          <w:divsChild>
            <w:div w:id="668752131">
              <w:marLeft w:val="0"/>
              <w:marRight w:val="0"/>
              <w:marTop w:val="0"/>
              <w:marBottom w:val="0"/>
              <w:divBdr>
                <w:top w:val="none" w:sz="0" w:space="0" w:color="auto"/>
                <w:left w:val="none" w:sz="0" w:space="0" w:color="auto"/>
                <w:bottom w:val="none" w:sz="0" w:space="0" w:color="auto"/>
                <w:right w:val="none" w:sz="0" w:space="0" w:color="auto"/>
              </w:divBdr>
              <w:divsChild>
                <w:div w:id="11303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6327">
      <w:bodyDiv w:val="1"/>
      <w:marLeft w:val="0"/>
      <w:marRight w:val="0"/>
      <w:marTop w:val="0"/>
      <w:marBottom w:val="0"/>
      <w:divBdr>
        <w:top w:val="none" w:sz="0" w:space="0" w:color="auto"/>
        <w:left w:val="none" w:sz="0" w:space="0" w:color="auto"/>
        <w:bottom w:val="none" w:sz="0" w:space="0" w:color="auto"/>
        <w:right w:val="none" w:sz="0" w:space="0" w:color="auto"/>
      </w:divBdr>
      <w:divsChild>
        <w:div w:id="1936471357">
          <w:marLeft w:val="0"/>
          <w:marRight w:val="0"/>
          <w:marTop w:val="0"/>
          <w:marBottom w:val="0"/>
          <w:divBdr>
            <w:top w:val="none" w:sz="0" w:space="0" w:color="auto"/>
            <w:left w:val="none" w:sz="0" w:space="0" w:color="auto"/>
            <w:bottom w:val="none" w:sz="0" w:space="0" w:color="auto"/>
            <w:right w:val="none" w:sz="0" w:space="0" w:color="auto"/>
          </w:divBdr>
          <w:divsChild>
            <w:div w:id="347491702">
              <w:marLeft w:val="0"/>
              <w:marRight w:val="0"/>
              <w:marTop w:val="0"/>
              <w:marBottom w:val="0"/>
              <w:divBdr>
                <w:top w:val="none" w:sz="0" w:space="0" w:color="auto"/>
                <w:left w:val="none" w:sz="0" w:space="0" w:color="auto"/>
                <w:bottom w:val="none" w:sz="0" w:space="0" w:color="auto"/>
                <w:right w:val="none" w:sz="0" w:space="0" w:color="auto"/>
              </w:divBdr>
              <w:divsChild>
                <w:div w:id="12920672">
                  <w:marLeft w:val="0"/>
                  <w:marRight w:val="0"/>
                  <w:marTop w:val="0"/>
                  <w:marBottom w:val="0"/>
                  <w:divBdr>
                    <w:top w:val="none" w:sz="0" w:space="0" w:color="auto"/>
                    <w:left w:val="none" w:sz="0" w:space="0" w:color="auto"/>
                    <w:bottom w:val="none" w:sz="0" w:space="0" w:color="auto"/>
                    <w:right w:val="none" w:sz="0" w:space="0" w:color="auto"/>
                  </w:divBdr>
                </w:div>
              </w:divsChild>
            </w:div>
            <w:div w:id="2006086657">
              <w:marLeft w:val="0"/>
              <w:marRight w:val="0"/>
              <w:marTop w:val="0"/>
              <w:marBottom w:val="0"/>
              <w:divBdr>
                <w:top w:val="none" w:sz="0" w:space="0" w:color="auto"/>
                <w:left w:val="none" w:sz="0" w:space="0" w:color="auto"/>
                <w:bottom w:val="none" w:sz="0" w:space="0" w:color="auto"/>
                <w:right w:val="none" w:sz="0" w:space="0" w:color="auto"/>
              </w:divBdr>
              <w:divsChild>
                <w:div w:id="11199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5302">
          <w:marLeft w:val="0"/>
          <w:marRight w:val="0"/>
          <w:marTop w:val="0"/>
          <w:marBottom w:val="0"/>
          <w:divBdr>
            <w:top w:val="none" w:sz="0" w:space="0" w:color="auto"/>
            <w:left w:val="none" w:sz="0" w:space="0" w:color="auto"/>
            <w:bottom w:val="none" w:sz="0" w:space="0" w:color="auto"/>
            <w:right w:val="none" w:sz="0" w:space="0" w:color="auto"/>
          </w:divBdr>
          <w:divsChild>
            <w:div w:id="615411685">
              <w:marLeft w:val="0"/>
              <w:marRight w:val="0"/>
              <w:marTop w:val="0"/>
              <w:marBottom w:val="0"/>
              <w:divBdr>
                <w:top w:val="none" w:sz="0" w:space="0" w:color="auto"/>
                <w:left w:val="none" w:sz="0" w:space="0" w:color="auto"/>
                <w:bottom w:val="none" w:sz="0" w:space="0" w:color="auto"/>
                <w:right w:val="none" w:sz="0" w:space="0" w:color="auto"/>
              </w:divBdr>
              <w:divsChild>
                <w:div w:id="18783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6220">
      <w:bodyDiv w:val="1"/>
      <w:marLeft w:val="0"/>
      <w:marRight w:val="0"/>
      <w:marTop w:val="0"/>
      <w:marBottom w:val="0"/>
      <w:divBdr>
        <w:top w:val="none" w:sz="0" w:space="0" w:color="auto"/>
        <w:left w:val="none" w:sz="0" w:space="0" w:color="auto"/>
        <w:bottom w:val="none" w:sz="0" w:space="0" w:color="auto"/>
        <w:right w:val="none" w:sz="0" w:space="0" w:color="auto"/>
      </w:divBdr>
      <w:divsChild>
        <w:div w:id="544609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DBA97-7BDA-4E86-B248-2165BBD8A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2977</Words>
  <Characters>16973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Kellogg School of Management</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shale</dc:creator>
  <cp:lastModifiedBy>Fabio Schreiber</cp:lastModifiedBy>
  <cp:revision>23</cp:revision>
  <cp:lastPrinted>2018-01-25T23:09:00Z</cp:lastPrinted>
  <dcterms:created xsi:type="dcterms:W3CDTF">2026-06-18T14:08:00Z</dcterms:created>
  <dcterms:modified xsi:type="dcterms:W3CDTF">2026-09-22T09:56:00Z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id="MLwU0by7"/&gt;&lt;style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