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rPr>
          <w:b/>
          <w:bCs/>
          <w:color w:val="C9A24B"/>
          <w:sz w:val="20"/>
          <w:szCs w:val="20"/>
        </w:rPr>
        <w:t xml:space="preserve">DISCOVER 階段｜市場與競品研究</w:t>
      </w:r>
    </w:p>
    <w:p>
      <w:pPr>
        <w:spacing w:after="200" w:before="200"/>
      </w:pPr>
      <w:r>
        <w:rPr>
          <w:b/>
          <w:bCs/>
          <w:color w:val="0E2A47"/>
          <w:sz w:val="44"/>
          <w:szCs w:val="44"/>
        </w:rPr>
        <w:t xml:space="preserve">恩典大樓品牌識別規範</w:t>
      </w:r>
    </w:p>
    <w:p>
      <w:pPr>
        <w:spacing w:after="400"/>
      </w:pPr>
      <w:r>
        <w:rPr>
          <w:color w:val="0E2A47"/>
          <w:sz w:val="24"/>
          <w:szCs w:val="24"/>
        </w:rPr>
        <w:t xml:space="preserve">市場調研報告：台灣・亞洲・全球複合式超高總部大樓案例研究</w:t>
      </w:r>
    </w:p>
    <w:p>
      <w:pPr>
        <w:spacing w:after="100"/>
      </w:pPr>
      <w:r>
        <w:rPr>
          <w:color w:val="8C8A85"/>
          <w:sz w:val="18"/>
          <w:szCs w:val="18"/>
        </w:rPr>
        <w:t xml:space="preserve">東森集團全球營運總部｜Grace Tower Brand Identity Project</w:t>
      </w:r>
    </w:p>
    <w:p>
      <w:pPr>
        <w:spacing w:after="600"/>
      </w:pPr>
      <w:r>
        <w:rPr>
          <w:color w:val="8C8A85"/>
          <w:sz w:val="18"/>
          <w:szCs w:val="18"/>
        </w:rPr>
        <w:t xml:space="preserve">版本 1.0　｜　2026年7月</w:t>
      </w:r>
    </w:p>
    <w:p>
      <w:pPr>
        <w:pBdr>
          <w:bottom w:val="single" w:color="C9A24B" w:sz="6" w:space="1"/>
        </w:pBdr>
        <w:spacing w:after="200" w:before="100"/>
      </w:pPr>
      <w:r>
        <w:t xml:space="preserve"/>
      </w:r>
    </w:p>
    <w:p>
      <w:pPr>
        <w:spacing w:after="160"/>
      </w:pPr>
      <w:r>
        <w:t xml:space="preserve">本報告為雙鑽設計模型（Double Diamond Model）第一鑽石之「Discover 發現」階段產出，聚焦於市場與競品研究。透過蒐集台灣、亞洲與全球具代表性的複合式超高總部大樓案例，分析其建築規模、複合機能配置與品牌識別做法，作為後續 Define（定義恩典大樓核心價值與機會點）階段的研究基礎。</w:t>
      </w:r>
    </w:p>
    <w:p>
      <w:r>
        <w:br w:type="page"/>
      </w:r>
    </w:p>
    <w:p>
      <w:pPr>
        <w:pStyle w:val="Heading1"/>
      </w:pPr>
      <w:r>
        <w:t xml:space="preserve">一、研究目的與方法</w:t>
      </w:r>
    </w:p>
    <w:p>
      <w:pPr>
        <w:spacing w:after="160"/>
      </w:pPr>
      <w:r>
        <w:t xml:space="preserve">研究目的：在為恩典大樓建立品牌識別規範前，須先理解同類型「複合式超高總部大樓」在全球市場的競爭格局與品牌操作慣例，避免識別系統脫離產業脈絡而流於空泛。</w:t>
      </w:r>
    </w:p>
    <w:p>
      <w:pPr>
        <w:spacing w:after="160"/>
      </w:pPr>
      <w:r>
        <w:t xml:space="preserve">研究範疇：鎖定同時具備「企業總部／商辦」＋「觀景台或制高點體驗」＋「旅宿或零售等複合機能」三項特徵的超高層建築，依地理範圍分為台灣市場、亞洲市場、全球市場三組，共蒐集13個代表性案例。</w:t>
      </w:r>
    </w:p>
    <w:p>
      <w:pPr>
        <w:spacing w:after="160"/>
      </w:pPr>
      <w:r>
        <w:t xml:space="preserve">研究方法：採用桌面研究（Desk Research），透過公開新聞報導、維基百科、官方網站與品牌設計案例網站等公開資料進行交叉查證與歸納整理，聚焦於建築規模、複合機能、命名邏輯、視覺識別概念與精品聯名策略五個面向。</w:t>
      </w:r>
    </w:p>
    <w:p>
      <w:pPr>
        <w:pStyle w:val="Heading1"/>
      </w:pPr>
      <w:r>
        <w:t xml:space="preserve">二、台灣市場案例</w:t>
      </w:r>
    </w:p>
    <w:p>
      <w:pPr>
        <w:spacing w:after="160"/>
      </w:pPr>
      <w:r>
        <w:t xml:space="preserve">台灣近年高層複合式開發集中於台北信義區與林口，主要驅動力為壽險資金投資的自用總部大樓，普遍採「總部辦公＋高端商場／酒店＋觀景或宴會樓層」的複合配置。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926"/>
        <w:gridCol w:w="3000"/>
      </w:tblGrid>
      <w:tr>
        <w:trPr>
          <w:tblHeader/>
        </w:trPr>
        <w:tc>
          <w:tcPr>
            <w:tcW w:type="dxa" w:w="1500"/>
            <w:tcBorders>
              <w:top w:val="single" w:color="D9D5C9" w:sz="2"/>
              <w:left w:val="single" w:color="D9D5C9" w:sz="2"/>
              <w:bottom w:val="single" w:color="D9D5C9" w:sz="2"/>
              <w:right w:val="single" w:color="D9D5C9" w:sz="2"/>
            </w:tcBorders>
            <w:shd w:fill="0E2A47" w:val="clear"/>
            <w:tcMar>
              <w:top w:type="dxa" w:w="100"/>
              <w:left w:type="dxa" w:w="120"/>
              <w:bottom w:type="dxa" w:w="100"/>
              <w:right w:type="dxa" w:w="120"/>
            </w:tcMar>
            <w:vAlign w:val="center"/>
          </w:tcPr>
          <w:p>
            <w:r>
              <w:rPr>
                <w:b/>
                <w:bCs/>
                <w:color w:val="FFFFFF"/>
                <w:sz w:val="19"/>
                <w:szCs w:val="19"/>
              </w:rPr>
              <w:t xml:space="preserve">案例</w:t>
            </w:r>
          </w:p>
        </w:tc>
        <w:tc>
          <w:tcPr>
            <w:tcW w:type="dxa" w:w="1600"/>
            <w:tcBorders>
              <w:top w:val="single" w:color="D9D5C9" w:sz="2"/>
              <w:left w:val="single" w:color="D9D5C9" w:sz="2"/>
              <w:bottom w:val="single" w:color="D9D5C9" w:sz="2"/>
              <w:right w:val="single" w:color="D9D5C9" w:sz="2"/>
            </w:tcBorders>
            <w:shd w:fill="0E2A47" w:val="clear"/>
            <w:tcMar>
              <w:top w:type="dxa" w:w="100"/>
              <w:left w:type="dxa" w:w="120"/>
              <w:bottom w:type="dxa" w:w="100"/>
              <w:right w:type="dxa" w:w="120"/>
            </w:tcMar>
            <w:vAlign w:val="center"/>
          </w:tcPr>
          <w:p>
            <w:r>
              <w:rPr>
                <w:b/>
                <w:bCs/>
                <w:color w:val="FFFFFF"/>
                <w:sz w:val="19"/>
                <w:szCs w:val="19"/>
              </w:rPr>
              <w:t xml:space="preserve">樓高／規模</w:t>
            </w:r>
          </w:p>
        </w:tc>
        <w:tc>
          <w:tcPr>
            <w:tcW w:type="dxa" w:w="2926"/>
            <w:tcBorders>
              <w:top w:val="single" w:color="D9D5C9" w:sz="2"/>
              <w:left w:val="single" w:color="D9D5C9" w:sz="2"/>
              <w:bottom w:val="single" w:color="D9D5C9" w:sz="2"/>
              <w:right w:val="single" w:color="D9D5C9" w:sz="2"/>
            </w:tcBorders>
            <w:shd w:fill="0E2A47" w:val="clear"/>
            <w:tcMar>
              <w:top w:type="dxa" w:w="100"/>
              <w:left w:type="dxa" w:w="120"/>
              <w:bottom w:type="dxa" w:w="100"/>
              <w:right w:type="dxa" w:w="120"/>
            </w:tcMar>
            <w:vAlign w:val="center"/>
          </w:tcPr>
          <w:p>
            <w:r>
              <w:rPr>
                <w:b/>
                <w:bCs/>
                <w:color w:val="FFFFFF"/>
                <w:sz w:val="19"/>
                <w:szCs w:val="19"/>
              </w:rPr>
              <w:t xml:space="preserve">複合機能</w:t>
            </w:r>
          </w:p>
        </w:tc>
        <w:tc>
          <w:tcPr>
            <w:tcW w:type="dxa" w:w="3000"/>
            <w:tcBorders>
              <w:top w:val="single" w:color="D9D5C9" w:sz="2"/>
              <w:left w:val="single" w:color="D9D5C9" w:sz="2"/>
              <w:bottom w:val="single" w:color="D9D5C9" w:sz="2"/>
              <w:right w:val="single" w:color="D9D5C9" w:sz="2"/>
            </w:tcBorders>
            <w:shd w:fill="0E2A47" w:val="clear"/>
            <w:tcMar>
              <w:top w:type="dxa" w:w="100"/>
              <w:left w:type="dxa" w:w="120"/>
              <w:bottom w:type="dxa" w:w="100"/>
              <w:right w:type="dxa" w:w="120"/>
            </w:tcMar>
            <w:vAlign w:val="center"/>
          </w:tcPr>
          <w:p>
            <w:r>
              <w:rPr>
                <w:b/>
                <w:bCs/>
                <w:color w:val="FFFFFF"/>
                <w:sz w:val="19"/>
                <w:szCs w:val="19"/>
              </w:rPr>
              <w:t xml:space="preserve">命名與識別邏輯</w:t>
            </w:r>
          </w:p>
        </w:tc>
      </w:tr>
      <w:tr>
        <w:tc>
          <w:tcPr>
            <w:tcW w:type="dxa" w:w="15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台北101</w:t>
            </w:r>
          </w:p>
        </w:tc>
        <w:tc>
          <w:tcPr>
            <w:tcW w:type="dxa" w:w="16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508公尺／101層
全台最高建築</w:t>
            </w:r>
          </w:p>
        </w:tc>
        <w:tc>
          <w:tcPr>
            <w:tcW w:type="dxa" w:w="2926"/>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商辦、購物中心、89F觀景台</w:t>
            </w:r>
          </w:p>
        </w:tc>
        <w:tc>
          <w:tcPr>
            <w:tcW w:type="dxa" w:w="30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以「發」的諧音（8層一結構單元）為設計核心；建築本體即為地標品牌，觀景台採樓層直接命名「89F觀景台」，未另立子品牌名稱</w:t>
            </w:r>
          </w:p>
        </w:tc>
      </w:tr>
      <w:tr>
        <w:tc>
          <w:tcPr>
            <w:tcW w:type="dxa" w:w="1500"/>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臺北南山廣場
（南山人壽總部）</w:t>
            </w:r>
          </w:p>
        </w:tc>
        <w:tc>
          <w:tcPr>
            <w:tcW w:type="dxa" w:w="1600"/>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272公尺／48層</w:t>
            </w:r>
          </w:p>
        </w:tc>
        <w:tc>
          <w:tcPr>
            <w:tcW w:type="dxa" w:w="2926"/>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南山人壽總部辦公、微風南山購物中心、頂層景觀餐廳</w:t>
            </w:r>
          </w:p>
        </w:tc>
        <w:tc>
          <w:tcPr>
            <w:tcW w:type="dxa" w:w="3000"/>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建築造型「雙手合掌」寓意祈福；商場另立品牌「微風南山」，由微風集團操盤，形成「總部識別」與「商業子品牌」並存的雙軌模式</w:t>
            </w:r>
          </w:p>
        </w:tc>
      </w:tr>
      <w:tr>
        <w:tc>
          <w:tcPr>
            <w:tcW w:type="dxa" w:w="15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國泰置地廣場
（微風集團總部）</w:t>
            </w:r>
          </w:p>
        </w:tc>
        <w:tc>
          <w:tcPr>
            <w:tcW w:type="dxa" w:w="16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212公尺／46層</w:t>
            </w:r>
          </w:p>
        </w:tc>
        <w:tc>
          <w:tcPr>
            <w:tcW w:type="dxa" w:w="2926"/>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微風信義百貨（裙樓）、商辦樓層、捷運共構</w:t>
            </w:r>
          </w:p>
        </w:tc>
        <w:tc>
          <w:tcPr>
            <w:tcW w:type="dxa" w:w="30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與台北捷運市政府站共構；裙樓百貨與辦公各自維持原品牌（微風／國泰），未強制統一為單一大樓品牌</w:t>
            </w:r>
          </w:p>
        </w:tc>
      </w:tr>
      <w:tr>
        <w:tc>
          <w:tcPr>
            <w:tcW w:type="dxa" w:w="1500"/>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台北天空塔
The Sky Taipei</w:t>
            </w:r>
          </w:p>
        </w:tc>
        <w:tc>
          <w:tcPr>
            <w:tcW w:type="dxa" w:w="1600"/>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預計2027完工</w:t>
            </w:r>
          </w:p>
        </w:tc>
        <w:tc>
          <w:tcPr>
            <w:tcW w:type="dxa" w:w="2926"/>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凱悅集團雙品牌酒店（柏悅＋安達仕）、購物、餐飲、藝術空間</w:t>
            </w:r>
          </w:p>
        </w:tc>
        <w:tc>
          <w:tcPr>
            <w:tcW w:type="dxa" w:w="3000"/>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以國際五星酒店雙品牌聯名作為主要識別支點，建築自身品牌與酒店品牌共同曝光，強化話題性與精品定位</w:t>
            </w:r>
          </w:p>
        </w:tc>
      </w:tr>
      <w:tr>
        <w:tc>
          <w:tcPr>
            <w:tcW w:type="dxa" w:w="15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富邦人壽總部</w:t>
            </w:r>
          </w:p>
        </w:tc>
        <w:tc>
          <w:tcPr>
            <w:tcW w:type="dxa" w:w="16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266.3公尺／54層</w:t>
            </w:r>
          </w:p>
        </w:tc>
        <w:tc>
          <w:tcPr>
            <w:tcW w:type="dxa" w:w="2926"/>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富邦人壽總部辦公</w:t>
            </w:r>
          </w:p>
        </w:tc>
        <w:tc>
          <w:tcPr>
            <w:tcW w:type="dxa" w:w="30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以「城市森林」為核心概念，訴求生態與永續形象，作為企業總部單一識別，未涉及觀景台或旅宿機能</w:t>
            </w:r>
          </w:p>
        </w:tc>
      </w:tr>
    </w:tbl>
    <w:p>
      <w:pPr>
        <w:pStyle w:val="Heading1"/>
      </w:pPr>
      <w:r>
        <w:t xml:space="preserve">三、亞洲市場案例</w:t>
      </w:r>
    </w:p>
    <w:p>
      <w:pPr>
        <w:spacing w:after="160"/>
      </w:pPr>
      <w:r>
        <w:t xml:space="preserve">亞洲的複合式超高總部大樓多將「觀景台」發展為具獨立名稱的子品牌，並透過命名與體驗設計（如玻璃地板、極速電梯、AR互動）建立差異化記憶點，是恩典大樓「450台灣之眼」命名策略的重要參照組。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926"/>
        <w:gridCol w:w="3000"/>
      </w:tblGrid>
      <w:tr>
        <w:trPr>
          <w:tblHeader/>
        </w:trPr>
        <w:tc>
          <w:tcPr>
            <w:tcW w:type="dxa" w:w="1500"/>
            <w:tcBorders>
              <w:top w:val="single" w:color="D9D5C9" w:sz="2"/>
              <w:left w:val="single" w:color="D9D5C9" w:sz="2"/>
              <w:bottom w:val="single" w:color="D9D5C9" w:sz="2"/>
              <w:right w:val="single" w:color="D9D5C9" w:sz="2"/>
            </w:tcBorders>
            <w:shd w:fill="0E2A47" w:val="clear"/>
            <w:tcMar>
              <w:top w:type="dxa" w:w="100"/>
              <w:left w:type="dxa" w:w="120"/>
              <w:bottom w:type="dxa" w:w="100"/>
              <w:right w:type="dxa" w:w="120"/>
            </w:tcMar>
            <w:vAlign w:val="center"/>
          </w:tcPr>
          <w:p>
            <w:r>
              <w:rPr>
                <w:b/>
                <w:bCs/>
                <w:color w:val="FFFFFF"/>
                <w:sz w:val="19"/>
                <w:szCs w:val="19"/>
              </w:rPr>
              <w:t xml:space="preserve">案例</w:t>
            </w:r>
          </w:p>
        </w:tc>
        <w:tc>
          <w:tcPr>
            <w:tcW w:type="dxa" w:w="1600"/>
            <w:tcBorders>
              <w:top w:val="single" w:color="D9D5C9" w:sz="2"/>
              <w:left w:val="single" w:color="D9D5C9" w:sz="2"/>
              <w:bottom w:val="single" w:color="D9D5C9" w:sz="2"/>
              <w:right w:val="single" w:color="D9D5C9" w:sz="2"/>
            </w:tcBorders>
            <w:shd w:fill="0E2A47" w:val="clear"/>
            <w:tcMar>
              <w:top w:type="dxa" w:w="100"/>
              <w:left w:type="dxa" w:w="120"/>
              <w:bottom w:type="dxa" w:w="100"/>
              <w:right w:type="dxa" w:w="120"/>
            </w:tcMar>
            <w:vAlign w:val="center"/>
          </w:tcPr>
          <w:p>
            <w:r>
              <w:rPr>
                <w:b/>
                <w:bCs/>
                <w:color w:val="FFFFFF"/>
                <w:sz w:val="19"/>
                <w:szCs w:val="19"/>
              </w:rPr>
              <w:t xml:space="preserve">樓高／規模</w:t>
            </w:r>
          </w:p>
        </w:tc>
        <w:tc>
          <w:tcPr>
            <w:tcW w:type="dxa" w:w="2926"/>
            <w:tcBorders>
              <w:top w:val="single" w:color="D9D5C9" w:sz="2"/>
              <w:left w:val="single" w:color="D9D5C9" w:sz="2"/>
              <w:bottom w:val="single" w:color="D9D5C9" w:sz="2"/>
              <w:right w:val="single" w:color="D9D5C9" w:sz="2"/>
            </w:tcBorders>
            <w:shd w:fill="0E2A47" w:val="clear"/>
            <w:tcMar>
              <w:top w:type="dxa" w:w="100"/>
              <w:left w:type="dxa" w:w="120"/>
              <w:bottom w:type="dxa" w:w="100"/>
              <w:right w:type="dxa" w:w="120"/>
            </w:tcMar>
            <w:vAlign w:val="center"/>
          </w:tcPr>
          <w:p>
            <w:r>
              <w:rPr>
                <w:b/>
                <w:bCs/>
                <w:color w:val="FFFFFF"/>
                <w:sz w:val="19"/>
                <w:szCs w:val="19"/>
              </w:rPr>
              <w:t xml:space="preserve">複合機能</w:t>
            </w:r>
          </w:p>
        </w:tc>
        <w:tc>
          <w:tcPr>
            <w:tcW w:type="dxa" w:w="3000"/>
            <w:tcBorders>
              <w:top w:val="single" w:color="D9D5C9" w:sz="2"/>
              <w:left w:val="single" w:color="D9D5C9" w:sz="2"/>
              <w:bottom w:val="single" w:color="D9D5C9" w:sz="2"/>
              <w:right w:val="single" w:color="D9D5C9" w:sz="2"/>
            </w:tcBorders>
            <w:shd w:fill="0E2A47" w:val="clear"/>
            <w:tcMar>
              <w:top w:type="dxa" w:w="100"/>
              <w:left w:type="dxa" w:w="120"/>
              <w:bottom w:type="dxa" w:w="100"/>
              <w:right w:type="dxa" w:w="120"/>
            </w:tcMar>
            <w:vAlign w:val="center"/>
          </w:tcPr>
          <w:p>
            <w:r>
              <w:rPr>
                <w:b/>
                <w:bCs/>
                <w:color w:val="FFFFFF"/>
                <w:sz w:val="19"/>
                <w:szCs w:val="19"/>
              </w:rPr>
              <w:t xml:space="preserve">命名與識別邏輯</w:t>
            </w:r>
          </w:p>
        </w:tc>
      </w:tr>
      <w:tr>
        <w:tc>
          <w:tcPr>
            <w:tcW w:type="dxa" w:w="15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樂天世界塔
Lotte World Tower（首爾）</w:t>
            </w:r>
          </w:p>
        </w:tc>
        <w:tc>
          <w:tcPr>
            <w:tcW w:type="dxa" w:w="16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555公尺／123層
韓國第一高樓</w:t>
            </w:r>
          </w:p>
        </w:tc>
        <w:tc>
          <w:tcPr>
            <w:tcW w:type="dxa" w:w="2926"/>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商辦、住宅、樂天百貨、酒店、觀景台</w:t>
            </w:r>
          </w:p>
        </w:tc>
        <w:tc>
          <w:tcPr>
            <w:tcW w:type="dxa" w:w="30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觀景台獨立命名為「Seoul Sky」，並非沿用建築本名；設計靈感取自韓國傳統藝術造型曲線，主打全球最高玻璃地板紀錄與雙層高速電梯體驗</w:t>
            </w:r>
          </w:p>
        </w:tc>
      </w:tr>
      <w:tr>
        <w:tc>
          <w:tcPr>
            <w:tcW w:type="dxa" w:w="1500"/>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上海中心大廈
Shanghai Tower</w:t>
            </w:r>
          </w:p>
        </w:tc>
        <w:tc>
          <w:tcPr>
            <w:tcW w:type="dxa" w:w="1600"/>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632公尺／128層
中國第一高樓</w:t>
            </w:r>
          </w:p>
        </w:tc>
        <w:tc>
          <w:tcPr>
            <w:tcW w:type="dxa" w:w="2926"/>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商辦、觀光零售、酒店、觀景台</w:t>
            </w:r>
          </w:p>
        </w:tc>
        <w:tc>
          <w:tcPr>
            <w:tcW w:type="dxa" w:w="3000"/>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建築造型取自中國龍形螺旋意象，象徵國力上升；觀景台命名「Top of Shanghai」，主打世界最高觀景台紀錄、玻璃透視地板與AR古今對照導覽</w:t>
            </w:r>
          </w:p>
        </w:tc>
      </w:tr>
      <w:tr>
        <w:tc>
          <w:tcPr>
            <w:tcW w:type="dxa" w:w="15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Abeno Harukas
阿倍野海闊天空（大阪）</w:t>
            </w:r>
          </w:p>
        </w:tc>
        <w:tc>
          <w:tcPr>
            <w:tcW w:type="dxa" w:w="16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300公尺／60層
日本西部最高樓</w:t>
            </w:r>
          </w:p>
        </w:tc>
        <w:tc>
          <w:tcPr>
            <w:tcW w:type="dxa" w:w="2926"/>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近鐵百貨總店、美術館、萬豪酒店、觀景台</w:t>
            </w:r>
          </w:p>
        </w:tc>
        <w:tc>
          <w:tcPr>
            <w:tcW w:type="dxa" w:w="30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建築名稱「Harukas」取自古日文「晴るかす」（放晴、使明朗之意），為建築整體專屬命名；觀景台再疊加子名稱「Harukas 300」標示高度</w:t>
            </w:r>
          </w:p>
        </w:tc>
      </w:tr>
      <w:tr>
        <w:tc>
          <w:tcPr>
            <w:tcW w:type="dxa" w:w="1500"/>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平安金融中心
Ping An Finance Centre（深圳）</w:t>
            </w:r>
          </w:p>
        </w:tc>
        <w:tc>
          <w:tcPr>
            <w:tcW w:type="dxa" w:w="1600"/>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599.1公尺／115層
深圳最高樓</w:t>
            </w:r>
          </w:p>
        </w:tc>
        <w:tc>
          <w:tcPr>
            <w:tcW w:type="dxa" w:w="2926"/>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平安集團總部、商辦、觀景台</w:t>
            </w:r>
          </w:p>
        </w:tc>
        <w:tc>
          <w:tcPr>
            <w:tcW w:type="dxa" w:w="3000"/>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鑽石型收頭與漸縮量體呼應平安集團「穩健、現代」的企業識別；觀景台命名「Free Sky」，強調青年文化多媒體展示與極速電梯體驗</w:t>
            </w:r>
          </w:p>
        </w:tc>
      </w:tr>
      <w:tr>
        <w:tc>
          <w:tcPr>
            <w:tcW w:type="dxa" w:w="15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Landmark 81
（胡志明市）</w:t>
            </w:r>
          </w:p>
        </w:tc>
        <w:tc>
          <w:tcPr>
            <w:tcW w:type="dxa" w:w="16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461.2公尺／81層
越南第一高樓</w:t>
            </w:r>
          </w:p>
        </w:tc>
        <w:tc>
          <w:tcPr>
            <w:tcW w:type="dxa" w:w="2926"/>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Vinhomes住宅、Vincom商場、萬豪酒店、觀景台</w:t>
            </w:r>
          </w:p>
        </w:tc>
        <w:tc>
          <w:tcPr>
            <w:tcW w:type="dxa" w:w="30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建築造型取自越南文化中「竹束」意象，象徵團結與韌性；觀景台命名「SkyView」，頂層戶外露台再獨立命名「SkyTouch」，形成雙層子品牌結構</w:t>
            </w:r>
          </w:p>
        </w:tc>
      </w:tr>
    </w:tbl>
    <w:p>
      <w:pPr>
        <w:pStyle w:val="Heading1"/>
      </w:pPr>
      <w:r>
        <w:t xml:space="preserve">四、全球市場案例</w:t>
      </w:r>
    </w:p>
    <w:p>
      <w:pPr>
        <w:spacing w:after="160"/>
      </w:pPr>
      <w:r>
        <w:t xml:space="preserve">全球指標案例進一步展現「精品品牌聯名」與「觀景台獨立視覺識別（含專屬Logo）」兩種進階操作手法，是恩典大樓在精品酒店合作（晶英薈旅）與觀景台命名（450台灣之眼）之外，可參考的識別深化方向。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926"/>
        <w:gridCol w:w="3000"/>
      </w:tblGrid>
      <w:tr>
        <w:trPr>
          <w:tblHeader/>
        </w:trPr>
        <w:tc>
          <w:tcPr>
            <w:tcW w:type="dxa" w:w="1500"/>
            <w:tcBorders>
              <w:top w:val="single" w:color="D9D5C9" w:sz="2"/>
              <w:left w:val="single" w:color="D9D5C9" w:sz="2"/>
              <w:bottom w:val="single" w:color="D9D5C9" w:sz="2"/>
              <w:right w:val="single" w:color="D9D5C9" w:sz="2"/>
            </w:tcBorders>
            <w:shd w:fill="0E2A47" w:val="clear"/>
            <w:tcMar>
              <w:top w:type="dxa" w:w="100"/>
              <w:left w:type="dxa" w:w="120"/>
              <w:bottom w:type="dxa" w:w="100"/>
              <w:right w:type="dxa" w:w="120"/>
            </w:tcMar>
            <w:vAlign w:val="center"/>
          </w:tcPr>
          <w:p>
            <w:r>
              <w:rPr>
                <w:b/>
                <w:bCs/>
                <w:color w:val="FFFFFF"/>
                <w:sz w:val="19"/>
                <w:szCs w:val="19"/>
              </w:rPr>
              <w:t xml:space="preserve">案例</w:t>
            </w:r>
          </w:p>
        </w:tc>
        <w:tc>
          <w:tcPr>
            <w:tcW w:type="dxa" w:w="1600"/>
            <w:tcBorders>
              <w:top w:val="single" w:color="D9D5C9" w:sz="2"/>
              <w:left w:val="single" w:color="D9D5C9" w:sz="2"/>
              <w:bottom w:val="single" w:color="D9D5C9" w:sz="2"/>
              <w:right w:val="single" w:color="D9D5C9" w:sz="2"/>
            </w:tcBorders>
            <w:shd w:fill="0E2A47" w:val="clear"/>
            <w:tcMar>
              <w:top w:type="dxa" w:w="100"/>
              <w:left w:type="dxa" w:w="120"/>
              <w:bottom w:type="dxa" w:w="100"/>
              <w:right w:type="dxa" w:w="120"/>
            </w:tcMar>
            <w:vAlign w:val="center"/>
          </w:tcPr>
          <w:p>
            <w:r>
              <w:rPr>
                <w:b/>
                <w:bCs/>
                <w:color w:val="FFFFFF"/>
                <w:sz w:val="19"/>
                <w:szCs w:val="19"/>
              </w:rPr>
              <w:t xml:space="preserve">樓高／規模</w:t>
            </w:r>
          </w:p>
        </w:tc>
        <w:tc>
          <w:tcPr>
            <w:tcW w:type="dxa" w:w="2926"/>
            <w:tcBorders>
              <w:top w:val="single" w:color="D9D5C9" w:sz="2"/>
              <w:left w:val="single" w:color="D9D5C9" w:sz="2"/>
              <w:bottom w:val="single" w:color="D9D5C9" w:sz="2"/>
              <w:right w:val="single" w:color="D9D5C9" w:sz="2"/>
            </w:tcBorders>
            <w:shd w:fill="0E2A47" w:val="clear"/>
            <w:tcMar>
              <w:top w:type="dxa" w:w="100"/>
              <w:left w:type="dxa" w:w="120"/>
              <w:bottom w:type="dxa" w:w="100"/>
              <w:right w:type="dxa" w:w="120"/>
            </w:tcMar>
            <w:vAlign w:val="center"/>
          </w:tcPr>
          <w:p>
            <w:r>
              <w:rPr>
                <w:b/>
                <w:bCs/>
                <w:color w:val="FFFFFF"/>
                <w:sz w:val="19"/>
                <w:szCs w:val="19"/>
              </w:rPr>
              <w:t xml:space="preserve">複合機能</w:t>
            </w:r>
          </w:p>
        </w:tc>
        <w:tc>
          <w:tcPr>
            <w:tcW w:type="dxa" w:w="3000"/>
            <w:tcBorders>
              <w:top w:val="single" w:color="D9D5C9" w:sz="2"/>
              <w:left w:val="single" w:color="D9D5C9" w:sz="2"/>
              <w:bottom w:val="single" w:color="D9D5C9" w:sz="2"/>
              <w:right w:val="single" w:color="D9D5C9" w:sz="2"/>
            </w:tcBorders>
            <w:shd w:fill="0E2A47" w:val="clear"/>
            <w:tcMar>
              <w:top w:type="dxa" w:w="100"/>
              <w:left w:type="dxa" w:w="120"/>
              <w:bottom w:type="dxa" w:w="100"/>
              <w:right w:type="dxa" w:w="120"/>
            </w:tcMar>
            <w:vAlign w:val="center"/>
          </w:tcPr>
          <w:p>
            <w:r>
              <w:rPr>
                <w:b/>
                <w:bCs/>
                <w:color w:val="FFFFFF"/>
                <w:sz w:val="19"/>
                <w:szCs w:val="19"/>
              </w:rPr>
              <w:t xml:space="preserve">命名與識別邏輯</w:t>
            </w:r>
          </w:p>
        </w:tc>
      </w:tr>
      <w:tr>
        <w:tc>
          <w:tcPr>
            <w:tcW w:type="dxa" w:w="15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哈里發塔
Burj Khalifa（杜拜）</w:t>
            </w:r>
          </w:p>
        </w:tc>
        <w:tc>
          <w:tcPr>
            <w:tcW w:type="dxa" w:w="16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828公尺／163層
世界第一高樓</w:t>
            </w:r>
          </w:p>
        </w:tc>
        <w:tc>
          <w:tcPr>
            <w:tcW w:type="dxa" w:w="2926"/>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Armani酒店與官邸、商辦、住宅、觀景台</w:t>
            </w:r>
          </w:p>
        </w:tc>
        <w:tc>
          <w:tcPr>
            <w:tcW w:type="dxa" w:w="30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9-16樓Armani Residences與酒店以喬治．亞曼尼精品品牌授權經營，全樓層識別與Armani品牌深度綁定；觀景台分層命名「At the Top」與「At the Top SKY」，以樓層高度區隔體驗等級</w:t>
            </w:r>
          </w:p>
        </w:tc>
      </w:tr>
      <w:tr>
        <w:tc>
          <w:tcPr>
            <w:tcW w:type="dxa" w:w="1500"/>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The Shard
（倫敦）</w:t>
            </w:r>
          </w:p>
        </w:tc>
        <w:tc>
          <w:tcPr>
            <w:tcW w:type="dxa" w:w="1600"/>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309.6公尺／95層
英國最高樓</w:t>
            </w:r>
          </w:p>
        </w:tc>
        <w:tc>
          <w:tcPr>
            <w:tcW w:type="dxa" w:w="2926"/>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商辦、香格里拉酒店、住宅、觀景台</w:t>
            </w:r>
          </w:p>
        </w:tc>
        <w:tc>
          <w:tcPr>
            <w:tcW w:type="dxa" w:w="3000"/>
            <w:tcBorders>
              <w:top w:val="single" w:color="D9D5C9" w:sz="2"/>
              <w:left w:val="single" w:color="D9D5C9" w:sz="2"/>
              <w:bottom w:val="single" w:color="D9D5C9" w:sz="2"/>
              <w:right w:val="single" w:color="D9D5C9" w:sz="2"/>
            </w:tcBorders>
            <w:shd w:fill="F2F2F0" w:val="clear"/>
            <w:tcMar>
              <w:top w:type="dxa" w:w="100"/>
              <w:left w:type="dxa" w:w="120"/>
              <w:bottom w:type="dxa" w:w="100"/>
              <w:right w:type="dxa" w:w="120"/>
            </w:tcMar>
            <w:vAlign w:val="center"/>
          </w:tcPr>
          <w:p>
            <w:r>
              <w:rPr>
                <w:b w:val="false"/>
                <w:bCs w:val="false"/>
                <w:sz w:val="19"/>
                <w:szCs w:val="19"/>
              </w:rPr>
              <w:t xml:space="preserve">品牌定位為「垂直城市」（Vertical City），強調辦公、酒店、住宅、觀景台垂直整合的單一願景敘事；觀景台獨立命名「The View from The Shard」，酒店則採香格里拉既有品牌</w:t>
            </w:r>
          </w:p>
        </w:tc>
      </w:tr>
      <w:tr>
        <w:tc>
          <w:tcPr>
            <w:tcW w:type="dxa" w:w="15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世界貿易中心一號大樓
One World Trade Center（紐約）</w:t>
            </w:r>
          </w:p>
        </w:tc>
        <w:tc>
          <w:tcPr>
            <w:tcW w:type="dxa" w:w="16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541公尺／104層
美國最高樓</w:t>
            </w:r>
          </w:p>
        </w:tc>
        <w:tc>
          <w:tcPr>
            <w:tcW w:type="dxa" w:w="2926"/>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商辦、觀景台</w:t>
            </w:r>
          </w:p>
        </w:tc>
        <w:tc>
          <w:tcPr>
            <w:tcW w:type="dxa" w:w="3000"/>
            <w:tcBorders>
              <w:top w:val="single" w:color="D9D5C9" w:sz="2"/>
              <w:left w:val="single" w:color="D9D5C9" w:sz="2"/>
              <w:bottom w:val="single" w:color="D9D5C9" w:sz="2"/>
              <w:right w:val="single" w:color="D9D5C9" w:sz="2"/>
            </w:tcBorders>
            <w:shd w:fill="FFFFFF" w:val="clear"/>
            <w:tcMar>
              <w:top w:type="dxa" w:w="100"/>
              <w:left w:type="dxa" w:w="120"/>
              <w:bottom w:type="dxa" w:w="100"/>
              <w:right w:type="dxa" w:w="120"/>
            </w:tcMar>
            <w:vAlign w:val="center"/>
          </w:tcPr>
          <w:p>
            <w:r>
              <w:rPr>
                <w:b w:val="false"/>
                <w:bCs w:val="false"/>
                <w:sz w:val="19"/>
                <w:szCs w:val="19"/>
              </w:rPr>
              <w:t xml:space="preserve">觀景台獨立發展完整品牌識別「One World Observatory」，由專業設計團隊操刀：標誌造型取自建築平面輪廓，中心圓形意象呼應觀景視野，色彩取自玻璃帷幕反射光線，是少數為觀景台獨立設計完整Logo系統的案例</w:t>
            </w:r>
          </w:p>
        </w:tc>
      </w:tr>
    </w:tbl>
    <w:p>
      <w:pPr>
        <w:pStyle w:val="Heading1"/>
      </w:pPr>
      <w:r>
        <w:t xml:space="preserve">五、跨案例識別模式比較</w:t>
      </w:r>
    </w:p>
    <w:p>
      <w:pPr>
        <w:spacing w:after="160"/>
      </w:pPr>
      <w:r>
        <w:t xml:space="preserve">綜合13個案例，可歸納出複合式超高總部大樓在品牌識別上的四種慣用手法：</w:t>
      </w:r>
    </w:p>
    <w:p>
      <w:pPr>
        <w:pStyle w:val="ListParagraph"/>
        <w:numPr>
          <w:ilvl w:val="0"/>
          <w:numId w:val="2"/>
        </w:numPr>
        <w:spacing w:after="80"/>
      </w:pPr>
      <w:r>
        <w:t xml:space="preserve">建築本名與機能子品牌並存：多數案例（南山廣場／微風南山、上海中心／Top of Shanghai、平安金融中心／Free Sky、Landmark 81／SkyView）皆採「建築總名＋機能子品牌」雙層結構，而非單一識別打天下。</w:t>
      </w:r>
    </w:p>
    <w:p>
      <w:pPr>
        <w:pStyle w:val="ListParagraph"/>
        <w:numPr>
          <w:ilvl w:val="0"/>
          <w:numId w:val="2"/>
        </w:numPr>
        <w:spacing w:after="80"/>
      </w:pPr>
      <w:r>
        <w:t xml:space="preserve">觀景台幾乎必定獨立命名：13案例中僅台北101的「89F觀景台」直接以樓層描述命名，其餘案例均為觀景台另創專屬品牌名稱（Seoul Sky、Top of Shanghai、Harukas 300、Free Sky、SkyView／SkyTouch、At the Top、The View、One World Observatory），且命名多結合「高度、天空、視野」意象。</w:t>
      </w:r>
    </w:p>
    <w:p>
      <w:pPr>
        <w:pStyle w:val="ListParagraph"/>
        <w:numPr>
          <w:ilvl w:val="0"/>
          <w:numId w:val="2"/>
        </w:numPr>
        <w:spacing w:after="80"/>
      </w:pPr>
      <w:r>
        <w:t xml:space="preserve">精品／國際酒店聯名是差異化關鍵：Burj Khalifa（Armani）、The Shard（香格里拉）、台北天空塔（柏悅＋安達仕）、Abeno Harukas（萬豪）、Landmark 81（萬豪）均引入國際精品酒店品牌背書，藉此快速建立高端市場認知；恩典大樓的Silks X晶英薈旅策略與此一致，屬於已驗證有效的操作模式。</w:t>
      </w:r>
    </w:p>
    <w:p>
      <w:pPr>
        <w:pStyle w:val="ListParagraph"/>
        <w:numPr>
          <w:ilvl w:val="0"/>
          <w:numId w:val="2"/>
        </w:numPr>
        <w:spacing w:after="80"/>
      </w:pPr>
      <w:r>
        <w:t xml:space="preserve">建築造型與企業識別掛鉤：Shanghai Tower（龍形螺旋）、Ping An Finance Centre（鑽石收頭呼應企業穩健形象）、Landmark 81（竹束意象）、Lotte World Tower（韓國傳統曲線）均將建築量體造型與企業或文化敘事直接綁定，而非純粹的工程造型；僅有極少數案例（如One World Observatory）投入獨立VI設計資源為觀景台開發專屬Logo與視覺系統。</w:t>
      </w:r>
    </w:p>
    <w:p>
      <w:r>
        <w:br w:type="page"/>
      </w:r>
    </w:p>
    <w:p>
      <w:pPr>
        <w:pStyle w:val="Heading1"/>
      </w:pPr>
      <w:r>
        <w:t xml:space="preserve">六、核心洞察（Insights）</w:t>
      </w:r>
    </w:p>
    <w:p>
      <w:pPr>
        <w:spacing w:after="160"/>
      </w:pPr>
      <w:r>
        <w:rPr>
          <w:b/>
          <w:bCs/>
        </w:rPr>
        <w:t xml:space="preserve">洞察一：「觀景台獨立命名」是產業標準做法，而非加分項。</w:t>
      </w:r>
    </w:p>
    <w:p>
      <w:pPr>
        <w:spacing w:after="160"/>
      </w:pPr>
      <w:r>
        <w:t xml:space="preserve">恩典大樓現有「450台灣之眼」命名符合此一產業慣例，方向正確；但目前尚缺乏如One World Observatory等級的獨立視覺識別（專屬Logo、色彩、圖案系統），僅停留在命名層次，識別深度落後於國際指標案例。</w:t>
      </w:r>
    </w:p>
    <w:p>
      <w:pPr>
        <w:spacing w:after="160"/>
      </w:pPr>
      <w:r>
        <w:rPr>
          <w:b/>
          <w:bCs/>
        </w:rPr>
        <w:t xml:space="preserve">洞察二：精品酒店聯名需要「聯名識別規則」，而非僅止於引進品牌。</w:t>
      </w:r>
    </w:p>
    <w:p>
      <w:pPr>
        <w:spacing w:after="160"/>
      </w:pPr>
      <w:r>
        <w:t xml:space="preserve">Burj Khalifa與Armani、The Shard與香格里拉均訂有清楚的識別分工（何時用建築名、何時用酒店品牌、雙品牌並列規則）。恩典大樓已確定與Silks X晶英薈旅合作，但先前版本的品牌規範尚未定義「恩典大樓」與「晶英薈旅」的雙品牌並置規則，屬於明顯缺口。</w:t>
      </w:r>
    </w:p>
    <w:p>
      <w:pPr>
        <w:spacing w:after="160"/>
      </w:pPr>
      <w:r>
        <w:rPr>
          <w:b/>
          <w:bCs/>
        </w:rPr>
        <w:t xml:space="preserve">洞察三：建築造型／識別敘事需要一個「可被說出來的意象」。</w:t>
      </w:r>
    </w:p>
    <w:p>
      <w:pPr>
        <w:spacing w:after="160"/>
      </w:pPr>
      <w:r>
        <w:t xml:space="preserve">上海中心的「龍形螺旋」、平安金融中心的「鑽石穩健」、Landmark 81的「竹束韌性」，都是一句話就能對外溝通的造型敘事，並非事後貼上的裝飾性圖案。先前版本中「塔＋光環」的標誌概念方向可行，但仍需要透過Define階段的洞察與定位聲明，確認這個意象是否精準對應恩典大樓真正想傳遞的價值，而非設計端單方面賦予。</w:t>
      </w:r>
    </w:p>
    <w:p>
      <w:pPr>
        <w:spacing w:after="160"/>
      </w:pPr>
      <w:r>
        <w:rPr>
          <w:b/>
          <w:bCs/>
        </w:rPr>
        <w:t xml:space="preserve">洞察四：台灣本土案例的識別操作偏保守，恩典大樓有機會做出差異化。</w:t>
      </w:r>
    </w:p>
    <w:p>
      <w:pPr>
        <w:spacing w:after="160"/>
      </w:pPr>
      <w:r>
        <w:t xml:space="preserve">相較於亞洲與全球案例普遍為觀景台、酒店、商場發展多層次子品牌識別，台灣案例（台北101、南山廣場、國泰置地廣場）多半止步於建築本名或簡單裙樓品牌轉手經營，較少見到系統化、跨機能的完整VI規範。這代表恩典大樓若能補齊「Define階段」的定位工作、建立完整分層識別系統，有機會成為台灣同類案例中識別完成度最高的指標案例。</w:t>
      </w:r>
    </w:p>
    <w:p>
      <w:pPr>
        <w:spacing w:after="160"/>
      </w:pPr>
      <w:r>
        <w:rPr>
          <w:b/>
          <w:bCs/>
        </w:rPr>
        <w:t xml:space="preserve">洞察五：命名需要「排他性」以避免品牌歸屬混淆。</w:t>
      </w:r>
    </w:p>
    <w:p>
      <w:pPr>
        <w:spacing w:after="160"/>
      </w:pPr>
      <w:r>
        <w:t xml:space="preserve">國泰置地廣場、南山廣場等案例都出現「集團名／建築名／商業子品牌名」三者並用、對外溝通時容易混淆的情況。這印證了先前品牌規範中「避免簡稱東森大樓，以免與集團其他企業建物混淆」的用詞原則方向正確，應在Define階段進一步強化為明確的命名優先順序規則。</w:t>
      </w:r>
    </w:p>
    <w:p>
      <w:pPr>
        <w:pStyle w:val="Heading1"/>
      </w:pPr>
      <w:r>
        <w:t xml:space="preserve">七、對恩典大樓的初步意涵與後續建議</w:t>
      </w:r>
    </w:p>
    <w:p>
      <w:pPr>
        <w:spacing w:after="160"/>
      </w:pPr>
      <w:r>
        <w:t xml:space="preserve">依據以上洞察，建議品牌識別規範重製時，在正式進入視覺識別（Develop／Deliver）之前，先於 Define 階段補齊以下三項尚未完成的定義工作：</w:t>
      </w:r>
    </w:p>
    <w:p>
      <w:pPr>
        <w:pStyle w:val="ListParagraph"/>
        <w:numPr>
          <w:ilvl w:val="0"/>
          <w:numId w:val="3"/>
        </w:numPr>
        <w:spacing w:after="80"/>
      </w:pPr>
      <w:r>
        <w:t xml:space="preserve">competitor 定位對照：明確寫出恩典大樓相對於台北101（觀光地標型）、南山廣場（壽險總部型）、台北天空塔（精品酒店型）的差異化定位語句，避免品牌定位語焉不詳。</w:t>
      </w:r>
    </w:p>
    <w:p>
      <w:pPr>
        <w:pStyle w:val="ListParagraph"/>
        <w:numPr>
          <w:ilvl w:val="0"/>
          <w:numId w:val="3"/>
        </w:numPr>
        <w:spacing w:after="80"/>
      </w:pPr>
      <w:r>
        <w:t xml:space="preserve">雙品牌並置規則：制定「恩典大樓」與「Silks X晶英薈旅」「450台灣之眼」等子品牌之間的識別层級與並列規則（何者為主、何時並列、色彩與字級如何分工）。</w:t>
      </w:r>
    </w:p>
    <w:p>
      <w:pPr>
        <w:pStyle w:val="ListParagraph"/>
        <w:numPr>
          <w:ilvl w:val="0"/>
          <w:numId w:val="3"/>
        </w:numPr>
        <w:spacing w:after="80"/>
      </w:pPr>
      <w:r>
        <w:t xml:space="preserve">核心定位聲明與HMW機會點：依雙鑽模型格式，產出一句完整的品牌核心價值定位聲明，並將其轉化為具體的「我們如何才能…?」設計提問，作為後續標誌、色彩、語調等視覺識別決策的依據，避免識別系統無所本地被創造出來。</w:t>
      </w:r>
    </w:p>
    <w:p>
      <w:pPr>
        <w:spacing w:after="160"/>
      </w:pPr>
      <w:r>
        <w:t xml:space="preserve">以上三項為 Define 階段的核心產出，待確認後即可據以重新設計符合恩典大樓實際競爭定位的品牌識別系統。</w:t>
      </w:r>
    </w:p>
    <w:p>
      <w:r>
        <w:br w:type="page"/>
      </w:r>
    </w:p>
    <w:p>
      <w:pPr>
        <w:pStyle w:val="Heading1"/>
      </w:pPr>
      <w:r>
        <w:t xml:space="preserve">八、資料來源</w:t>
      </w:r>
    </w:p>
    <w:p>
      <w:pPr>
        <w:spacing w:after="160"/>
      </w:pPr>
      <w:r>
        <w:t xml:space="preserve">以下為本報告引用之公開資料來源（依章節出現順序列出）：</w:t>
      </w:r>
    </w:p>
    <w:p>
      <w:pPr>
        <w:pStyle w:val="ListParagraph"/>
        <w:numPr>
          <w:ilvl w:val="0"/>
          <w:numId w:val="4"/>
        </w:numPr>
        <w:spacing w:after="80"/>
      </w:pPr>
      <w:r>
        <w:t xml:space="preserve">維基百科：台北101、臺北南山廣場、國泰置地廣場、Shanghai Tower、Ping An Finance Centre、Landmark 81、Burj Khalifa、The Shard 相關條目</w:t>
      </w:r>
    </w:p>
    <w:p>
      <w:pPr>
        <w:pStyle w:val="ListParagraph"/>
        <w:numPr>
          <w:ilvl w:val="0"/>
          <w:numId w:val="4"/>
        </w:numPr>
        <w:spacing w:after="80"/>
      </w:pPr>
      <w:r>
        <w:t xml:space="preserve">台北101官方網站（taipei-101.com.tw）89樓觀景台介紹</w:t>
      </w:r>
    </w:p>
    <w:p>
      <w:pPr>
        <w:pStyle w:val="ListParagraph"/>
        <w:numPr>
          <w:ilvl w:val="0"/>
          <w:numId w:val="4"/>
        </w:numPr>
        <w:spacing w:after="80"/>
      </w:pPr>
      <w:r>
        <w:t xml:space="preserve">臺北南山廣場官方網站（nsp.taipeinanshanplaza.com.tw）設計與開發理念</w:t>
      </w:r>
    </w:p>
    <w:p>
      <w:pPr>
        <w:pStyle w:val="ListParagraph"/>
        <w:numPr>
          <w:ilvl w:val="0"/>
          <w:numId w:val="4"/>
        </w:numPr>
        <w:spacing w:after="80"/>
      </w:pPr>
      <w:r>
        <w:t xml:space="preserve">Businessweekly商業周刊：台北高樓新地標報導（台北天空塔、四季酒店等）</w:t>
      </w:r>
    </w:p>
    <w:p>
      <w:pPr>
        <w:pStyle w:val="ListParagraph"/>
        <w:numPr>
          <w:ilvl w:val="0"/>
          <w:numId w:val="4"/>
        </w:numPr>
        <w:spacing w:after="80"/>
      </w:pPr>
      <w:r>
        <w:t xml:space="preserve">Lotte World官方網站 Seoul Sky（seoulsky.lotteworld.com）</w:t>
      </w:r>
    </w:p>
    <w:p>
      <w:pPr>
        <w:pStyle w:val="ListParagraph"/>
        <w:numPr>
          <w:ilvl w:val="0"/>
          <w:numId w:val="4"/>
        </w:numPr>
        <w:spacing w:after="80"/>
      </w:pPr>
      <w:r>
        <w:t xml:space="preserve">Abeno Harukas官方網站（abenoharukas-300.jp）</w:t>
      </w:r>
    </w:p>
    <w:p>
      <w:pPr>
        <w:pStyle w:val="ListParagraph"/>
        <w:numPr>
          <w:ilvl w:val="0"/>
          <w:numId w:val="4"/>
        </w:numPr>
        <w:spacing w:after="80"/>
      </w:pPr>
      <w:r>
        <w:t xml:space="preserve">The Shard官方網站（the-shard.com）About / Vision</w:t>
      </w:r>
    </w:p>
    <w:p>
      <w:pPr>
        <w:pStyle w:val="ListParagraph"/>
        <w:numPr>
          <w:ilvl w:val="0"/>
          <w:numId w:val="4"/>
        </w:numPr>
        <w:spacing w:after="80"/>
      </w:pPr>
      <w:r>
        <w:t xml:space="preserve">One World Observatory品牌識別案例：Tim Saputo設計作品集（timsaputo.com）、1000logos.net</w:t>
      </w:r>
    </w:p>
    <w:p>
      <w:pPr>
        <w:pStyle w:val="ListParagraph"/>
        <w:numPr>
          <w:ilvl w:val="0"/>
          <w:numId w:val="4"/>
        </w:numPr>
        <w:spacing w:after="80"/>
      </w:pPr>
      <w:r>
        <w:t xml:space="preserve">thebettervacation.com、illustrarch.com：Burj Khalifa樓層與品牌介紹</w:t>
      </w:r>
    </w:p>
    <w:p>
      <w:pPr>
        <w:pStyle w:val="ListParagraph"/>
        <w:numPr>
          <w:ilvl w:val="0"/>
          <w:numId w:val="4"/>
        </w:numPr>
        <w:spacing w:after="80"/>
      </w:pPr>
      <w:r>
        <w:t xml:space="preserve">chinadiscovery.com、intotravelchina.com：上海中心觀景台介紹</w:t>
      </w:r>
    </w:p>
    <w:p>
      <w:pPr>
        <w:pStyle w:val="ListParagraph"/>
        <w:numPr>
          <w:ilvl w:val="0"/>
          <w:numId w:val="4"/>
        </w:numPr>
        <w:spacing w:after="80"/>
      </w:pPr>
      <w:r>
        <w:t xml:space="preserve">thetowerinfo.com：Ping An Finance Centre觀景台介紹</w:t>
      </w:r>
    </w:p>
    <w:p>
      <w:pPr>
        <w:pStyle w:val="ListParagraph"/>
        <w:numPr>
          <w:ilvl w:val="0"/>
          <w:numId w:val="4"/>
        </w:numPr>
        <w:spacing w:after="80"/>
      </w:pPr>
      <w:r>
        <w:t xml:space="preserve">landmark-vn.com、skyscraper.org：Landmark 81建築與觀景台介紹</w:t>
      </w:r>
    </w:p>
    <w:p>
      <w:pPr>
        <w:spacing w:after="160"/>
      </w:pPr>
      <w:r>
        <w:rPr>
          <w:i/>
          <w:iCs/>
          <w:color w:val="8C8A85"/>
          <w:sz w:val="18"/>
          <w:szCs w:val="18"/>
        </w:rPr>
        <w:t xml:space="preserve">備註：本報告資料蒐集時間為2026年7月，部分尚未開幕之案例（如台北天空塔）資訊以規劃階段公開報導為準，未來如有正式資料應以官方最新公告為準。</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A85"/>
        <w:sz w:val="16"/>
        <w:szCs w:val="16"/>
      </w:rPr>
      <w:t xml:space="preserve">第 </w:t>
    </w:r>
    <w:r>
      <w:rPr>
        <w:color w:val="8C8A85"/>
        <w:sz w:val="16"/>
        <w:szCs w:val="16"/>
      </w:rPr>
      <w:fldChar w:fldCharType="begin"/>
      <w:instrText xml:space="preserve">PAGE</w:instrText>
      <w:fldChar w:fldCharType="separate"/>
      <w:fldChar w:fldCharType="end"/>
    </w:r>
    <w:r>
      <w:rPr>
        <w:color w:val="8C8A85"/>
        <w:sz w:val="16"/>
        <w:szCs w:val="16"/>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A85"/>
        <w:sz w:val="16"/>
        <w:szCs w:val="16"/>
      </w:rPr>
      <w:t xml:space="preserve">恩典大樓 GRACE TOWER｜品牌市場調研報告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abstractNum w:abstractNumId="4"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TC" w:cs="Noto Sans CJK TC" w:eastAsia="Noto Sans CJK TC" w:hAnsi="Noto Sans CJK T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4B" w:sz="8" w:space="4"/>
      </w:pBdr>
      <w:spacing w:after="200" w:before="360"/>
      <w:outlineLvl w:val="0"/>
    </w:pPr>
    <w:rPr>
      <w:rFonts w:ascii="Noto Sans CJK TC" w:cs="Noto Sans CJK TC" w:eastAsia="Noto Sans CJK TC" w:hAnsi="Noto Sans CJK TC"/>
      <w:b/>
      <w:bCs/>
      <w:color w:val="0E2A47"/>
      <w:sz w:val="32"/>
      <w:szCs w:val="32"/>
    </w:rPr>
  </w:style>
  <w:style w:type="paragraph" w:styleId="Heading2">
    <w:name w:val="Heading 2"/>
    <w:basedOn w:val="Normal"/>
    <w:next w:val="Normal"/>
    <w:qFormat/>
    <w:pPr>
      <w:spacing w:after="140" w:before="260"/>
      <w:outlineLvl w:val="1"/>
    </w:pPr>
    <w:rPr>
      <w:rFonts w:ascii="Noto Sans CJK TC" w:cs="Noto Sans CJK TC" w:eastAsia="Noto Sans CJK TC" w:hAnsi="Noto Sans CJK TC"/>
      <w:b/>
      <w:bCs/>
      <w:color w:val="0E2A4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2026-07-07T02:41:23.489Z</dcterms:created>
  <dcterms:modified xsi:type="dcterms:W3CDTF">2026-07-07T02:41:23.489Z</dcterms:modified>
</cp:coreProperties>
</file>

<file path=docProps/custom.xml><?xml version="1.0" encoding="utf-8"?>
<Properties xmlns="http://schemas.openxmlformats.org/officeDocument/2006/custom-properties" xmlns:vt="http://schemas.openxmlformats.org/officeDocument/2006/docPropsVTypes"/>
</file>