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6.pdf" ContentType="application/pdf"/>
  <Override PartName="/word/media/rId40.jpg" ContentType="image/jpeg"/>
  <Override PartName="/word/media/rId43.jpg" ContentType="image/jpeg"/>
  <Override PartName="/word/media/rId46.jpg" ContentType="image/jpeg"/>
  <Override PartName="/word/media/rId39.jpg" ContentType="image/jpeg"/>
  <Override PartName="/word/media/rId42.jpg" ContentType="image/jpeg"/>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(also called 3D printing) technology which have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ingh2021">
        <w:r>
          <w:rPr>
            <w:rStyle w:val="Hyperlink"/>
            <w:vertAlign w:val="superscript"/>
          </w:rPr>
          <w:t xml:space="preserve">2</w:t>
        </w:r>
      </w:hyperlink>
      <w:r>
        <w:t xml:space="preserve"> </w:t>
      </w:r>
      <w:r>
        <w:t xml:space="preserve">The layer-by-layer principle of manufacturing objects enables a higher flexibility degree in the product design phase.</w:t>
      </w:r>
      <w:r>
        <w:t xml:space="preserve"> </w:t>
      </w:r>
      <w:r>
        <w:t xml:space="preserve">The FFF process is based on material extrusion, so the material is heated above its melting point and then deposited onto a platform.</w:t>
      </w:r>
      <w:hyperlink w:anchor="ref-Wolszczak2018">
        <w:r>
          <w:rPr>
            <w:rStyle w:val="Hyperlink"/>
            <w:vertAlign w:val="superscript"/>
          </w:rPr>
          <w:t xml:space="preserve">3</w:t>
        </w:r>
      </w:hyperlink>
      <w:r>
        <w:t xml:space="preserve"> </w:t>
      </w:r>
      <w:r>
        <w:t xml:space="preserve">The set of several available printing technologies is pushing forward advantages such as the customization of objects with complex geometries with a great deal of detail, combination of different materials,</w:t>
      </w:r>
      <w:hyperlink w:anchor="ref-Askari2020">
        <w:r>
          <w:rPr>
            <w:rStyle w:val="Hyperlink"/>
            <w:vertAlign w:val="superscript"/>
          </w:rPr>
          <w:t xml:space="preserve">4</w:t>
        </w:r>
      </w:hyperlink>
      <w:r>
        <w:t xml:space="preserve"> reduction of the need for assembly and high utilization rate of raw materials.</w:t>
      </w:r>
      <w:hyperlink w:anchor="ref-Perez2020">
        <w:r>
          <w:rPr>
            <w:rStyle w:val="Hyperlink"/>
            <w:vertAlign w:val="superscript"/>
          </w:rPr>
          <w:t xml:space="preserve">5</w:t>
        </w:r>
      </w:hyperlink>
      <w:r>
        <w:rPr>
          <w:vertAlign w:val="superscript"/>
        </w:rPr>
        <w:t xml:space="preserve">,</w:t>
      </w:r>
      <w:hyperlink w:anchor="ref-Wang2020f">
        <w:r>
          <w:rPr>
            <w:rStyle w:val="Hyperlink"/>
            <w:vertAlign w:val="superscript"/>
          </w:rPr>
          <w:t xml:space="preserve">6</w:t>
        </w:r>
      </w:hyperlink>
      <w:r>
        <w:t xml:space="preserve"> </w:t>
      </w:r>
      <w:r>
        <w:t xml:space="preserve">Thus, this field is receiving great attention by the industrial companies and the general public.</w:t>
      </w:r>
    </w:p>
    <w:p>
      <w:pPr>
        <w:pStyle w:val="BodyText"/>
      </w:pPr>
      <w:r>
        <w:t xml:space="preserve">Nowadays, there is a need to find paths to reduce the ecological impact of manufacturing processes and activities.</w:t>
      </w:r>
      <w:hyperlink w:anchor="ref-Niaki2019">
        <w:r>
          <w:rPr>
            <w:rStyle w:val="Hyperlink"/>
            <w:vertAlign w:val="superscript"/>
          </w:rPr>
          <w:t xml:space="preserve">7</w:t>
        </w:r>
      </w:hyperlink>
      <w:r>
        <w:rPr>
          <w:vertAlign w:val="superscript"/>
        </w:rPr>
        <w:t xml:space="preserve">,</w:t>
      </w:r>
      <w:hyperlink w:anchor="ref-Peng2018">
        <w:r>
          <w:rPr>
            <w:rStyle w:val="Hyperlink"/>
            <w:vertAlign w:val="superscript"/>
          </w:rPr>
          <w:t xml:space="preserve">8</w:t>
        </w:r>
      </w:hyperlink>
      <w:r>
        <w:t xml:space="preserve"> </w:t>
      </w:r>
      <w:r>
        <w:t xml:space="preserve">Researchers are making efforts to identify opportunities of 3D printing on the circular economy paradigm.</w:t>
      </w:r>
      <w:hyperlink w:anchor="ref-Despeisse2016">
        <w:r>
          <w:rPr>
            <w:rStyle w:val="Hyperlink"/>
            <w:vertAlign w:val="superscript"/>
          </w:rPr>
          <w:t xml:space="preserve">9</w:t>
        </w:r>
      </w:hyperlink>
      <w:r>
        <w:t xml:space="preserve"> </w:t>
      </w:r>
      <w:r>
        <w:t xml:space="preserve">Moreover, due to the fact that plastic is one of the most used materials in the 3D printing industry,</w:t>
      </w:r>
      <w:hyperlink w:anchor="ref-GonzalezHenriquez2019">
        <w:r>
          <w:rPr>
            <w:rStyle w:val="Hyperlink"/>
            <w:vertAlign w:val="superscript"/>
          </w:rPr>
          <w:t xml:space="preserve">10</w:t>
        </w:r>
      </w:hyperlink>
      <w:r>
        <w:t xml:space="preserve"> and given their non-biodegradable nature, plastic is one the most abundant type of waste produced and their impact is well document in the different ecosystems.</w:t>
      </w:r>
      <w:hyperlink w:anchor="ref-Ryberg2019">
        <w:r>
          <w:rPr>
            <w:rStyle w:val="Hyperlink"/>
            <w:vertAlign w:val="superscript"/>
          </w:rPr>
          <w:t xml:space="preserve">11</w:t>
        </w:r>
      </w:hyperlink>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hyperlink w:anchor="ref-Elverum2016a">
        <w:r>
          <w:rPr>
            <w:rStyle w:val="Hyperlink"/>
            <w:vertAlign w:val="superscript"/>
          </w:rPr>
          <w:t xml:space="preserve">12</w:t>
        </w:r>
      </w:hyperlink>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hyperlink w:anchor="ref-Menold2017">
        <w:r>
          <w:rPr>
            <w:rStyle w:val="Hyperlink"/>
            <w:vertAlign w:val="superscript"/>
          </w:rPr>
          <w:t xml:space="preserve">13</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14</w:t>
        </w:r>
      </w:hyperlink>
      <w:r>
        <w:t xml:space="preserve"> </w:t>
      </w:r>
      <w:r>
        <w:t xml:space="preserve">Thus, a prototype is accomplished in terms of certain aims: (1) Model to Link, (2) Model to Test, (3) Model to Communicate, (4) Model to Decide, and (5) Model to Interact.</w:t>
      </w:r>
      <w:hyperlink w:anchor="ref-Menold2017">
        <w:r>
          <w:rPr>
            <w:rStyle w:val="Hyperlink"/>
            <w:vertAlign w:val="superscript"/>
          </w:rPr>
          <w:t xml:space="preserve">13</w:t>
        </w:r>
      </w:hyperlink>
      <w:r>
        <w:t xml:space="preserve"> </w:t>
      </w:r>
      <w:r>
        <w:t xml:space="preserve">Moreover, digital tools allows designers to create highly flexible prototypes that enable short learning cycles at an affordable cost.</w:t>
      </w:r>
      <w:r>
        <w:t xml:space="preserve"> </w:t>
      </w:r>
      <w:r>
        <w:t xml:space="preserve">Indeed, the use of 3D printing technology enables the materialization aspect.</w:t>
      </w:r>
      <w:r>
        <w:t xml:space="preserve"> </w:t>
      </w:r>
      <w:r>
        <w:t xml:space="preserve">Regardless of whether the printed part is functional or not, it is found to be valuable in design decisions.</w:t>
      </w:r>
      <w:hyperlink w:anchor="ref-Elverum2016">
        <w:r>
          <w:rPr>
            <w:rStyle w:val="Hyperlink"/>
            <w:vertAlign w:val="superscript"/>
          </w:rPr>
          <w:t xml:space="preserve">15</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8</w:t>
        </w:r>
      </w:hyperlink>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hyperlink w:anchor="ref-Campbell2012">
        <w:r>
          <w:rPr>
            <w:rStyle w:val="Hyperlink"/>
            <w:vertAlign w:val="superscript"/>
          </w:rPr>
          <w:t xml:space="preserve">16</w:t>
        </w:r>
      </w:hyperlink>
      <w:r>
        <w:rPr>
          <w:vertAlign w:val="superscript"/>
        </w:rPr>
        <w:t xml:space="preserve">,</w:t>
      </w:r>
      <w:hyperlink w:anchor="ref-Bourell2009">
        <w:r>
          <w:rPr>
            <w:rStyle w:val="Hyperlink"/>
            <w:vertAlign w:val="superscript"/>
          </w:rPr>
          <w:t xml:space="preserve">17</w:t>
        </w:r>
      </w:hyperlink>
      <w:r>
        <w:t xml:space="preserve"> </w:t>
      </w:r>
      <w:r>
        <w:t xml:space="preserve">and in the last years it has been widely adopted by industry, academia and users to create final objects.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hyperlink w:anchor="ref-CruzSanchez2020">
        <w:r>
          <w:rPr>
            <w:rStyle w:val="Hyperlink"/>
            <w:vertAlign w:val="superscript"/>
          </w:rPr>
          <w:t xml:space="preserve">18</w:t>
        </w:r>
      </w:hyperlink>
      <w:r>
        <w:t xml:space="preserve"> </w:t>
      </w:r>
      <w:r>
        <w:t xml:space="preserve">It is important to note that in most cases, prototypes do not require excellent mechanical resistance but the minimum to be handled to allow inspection and measurement.</w:t>
      </w:r>
      <w:r>
        <w:t xml:space="preserve"> </w:t>
      </w:r>
      <w:r>
        <w:t xml:space="preserve">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5"/>
    <w:bookmarkStart w:id="33" w:name="section:background"/>
    <w:p>
      <w:pPr>
        <w:pStyle w:val="Heading1"/>
      </w:pPr>
      <w:r>
        <w:rPr>
          <w:rStyle w:val="SectionNumber"/>
        </w:rPr>
        <w:t xml:space="preserve">2</w:t>
      </w:r>
      <w:r>
        <w:tab/>
      </w:r>
      <w:r>
        <w:t xml:space="preserve">Existing Theories &amp; Previous Work</w:t>
      </w:r>
    </w:p>
    <w:bookmarkStart w:id="27"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The mechanical properties are critical for engineering parts, particularly, for printed partdd because of the anisotropic behaviour, which can influence up to about 47% the ultimate tensile strength (UTS) in function of the manufacturing parameters.</w:t>
      </w:r>
      <w:hyperlink w:anchor="ref-Laureto2018">
        <w:r>
          <w:rPr>
            <w:rStyle w:val="Hyperlink"/>
            <w:vertAlign w:val="superscript"/>
          </w:rPr>
          <w:t xml:space="preserve">19</w:t>
        </w:r>
      </w:hyperlink>
      <w:r>
        <w:t xml:space="preserve"> </w:t>
      </w:r>
      <w:r>
        <w:t xml:space="preserve">Using a systematic literature review, Popescu et al</w:t>
      </w:r>
      <w:hyperlink w:anchor="ref-Popescu2018">
        <w:r>
          <w:rPr>
            <w:rStyle w:val="Hyperlink"/>
            <w:vertAlign w:val="superscript"/>
          </w:rPr>
          <w:t xml:space="preserve">20</w:t>
        </w:r>
      </w:hyperlink>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hyperlink w:anchor="ref-Rebaioli2017">
        <w:r>
          <w:rPr>
            <w:rStyle w:val="Hyperlink"/>
            <w:vertAlign w:val="superscript"/>
          </w:rPr>
          <w:t xml:space="preserve">21</w:t>
        </w:r>
      </w:hyperlink>
      <w:r>
        <w:t xml:space="preserve"> </w:t>
      </w:r>
      <w:r>
        <w:t xml:space="preserve">Likewise, considering the open source nature of the FFF technology, standardized experimental protocols are relevant to enable benchmarking and serve as a guide for machine selection.</w:t>
      </w:r>
      <w:hyperlink w:anchor="ref-CruzSanchez2014">
        <w:r>
          <w:rPr>
            <w:rStyle w:val="Hyperlink"/>
            <w:vertAlign w:val="superscript"/>
          </w:rPr>
          <w:t xml:space="preserve">22</w:t>
        </w:r>
      </w:hyperlink>
      <w:r>
        <w:rPr>
          <w:vertAlign w:val="superscript"/>
        </w:rPr>
        <w:t xml:space="preserve">,</w:t>
      </w:r>
      <w:hyperlink w:anchor="ref-Roberson2013">
        <w:r>
          <w:rPr>
            <w:rStyle w:val="Hyperlink"/>
            <w:vertAlign w:val="superscript"/>
          </w:rPr>
          <w:t xml:space="preserve">23</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24</w:t>
        </w:r>
      </w:hyperlink>
    </w:p>
    <w:p>
      <w:pPr>
        <w:pStyle w:val="BodyText"/>
      </w:pPr>
      <w:r>
        <w:t xml:space="preserve">In general terms, it is found that for low values of layer height, the UTS of the material is improved.</w:t>
      </w:r>
      <w:hyperlink w:anchor="ref-Tymrak2014a">
        <w:r>
          <w:rPr>
            <w:rStyle w:val="Hyperlink"/>
            <w:vertAlign w:val="superscript"/>
          </w:rPr>
          <w:t xml:space="preserve">25</w:t>
        </w:r>
      </w:hyperlink>
      <w:r>
        <w:rPr>
          <w:vertAlign w:val="superscript"/>
        </w:rPr>
        <w:t xml:space="preserve">,</w:t>
      </w:r>
      <w:hyperlink w:anchor="ref-Altan2018">
        <w:r>
          <w:rPr>
            <w:rStyle w:val="Hyperlink"/>
            <w:vertAlign w:val="superscript"/>
          </w:rPr>
          <w:t xml:space="preserve">26</w:t>
        </w:r>
      </w:hyperlink>
      <w:r>
        <w:t xml:space="preserve"> </w:t>
      </w:r>
      <w:r>
        <w:t xml:space="preserve">Similarly,</w:t>
      </w:r>
      <w:hyperlink w:anchor="ref-Yao2019">
        <w:r>
          <w:rPr>
            <w:rStyle w:val="Hyperlink"/>
            <w:vertAlign w:val="superscript"/>
          </w:rPr>
          <w:t xml:space="preserve">27</w:t>
        </w:r>
      </w:hyperlink>
      <w:r>
        <w:t xml:space="preserve"> </w:t>
      </w:r>
      <w:r>
        <w:t xml:space="preserve">pointed out the importance of the printing orientation in the UTS in which the alignment of the tensile load with the longitudinal axis of the printed fiber will maximize the UTS.</w:t>
      </w:r>
      <w:r>
        <w:t xml:space="preserve"> </w:t>
      </w:r>
      <w:r>
        <w:t xml:space="preserve"> </w:t>
      </w:r>
      <w:r>
        <w:t xml:space="preserve">According to Alafaghani et</w:t>
      </w:r>
      <w:r>
        <w:t xml:space="preserve"> </w:t>
      </w:r>
      <w:hyperlink r:id="rId26">
        <w:r>
          <w:rPr>
            <w:rStyle w:val="Hyperlink"/>
          </w:rPr>
          <w:t xml:space="preserve">al@Alafaghani2018</w:t>
        </w:r>
      </w:hyperlink>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p>
    <w:bookmarkEnd w:id="27"/>
    <w:bookmarkStart w:id="32"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hyperlink w:anchor="ref-Ashby2013">
        <w:r>
          <w:rPr>
            <w:rStyle w:val="Hyperlink"/>
            <w:vertAlign w:val="superscript"/>
          </w:rPr>
          <w:t xml:space="preserve">28</w:t>
        </w:r>
      </w:hyperlink>
      <w:r>
        <w:rPr>
          <w:vertAlign w:val="superscript"/>
        </w:rPr>
        <w:t xml:space="preserve">,</w:t>
      </w:r>
      <w:hyperlink w:anchor="ref-Suarez2020">
        <w:r>
          <w:rPr>
            <w:rStyle w:val="Hyperlink"/>
            <w:vertAlign w:val="superscript"/>
          </w:rPr>
          <w:t xml:space="preserve">29</w:t>
        </w:r>
      </w:hyperlink>
      <w:hyperlink w:anchor="ref-Liu2019a">
        <w:r>
          <w:rPr>
            <w:rStyle w:val="Hyperlink"/>
            <w:vertAlign w:val="superscript"/>
          </w:rPr>
          <w:t xml:space="preserve">30</w:t>
        </w:r>
      </w:hyperlink>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suggested the use of biopolymers of natural and renewable origin, replacing synthetic polymers, as the cellulose, hemicellulose, lignin, starch, alginate, chitosan and derivatives, represents the most abundant bio-based and renewable raw materials for different 3D printing technologies.</w:t>
      </w:r>
      <w:r>
        <w:t xml:space="preserve"> </w:t>
      </w:r>
      <w:r>
        <w:t xml:space="preserve"> </w:t>
      </w: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hyperlink w:anchor="ref-Kumar2018b">
        <w:r>
          <w:rPr>
            <w:rStyle w:val="Hyperlink"/>
            <w:vertAlign w:val="superscript"/>
          </w:rPr>
          <w:t xml:space="preserve">31</w:t>
        </w:r>
      </w:hyperlink>
      <w:r>
        <w:rPr>
          <w:vertAlign w:val="superscript"/>
        </w:rPr>
        <w:t xml:space="preserve">,</w:t>
      </w:r>
      <w:hyperlink w:anchor="ref-Zhao2018a">
        <w:r>
          <w:rPr>
            <w:rStyle w:val="Hyperlink"/>
            <w:vertAlign w:val="superscript"/>
          </w:rPr>
          <w:t xml:space="preserve">32</w:t>
        </w:r>
      </w:hyperlink>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hyperlink w:anchor="ref-CruzSanchez2020">
        <w:r>
          <w:rPr>
            <w:rStyle w:val="Hyperlink"/>
            <w:vertAlign w:val="superscript"/>
          </w:rPr>
          <w:t xml:space="preserve">18</w:t>
        </w:r>
      </w:hyperlink>
      <w:r>
        <w:rPr>
          <w:vertAlign w:val="superscript"/>
        </w:rPr>
        <w:t xml:space="preserve">,</w:t>
      </w:r>
      <w:hyperlink w:anchor="ref-Little2020">
        <w:r>
          <w:rPr>
            <w:rStyle w:val="Hyperlink"/>
            <w:vertAlign w:val="superscript"/>
          </w:rPr>
          <w:t xml:space="preserve">33</w:t>
        </w:r>
      </w:hyperlink>
      <w:r>
        <w:t xml:space="preserve"> </w:t>
      </w:r>
      <w:r>
        <w:t xml:space="preserve"> </w:t>
      </w:r>
      <w:r>
        <w:t xml:space="preserve">The use of recycled material as raw material or blended with virgin material is a method of special interest to contribute to manufacture in a sustainable way.</w:t>
      </w:r>
      <w:hyperlink w:anchor="ref-Zhao2018">
        <w:r>
          <w:rPr>
            <w:rStyle w:val="Hyperlink"/>
            <w:vertAlign w:val="superscript"/>
          </w:rPr>
          <w:t xml:space="preserve">34</w:t>
        </w:r>
      </w:hyperlink>
      <w:r>
        <w:t xml:space="preserve"> </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hyperlink w:anchor="ref-Petrovic2011">
        <w:r>
          <w:rPr>
            <w:rStyle w:val="Hyperlink"/>
            <w:vertAlign w:val="superscript"/>
          </w:rPr>
          <w:t xml:space="preserve">35</w:t>
        </w:r>
      </w:hyperlink>
      <w:r>
        <w:t xml:space="preserve"> </w:t>
      </w:r>
      <w:r>
        <w:t xml:space="preserve">Currently, most of the cost of 3D printing is associated with the cost of the filament.</w:t>
      </w:r>
      <w:hyperlink w:anchor="ref-Wittbrodt2013">
        <w:r>
          <w:rPr>
            <w:rStyle w:val="Hyperlink"/>
            <w:vertAlign w:val="superscript"/>
          </w:rPr>
          <w:t xml:space="preserve">36</w:t>
        </w:r>
      </w:hyperlink>
      <w:r>
        <w:t xml:space="preserve"> </w:t>
      </w:r>
      <w:r>
        <w:t xml:space="preserve">By recycling raw materials such as PLA, the emissions of carbon dioxide can be reduced in the transport to landfills or shipping to customers offering environmental benefits.</w:t>
      </w:r>
      <w:hyperlink w:anchor="ref-Santander2020">
        <w:r>
          <w:rPr>
            <w:rStyle w:val="Hyperlink"/>
            <w:vertAlign w:val="superscript"/>
          </w:rPr>
          <w:t xml:space="preserve">37</w:t>
        </w:r>
      </w:hyperlink>
    </w:p>
    <w:p>
      <w:pPr>
        <w:pStyle w:val="BodyText"/>
      </w:pPr>
      <w:r>
        <w:t xml:space="preserve">It is important to evaluate the properties of the recycled materials before substituting virgin for recycled materials.</w:t>
      </w:r>
      <w:r>
        <w:t xml:space="preserve"> </w:t>
      </w:r>
      <w:r>
        <w:t xml:space="preserve">As Suarez et</w:t>
      </w:r>
      <w:r>
        <w:t xml:space="preserve"> </w:t>
      </w:r>
      <w:hyperlink r:id="rId28">
        <w:r>
          <w:rPr>
            <w:rStyle w:val="Hyperlink"/>
          </w:rPr>
          <w:t xml:space="preserve">al@Suarez2020</w:t>
        </w:r>
      </w:hyperlink>
      <w:r>
        <w:t xml:space="preserve"> </w:t>
      </w:r>
      <w:r>
        <w:t xml:space="preserve">pointed out, the use of recycled materials is still uncertain because of the potential changes in the material properties when recycling.</w:t>
      </w:r>
      <w:r>
        <w:t xml:space="preserve"> </w:t>
      </w:r>
      <w:r>
        <w:t xml:space="preserve"> </w:t>
      </w:r>
      <w:r>
        <w:t xml:space="preserve">Several authors have worked on the PLA recycling for a certain number of cycles.</w:t>
      </w:r>
      <w:hyperlink w:anchor="ref-Zhao2018">
        <w:r>
          <w:rPr>
            <w:rStyle w:val="Hyperlink"/>
            <w:vertAlign w:val="superscript"/>
          </w:rPr>
          <w:t xml:space="preserve">34</w:t>
        </w:r>
      </w:hyperlink>
      <w:r>
        <w:rPr>
          <w:vertAlign w:val="superscript"/>
        </w:rPr>
        <w:t xml:space="preserve">,</w:t>
      </w:r>
      <w:hyperlink w:anchor="ref-CruzSanchez2017">
        <w:r>
          <w:rPr>
            <w:rStyle w:val="Hyperlink"/>
            <w:vertAlign w:val="superscript"/>
          </w:rPr>
          <w:t xml:space="preserve">38</w:t>
        </w:r>
      </w:hyperlink>
      <w:r>
        <w:rPr>
          <w:vertAlign w:val="superscript"/>
        </w:rPr>
        <w:t xml:space="preserve">,</w:t>
      </w:r>
      <w:hyperlink w:anchor="ref-Lanzotti2019">
        <w:r>
          <w:rPr>
            <w:rStyle w:val="Hyperlink"/>
            <w:vertAlign w:val="superscript"/>
          </w:rPr>
          <w:t xml:space="preserve">39</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 </w:t>
      </w:r>
      <w:r>
        <w:t xml:space="preserve">Similarly, Kumar et</w:t>
      </w:r>
      <w:r>
        <w:t xml:space="preserve"> </w:t>
      </w:r>
      <w:hyperlink r:id="rId29">
        <w:r>
          <w:rPr>
            <w:rStyle w:val="Hyperlink"/>
          </w:rPr>
          <w:t xml:space="preserve">al@Kumar2018b</w:t>
        </w:r>
      </w:hyperlink>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 Gu et</w:t>
      </w:r>
      <w:r>
        <w:t xml:space="preserve"> </w:t>
      </w:r>
      <w:hyperlink r:id="rId30">
        <w:r>
          <w:rPr>
            <w:rStyle w:val="Hyperlink"/>
          </w:rPr>
          <w:t xml:space="preserve">al@Gu2016</w:t>
        </w:r>
      </w:hyperlink>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r>
        <w:t xml:space="preserve"> </w:t>
      </w:r>
      <w:r>
        <w:t xml:space="preserve">The recycling of PLA has certain limitations because of reducing the molecular weight with its reuse, resulting in degradation and decrease of mechanical properties.</w:t>
      </w:r>
      <w:hyperlink w:anchor="ref-Pinho2020">
        <w:r>
          <w:rPr>
            <w:rStyle w:val="Hyperlink"/>
            <w:vertAlign w:val="superscript"/>
          </w:rPr>
          <w:t xml:space="preserve">40</w:t>
        </w:r>
      </w:hyperlink>
      <w:r>
        <w:t xml:space="preserve"> </w:t>
      </w:r>
      <w:r>
        <w:t xml:space="preserve"> </w:t>
      </w:r>
      <w:r>
        <w:t xml:space="preserve">Viscosity is reduced with each printing cycle, but it could be corrected by adding virgin plastic.</w:t>
      </w:r>
      <w:hyperlink w:anchor="ref-Zhao2018a">
        <w:r>
          <w:rPr>
            <w:rStyle w:val="Hyperlink"/>
            <w:vertAlign w:val="superscript"/>
          </w:rPr>
          <w:t xml:space="preserve">32</w:t>
        </w:r>
      </w:hyperlink>
      <w:r>
        <w:rPr>
          <w:vertAlign w:val="superscript"/>
        </w:rPr>
        <w:t xml:space="preserve">,</w:t>
      </w:r>
      <w:hyperlink w:anchor="ref-Zhao2018">
        <w:r>
          <w:rPr>
            <w:rStyle w:val="Hyperlink"/>
            <w:vertAlign w:val="superscript"/>
          </w:rPr>
          <w:t xml:space="preserve">34</w:t>
        </w:r>
      </w:hyperlink>
      <w:r>
        <w:t xml:space="preserve"> </w:t>
      </w:r>
      <w:r>
        <w:t xml:space="preserve">Babagowda et</w:t>
      </w:r>
      <w:r>
        <w:t xml:space="preserve"> </w:t>
      </w:r>
      <w:hyperlink r:id="rId31">
        <w:r>
          <w:rPr>
            <w:rStyle w:val="Hyperlink"/>
          </w:rPr>
          <w:t xml:space="preserve">al@Babagowda2018</w:t>
        </w:r>
      </w:hyperlink>
      <w:r>
        <w:t xml:space="preserve"> </w:t>
      </w:r>
      <w:r>
        <w:t xml:space="preserve">studied the influence of the percentage of recycled PLA used in the filament (i.e., 10 to 50 %) showing that the smaller the percentage the higher the ultimate tensile strength.</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Hyperlink"/>
            <w:vertAlign w:val="superscript"/>
          </w:rPr>
          <w:t xml:space="preserve">34</w:t>
        </w:r>
      </w:hyperlink>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32"/>
    <w:bookmarkEnd w:id="33"/>
    <w:bookmarkStart w:id="38" w:name="section:experimental"/>
    <w:p>
      <w:pPr>
        <w:pStyle w:val="Heading1"/>
      </w:pPr>
      <w:r>
        <w:rPr>
          <w:rStyle w:val="SectionNumber"/>
        </w:rPr>
        <w:t xml:space="preserve">3</w:t>
      </w:r>
      <w:r>
        <w:tab/>
      </w:r>
      <w:r>
        <w:t xml:space="preserve">Experimental procedure</w:t>
      </w:r>
    </w:p>
    <w:bookmarkStart w:id="35"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TableCaption"/>
      </w:pPr>
      <w:r>
        <w:t xml:space="preserve">Table 3.1:</w:t>
      </w:r>
      <w:r>
        <w:t xml:space="preserve"> </w:t>
      </w:r>
      <w:bookmarkStart w:id="8b0abc32-0cfd-4bbe-ae3b-ff5342b08a65" w:name="tab:tabla1"/>
      <w:r>
        <w:t xml:space="preserve">Characterization and processing conditions of the used PLA and recycled PLA</w:t>
      </w:r>
      <w:bookmarkEnd w:id="8b0abc32-0cfd-4bbe-ae3b-ff5342b08a6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Figure</w:t>
      </w:r>
      <w:r>
        <w:t xml:space="preserve"> </w:t>
      </w:r>
      <w:r>
        <w:t xml:space="preserve">3.1</w:t>
      </w:r>
      <w:r>
        <w:t xml:space="preserve">a.</w:t>
      </w:r>
      <w:r>
        <w:t xml:space="preserve"> </w:t>
      </w:r>
      <w:r>
        <w:t xml:space="preserve">The software used to generate the printing code was the Ultimaker Cura 3.2.1.</w:t>
      </w:r>
      <w:r>
        <w:t xml:space="preserve"> </w:t>
      </w:r>
      <w:r>
        <w:t xml:space="preserve">A MTS Criterion 43 universal testing machine (MTS, 2020) (Figure</w:t>
      </w:r>
      <w:r>
        <w:t xml:space="preserve"> </w:t>
      </w:r>
      <w:r>
        <w:t xml:space="preserve">3.1</w:t>
      </w:r>
      <w:r>
        <w:t xml:space="preserve">b) was used for the tensile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samples were manufactured according to the dimensions proposed by</w:t>
      </w:r>
      <w:hyperlink w:anchor="ref-Lin2018">
        <w:r>
          <w:rPr>
            <w:rStyle w:val="Hyperlink"/>
            <w:vertAlign w:val="superscript"/>
          </w:rPr>
          <w:t xml:space="preserve">41</w:t>
        </w:r>
      </w:hyperlink>
      <w:r>
        <w:t xml:space="preserve"> </w:t>
      </w:r>
      <w:r>
        <w:t xml:space="preserve">in which the length of the specimen was 75 mm. The dimensions (mm) of the specimen are the ones depicted in Figure</w:t>
      </w:r>
      <w:r>
        <w:t xml:space="preserve"> </w:t>
      </w:r>
      <w:r>
        <w:t xml:space="preserve">3.1</w:t>
      </w:r>
      <w:r>
        <w:t xml:space="preserve">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34"/>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5"/>
    <w:bookmarkStart w:id="37"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w:t>
      </w:r>
      <w:hyperlink w:anchor="ref-Montgomery2001">
        <w:r>
          <w:rPr>
            <w:rStyle w:val="Hyperlink"/>
            <w:vertAlign w:val="superscript"/>
          </w:rPr>
          <w:t xml:space="preserve">42</w:t>
        </w:r>
      </w:hyperlink>
      <w:r>
        <w:t xml:space="preserve"> being used as screening designs.</w:t>
      </w:r>
      <w:r>
        <w:t xml:space="preserve"> </w:t>
      </w:r>
      <w:r>
        <w:t xml:space="preserve">Hence, the experimental plan included three different phases (Figure</w:t>
      </w:r>
      <w:r>
        <w:t xml:space="preserve"> </w:t>
      </w:r>
      <w:r>
        <w:t xml:space="preserve">3.2</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w:t>
      </w:r>
      <w:r>
        <w:t xml:space="preserve"> </w:t>
      </w:r>
      <w:r>
        <w:t xml:space="preserve">The response variable chosen was the maximum load attained during the testing of the specimen.</w:t>
      </w:r>
      <w:hyperlink w:anchor="ref-Kumar2018b">
        <w:r>
          <w:rPr>
            <w:rStyle w:val="Hyperlink"/>
            <w:vertAlign w:val="superscript"/>
          </w:rPr>
          <w:t xml:space="preserve">31</w:t>
        </w:r>
      </w:hyperlink>
      <w:r>
        <w:rPr>
          <w:vertAlign w:val="superscript"/>
        </w:rPr>
        <w:t xml:space="preserve">,</w:t>
      </w:r>
      <w:hyperlink w:anchor="ref-Chacon2017">
        <w:r>
          <w:rPr>
            <w:rStyle w:val="Hyperlink"/>
            <w:vertAlign w:val="superscript"/>
          </w:rPr>
          <w:t xml:space="preserve">43</w:t>
        </w:r>
      </w:hyperlink>
      <w:r>
        <w:rPr>
          <w:vertAlign w:val="superscript"/>
        </w:rPr>
        <w:t xml:space="preserve">,</w:t>
      </w:r>
      <w:hyperlink w:anchor="ref-Letcher2015">
        <w:r>
          <w:rPr>
            <w:rStyle w:val="Hyperlink"/>
            <w:vertAlign w:val="superscript"/>
          </w:rPr>
          <w:t xml:space="preserve">44</w:t>
        </w:r>
      </w:hyperlink>
      <w:r>
        <w:t xml:space="preserve"> </w:t>
      </w:r>
      <w:r>
        <w:t xml:space="preserve">The design included only a specimen printed in the horizontal orientation for each of the combinations, not evaluating the influence of the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42</w:t>
        </w:r>
      </w:hyperlink>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optimization of the consumption of material), but also productivity (i.e., minimizing the printing times), (3) infill density -ID- and (4) printing speed -PS- were considered.</w:t>
      </w:r>
      <w:hyperlink w:anchor="ref-Singh2019">
        <w:r>
          <w:rPr>
            <w:rStyle w:val="Hyperlink"/>
            <w:vertAlign w:val="superscript"/>
          </w:rPr>
          <w:t xml:space="preserve">45</w:t>
        </w:r>
      </w:hyperlink>
      <w:r>
        <w:rPr>
          <w:vertAlign w:val="superscript"/>
        </w:rPr>
        <w:t xml:space="preserve">,</w:t>
      </w:r>
      <w:hyperlink w:anchor="ref-Tanveer2019">
        <w:r>
          <w:rPr>
            <w:rStyle w:val="Hyperlink"/>
            <w:vertAlign w:val="superscript"/>
          </w:rPr>
          <w:t xml:space="preserve">46</w:t>
        </w:r>
      </w:hyperlink>
      <w:r>
        <w:t xml:space="preserve"> </w:t>
      </w:r>
      <w:r>
        <w:t xml:space="preserve">These four factors were selected using two levels for each of them with large ranges.</w:t>
      </w:r>
      <w:r>
        <w:t xml:space="preserve"> </w:t>
      </w:r>
      <w:r>
        <w:t xml:space="preserve">In consequence, the levels selected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w:t>
      </w:r>
      <w:r>
        <w:t xml:space="preserve"> </w:t>
      </w:r>
      <w:r>
        <w:t xml:space="preserve">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Similarly,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hyperlink w:anchor="ref-UNE">
        <w:r>
          <w:rPr>
            <w:rStyle w:val="Hyperlink"/>
            <w:vertAlign w:val="superscript"/>
          </w:rPr>
          <w:t xml:space="preserve">47</w:t>
        </w:r>
      </w:hyperlink>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6"/>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7"/>
    <w:bookmarkEnd w:id="38"/>
    <w:bookmarkStart w:id="48" w:name="section:findings"/>
    <w:p>
      <w:pPr>
        <w:pStyle w:val="Heading1"/>
      </w:pPr>
      <w:r>
        <w:rPr>
          <w:rStyle w:val="SectionNumber"/>
        </w:rPr>
        <w:t xml:space="preserve">4</w:t>
      </w:r>
      <w:r>
        <w:tab/>
      </w:r>
      <w:r>
        <w:t xml:space="preserve">Findings</w:t>
      </w:r>
    </w:p>
    <w:bookmarkStart w:id="41"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683a87e8-71d9-4b06-9d98-272299fe6497" w:name="tab:phase1"/>
      <w:r>
        <w:t xml:space="preserve">Results of the Phase I</w:t>
      </w:r>
      <w:bookmarkEnd w:id="683a87e8-71d9-4b06-9d98-272299fe649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LH (mm)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IP</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b</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c</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PS (mm/s)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d</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2.206448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2.163030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2.239897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3.597994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3.620359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3.811253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3.793354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2.160100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2.163340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2.151576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3.379278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3.370447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2.050518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3.525304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3.487604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Layer height (LH)</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pattern (IP)</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density (ID)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speed (PS)</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hyperlink w:anchor="ref-Yao2019">
        <w:r>
          <w:rPr>
            <w:rStyle w:val="Hyperlink"/>
            <w:vertAlign w:val="superscript"/>
          </w:rPr>
          <w:t xml:space="preserve">27</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the specimen is printed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9"/>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4.2:</w:t>
      </w:r>
      <w:r>
        <w:t xml:space="preserve"> </w:t>
      </w:r>
      <w:bookmarkStart w:id="e86b58ad-9ab7-4d8f-8e4b-e440367775ca" w:name="tab:anova-phase1"/>
      <w:r>
        <w:t xml:space="preserve">ANOVA results at 95\% significance level.</w:t>
      </w:r>
      <w:bookmarkEnd w:id="e86b58ad-9ab7-4d8f-8e4b-e440367775c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0"/>
                <w:szCs w:val="20"/>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hyperlink w:anchor="ref-Perez2018">
        <w:r>
          <w:rPr>
            <w:rStyle w:val="Hyperlink"/>
            <w:vertAlign w:val="superscript"/>
          </w:rPr>
          <w:t xml:space="preserve">48</w:t>
        </w:r>
      </w:hyperlink>
      <w:r>
        <w:br/>
      </w:r>
      <w:r>
        <w:t xml:space="preserve">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and the Table</w:t>
      </w:r>
      <w:r>
        <w:t xml:space="preserve"> </w:t>
      </w:r>
      <w:r>
        <w:t xml:space="preserve">4.2</w:t>
      </w:r>
      <w:r>
        <w:t xml:space="preserve"> </w:t>
      </w:r>
      <w:r>
        <w:t xml:space="preserve">lists the ANOVA analysis.</w:t>
      </w:r>
      <w:r>
        <w:t xml:space="preserve"> </w:t>
      </w:r>
      <w:r>
        <w:t xml:space="preserve">Based on these two results, it can be clearly identified how the infill density was a statistically significant factor for the maximum load with the lowest p-value, lower than 0.001, among the studied factors.</w:t>
      </w:r>
      <w:r>
        <w:t xml:space="preserve"> </w:t>
      </w:r>
      <w:r>
        <w:t xml:space="preserve">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41"/>
    <w:bookmarkStart w:id="44"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to evaluate the influence of infill density on mechanical resistance given its importance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42"/>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38</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49</w:t>
        </w:r>
      </w:hyperlink>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r>
        <w:t xml:space="preserve">Thus, by accurately knowing the influence of the printing conditions on the mechanical resistance, it is possible to advance towards sustainable manufacturing.</w:t>
      </w:r>
    </w:p>
    <w:bookmarkEnd w:id="44"/>
    <w:bookmarkStart w:id="47"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50</w:t>
        </w:r>
      </w:hyperlink>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5"/>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al.@Corapi2019 and Wang et al.@Wang2020h.</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7"/>
    <w:bookmarkEnd w:id="48"/>
    <w:bookmarkStart w:id="49"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51</w:t>
        </w:r>
      </w:hyperlink>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w:t>
      </w:r>
      <w:r>
        <w:t xml:space="preserve"> </w:t>
      </w:r>
      <w:r>
        <w:t xml:space="preserve">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52</w:t>
        </w:r>
      </w:hyperlink>
      <w:r>
        <w:t xml:space="preserve"> </w:t>
      </w:r>
      <w:r>
        <w:t xml:space="preserve">Also, there is a great development of applications using distributed recycling approaches. For instance, Nur-A-Tomal et al.@Nur-A-Tomal2020 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18</w:t>
        </w:r>
      </w:hyperlink>
      <w:r>
        <w:rPr>
          <w:vertAlign w:val="superscript"/>
        </w:rPr>
        <w:t xml:space="preserve">,</w:t>
      </w:r>
      <w:hyperlink w:anchor="ref-Sauerwein2019">
        <w:r>
          <w:rPr>
            <w:rStyle w:val="Hyperlink"/>
            <w:vertAlign w:val="superscript"/>
          </w:rPr>
          <w:t xml:space="preserve">53</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w:t>
      </w:r>
      <w:r>
        <w:t xml:space="preserve"> </w:t>
      </w:r>
      <w:r>
        <w:t xml:space="preserve">Clearly, other key variables such as the aesthetic design, surface finishing,</w:t>
      </w:r>
      <w:hyperlink w:anchor="ref-Jin2017">
        <w:r>
          <w:rPr>
            <w:rStyle w:val="Hyperlink"/>
            <w:vertAlign w:val="superscript"/>
          </w:rPr>
          <w:t xml:space="preserve">54</w:t>
        </w:r>
      </w:hyperlink>
      <w:r>
        <w:t xml:space="preserve"> dimensional accuracy are also key variables to include for the printed objects in addition to the mechanical resistance in the prototypes where the main goal is the user acceptability.</w:t>
      </w:r>
      <w:hyperlink w:anchor="ref-Sauer2009">
        <w:r>
          <w:rPr>
            <w:rStyle w:val="Hyperlink"/>
            <w:vertAlign w:val="superscript"/>
          </w:rPr>
          <w:t xml:space="preserve">55</w:t>
        </w:r>
      </w:hyperlink>
      <w:r>
        <w:rPr>
          <w:vertAlign w:val="superscript"/>
        </w:rPr>
        <w:t xml:space="preserve">,</w:t>
      </w:r>
      <w:hyperlink w:anchor="ref-Sauer2010">
        <w:r>
          <w:rPr>
            <w:rStyle w:val="Hyperlink"/>
            <w:vertAlign w:val="superscript"/>
          </w:rPr>
          <w:t xml:space="preserve">56</w:t>
        </w:r>
      </w:hyperlink>
      <w:r>
        <w:t xml:space="preserve"> </w:t>
      </w:r>
      <w:r>
        <w:t xml:space="preserve">Nevertheless, this is an ongoing research in which the main purpose is the statistical validation of the minimal conditions to promote the use of recycled materials in prototyping phases.</w:t>
      </w:r>
    </w:p>
    <w:bookmarkEnd w:id="49"/>
    <w:bookmarkStart w:id="50"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from 40 to 80%, linear behavior with a slight slope, and from 80 to 100 % where the maximum load increases notably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50"/>
    <w:bookmarkStart w:id="51"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51"/>
    <w:bookmarkStart w:id="52"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52"/>
    <w:bookmarkStart w:id="115" w:name="references"/>
    <w:p>
      <w:pPr>
        <w:pStyle w:val="Heading1"/>
      </w:pPr>
      <w:r>
        <w:t xml:space="preserve">References</w:t>
      </w:r>
    </w:p>
    <w:bookmarkStart w:id="114" w:name="refs"/>
    <w:bookmarkStart w:id="53"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53"/>
    <w:bookmarkStart w:id="55" w:name="ref-Singh2021"/>
    <w:p>
      <w:pPr>
        <w:pStyle w:val="Bibliography"/>
      </w:pPr>
      <w:r>
        <w:t xml:space="preserve">2.</w:t>
      </w:r>
      <w:r>
        <w:t xml:space="preserve"> </w:t>
      </w:r>
      <w:r>
        <w:t xml:space="preserve">	</w:t>
      </w:r>
      <w:r>
        <w:t xml:space="preserve">Singh S, Agrawal V.</w:t>
      </w:r>
      <w:r>
        <w:t xml:space="preserve"> </w:t>
      </w:r>
      <w:r>
        <w:t xml:space="preserve">Critical success factors for new horizons in the supply chain of 3-D printed products – A review</w:t>
      </w:r>
      <w:r>
        <w:t xml:space="preserve">.</w:t>
      </w:r>
      <w:r>
        <w:t xml:space="preserve"> </w:t>
      </w:r>
      <w:r>
        <w:rPr>
          <w:i/>
        </w:rPr>
        <w:t xml:space="preserve">Mater Today Proc</w:t>
      </w:r>
      <w:r>
        <w:t xml:space="preserve">. Epub ahead of print 2021. DOI:</w:t>
      </w:r>
      <w:r>
        <w:t xml:space="preserve"> </w:t>
      </w:r>
      <w:hyperlink r:id="rId54">
        <w:r>
          <w:rPr>
            <w:rStyle w:val="Hyperlink"/>
          </w:rPr>
          <w:t xml:space="preserve">10.1016/j.matpr.2020.11.819</w:t>
        </w:r>
      </w:hyperlink>
      <w:r>
        <w:t xml:space="preserve">.</w:t>
      </w:r>
    </w:p>
    <w:bookmarkEnd w:id="55"/>
    <w:bookmarkStart w:id="56" w:name="ref-Wolszczak2018"/>
    <w:p>
      <w:pPr>
        <w:pStyle w:val="Bibliography"/>
      </w:pPr>
      <w:r>
        <w:t xml:space="preserve">3.</w:t>
      </w:r>
      <w:r>
        <w:t xml:space="preserve"> </w:t>
      </w:r>
      <w:r>
        <w:t xml:space="preserve">	</w:t>
      </w:r>
      <w:r>
        <w:t xml:space="preserve">Wolszczak P, Lygas K, Paszko M, et al.</w:t>
      </w:r>
      <w:r>
        <w:t xml:space="preserve"> </w:t>
      </w:r>
      <w:r>
        <w:t xml:space="preserve">Heat distribution in material during fused deposition modelling</w:t>
      </w:r>
      <w:r>
        <w:t xml:space="preserve">.</w:t>
      </w:r>
      <w:r>
        <w:t xml:space="preserve"> </w:t>
      </w:r>
      <w:r>
        <w:rPr>
          <w:i/>
        </w:rPr>
        <w:t xml:space="preserve">Rapid Prototyp J</w:t>
      </w:r>
      <w:r>
        <w:t xml:space="preserve"> </w:t>
      </w:r>
      <w:r>
        <w:t xml:space="preserve">2018; 24: 615–622.</w:t>
      </w:r>
    </w:p>
    <w:bookmarkEnd w:id="56"/>
    <w:bookmarkStart w:id="57" w:name="ref-Askari2020"/>
    <w:p>
      <w:pPr>
        <w:pStyle w:val="Bibliography"/>
      </w:pPr>
      <w:r>
        <w:t xml:space="preserve">4.</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
        </w:rPr>
        <w:t xml:space="preserve">Addit Manuf</w:t>
      </w:r>
      <w:r>
        <w:t xml:space="preserve"> </w:t>
      </w:r>
      <w:r>
        <w:t xml:space="preserve">2020; 36: 101562.</w:t>
      </w:r>
    </w:p>
    <w:bookmarkEnd w:id="57"/>
    <w:bookmarkStart w:id="58" w:name="ref-Perez2020"/>
    <w:p>
      <w:pPr>
        <w:pStyle w:val="Bibliography"/>
      </w:pPr>
      <w:r>
        <w:t xml:space="preserve">5.</w:t>
      </w:r>
      <w:r>
        <w:t xml:space="preserve"> </w:t>
      </w:r>
      <w:r>
        <w:t xml:space="preserve">	</w:t>
      </w:r>
      <w:r>
        <w:t xml:space="preserve">Pérez M, Carou D, Rubio EM, et al.</w:t>
      </w:r>
      <w:r>
        <w:t xml:space="preserve"> </w:t>
      </w:r>
      <w:r>
        <w:t xml:space="preserve">Current advances in additive manufacturing</w:t>
      </w:r>
      <w:r>
        <w:t xml:space="preserve">.</w:t>
      </w:r>
      <w:r>
        <w:t xml:space="preserve"> </w:t>
      </w:r>
      <w:r>
        <w:rPr>
          <w:i/>
        </w:rPr>
        <w:t xml:space="preserve">Procedia CIRP</w:t>
      </w:r>
      <w:r>
        <w:t xml:space="preserve"> </w:t>
      </w:r>
      <w:r>
        <w:t xml:space="preserve">2020; 88: 439–444.</w:t>
      </w:r>
    </w:p>
    <w:bookmarkEnd w:id="58"/>
    <w:bookmarkStart w:id="59" w:name="ref-Wang2020f"/>
    <w:p>
      <w:pPr>
        <w:pStyle w:val="Bibliography"/>
      </w:pPr>
      <w:r>
        <w:t xml:space="preserve">6.</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2020; 161: 120251.</w:t>
      </w:r>
    </w:p>
    <w:bookmarkEnd w:id="59"/>
    <w:bookmarkStart w:id="60" w:name="ref-Niaki2019"/>
    <w:p>
      <w:pPr>
        <w:pStyle w:val="Bibliography"/>
      </w:pPr>
      <w:r>
        <w:t xml:space="preserve">7.</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2019; 222: 381–392.</w:t>
      </w:r>
    </w:p>
    <w:bookmarkEnd w:id="60"/>
    <w:bookmarkStart w:id="61" w:name="ref-Peng2018"/>
    <w:p>
      <w:pPr>
        <w:pStyle w:val="Bibliography"/>
      </w:pPr>
      <w:r>
        <w:t xml:space="preserve">8.</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2018; 21: 694–704.</w:t>
      </w:r>
    </w:p>
    <w:bookmarkEnd w:id="61"/>
    <w:bookmarkStart w:id="62" w:name="ref-Despeisse2016"/>
    <w:p>
      <w:pPr>
        <w:pStyle w:val="Bibliography"/>
      </w:pPr>
      <w:r>
        <w:t xml:space="preserve">9.</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2017; 115: 75–84.</w:t>
      </w:r>
    </w:p>
    <w:bookmarkEnd w:id="62"/>
    <w:bookmarkStart w:id="63" w:name="ref-GonzalezHenriquez2019"/>
    <w:p>
      <w:pPr>
        <w:pStyle w:val="Bibliography"/>
      </w:pPr>
      <w:r>
        <w:t xml:space="preserve">10.</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2019; 94: 57–116.</w:t>
      </w:r>
    </w:p>
    <w:bookmarkEnd w:id="63"/>
    <w:bookmarkStart w:id="64" w:name="ref-Ryberg2019"/>
    <w:p>
      <w:pPr>
        <w:pStyle w:val="Bibliography"/>
      </w:pPr>
      <w:r>
        <w:t xml:space="preserve">11.</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
        </w:rPr>
        <w:t xml:space="preserve">Resour Conserv Recycl</w:t>
      </w:r>
      <w:r>
        <w:t xml:space="preserve"> </w:t>
      </w:r>
      <w:r>
        <w:t xml:space="preserve">2019; 151: 104459.</w:t>
      </w:r>
    </w:p>
    <w:bookmarkEnd w:id="64"/>
    <w:bookmarkStart w:id="65" w:name="ref-Elverum2016a"/>
    <w:p>
      <w:pPr>
        <w:pStyle w:val="Bibliography"/>
      </w:pPr>
      <w:r>
        <w:t xml:space="preserve">12.</w:t>
      </w:r>
      <w:r>
        <w:t xml:space="preserve"> </w:t>
      </w:r>
      <w:r>
        <w:t xml:space="preserve">	</w:t>
      </w:r>
      <w:r>
        <w:t xml:space="preserve">Elverum CW, Welo T, Tronvoll S.</w:t>
      </w:r>
      <w:r>
        <w:t xml:space="preserve"> </w:t>
      </w:r>
      <w:r>
        <w:t xml:space="preserve">Prototyping in New Product Development: Strategy Considerations</w:t>
      </w:r>
      <w:r>
        <w:t xml:space="preserve">. In:</w:t>
      </w:r>
      <w:r>
        <w:t xml:space="preserve"> </w:t>
      </w:r>
      <w:r>
        <w:rPr>
          <w:i/>
        </w:rPr>
        <w:t xml:space="preserve">Procedia CIRP</w:t>
      </w:r>
      <w:r>
        <w:t xml:space="preserve">. Elsevier B.V., 2016, pp. 117–122.</w:t>
      </w:r>
    </w:p>
    <w:bookmarkEnd w:id="65"/>
    <w:bookmarkStart w:id="66" w:name="ref-Menold2017"/>
    <w:p>
      <w:pPr>
        <w:pStyle w:val="Bibliography"/>
      </w:pPr>
      <w:r>
        <w:t xml:space="preserve">13.</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2017; 50: 70–112.</w:t>
      </w:r>
    </w:p>
    <w:bookmarkEnd w:id="66"/>
    <w:bookmarkStart w:id="68" w:name="ref-Hansen2020"/>
    <w:p>
      <w:pPr>
        <w:pStyle w:val="Bibliography"/>
      </w:pPr>
      <w:r>
        <w:t xml:space="preserve">14.</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
        </w:rPr>
        <w:t xml:space="preserve">J Mech Des</w:t>
      </w:r>
      <w:r>
        <w:t xml:space="preserve">; 142. Epub ahead of print March 2020. DOI:</w:t>
      </w:r>
      <w:r>
        <w:t xml:space="preserve"> </w:t>
      </w:r>
      <w:hyperlink r:id="rId67">
        <w:r>
          <w:rPr>
            <w:rStyle w:val="Hyperlink"/>
          </w:rPr>
          <w:t xml:space="preserve">10.1115/1.4045385</w:t>
        </w:r>
      </w:hyperlink>
      <w:r>
        <w:t xml:space="preserve">.</w:t>
      </w:r>
    </w:p>
    <w:bookmarkEnd w:id="68"/>
    <w:bookmarkStart w:id="69" w:name="ref-Elverum2016"/>
    <w:p>
      <w:pPr>
        <w:pStyle w:val="Bibliography"/>
      </w:pPr>
      <w:r>
        <w:t xml:space="preserve">15.</w:t>
      </w:r>
      <w:r>
        <w:t xml:space="preserve"> </w:t>
      </w:r>
      <w:r>
        <w:t xml:space="preserve">	</w:t>
      </w:r>
      <w:r>
        <w:t xml:space="preserve">Elverum CW, Welo T, Tronvoll S.</w:t>
      </w:r>
      <w:r>
        <w:t xml:space="preserve"> </w:t>
      </w:r>
      <w:r>
        <w:t xml:space="preserve">Prototyping in New Product Development: Strategy Considerations</w:t>
      </w:r>
      <w:r>
        <w:t xml:space="preserve">. In:</w:t>
      </w:r>
      <w:r>
        <w:t xml:space="preserve"> </w:t>
      </w:r>
      <w:r>
        <w:rPr>
          <w:i/>
        </w:rPr>
        <w:t xml:space="preserve">Procedia CIRP</w:t>
      </w:r>
      <w:r>
        <w:t xml:space="preserve">. Elsevier B.V., 2016, pp. 117–122.</w:t>
      </w:r>
    </w:p>
    <w:bookmarkEnd w:id="69"/>
    <w:bookmarkStart w:id="70" w:name="ref-Campbell2012"/>
    <w:p>
      <w:pPr>
        <w:pStyle w:val="Bibliography"/>
      </w:pPr>
      <w:r>
        <w:t xml:space="preserve">16.</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
        </w:rPr>
        <w:t xml:space="preserve">Rapid Prototyp J</w:t>
      </w:r>
      <w:r>
        <w:t xml:space="preserve"> </w:t>
      </w:r>
      <w:r>
        <w:t xml:space="preserve">2012; 18: 255–258.</w:t>
      </w:r>
    </w:p>
    <w:bookmarkEnd w:id="70"/>
    <w:bookmarkStart w:id="71" w:name="ref-Bourell2009"/>
    <w:p>
      <w:pPr>
        <w:pStyle w:val="Bibliography"/>
      </w:pPr>
      <w:r>
        <w:t xml:space="preserve">17.</w:t>
      </w:r>
      <w:r>
        <w:t xml:space="preserve"> </w:t>
      </w:r>
      <w:r>
        <w:t xml:space="preserve">	</w:t>
      </w:r>
      <w:r>
        <w:t xml:space="preserve">Bourell DLD, Beaman JJ, Leu MC, et al.</w:t>
      </w:r>
      <w:r>
        <w:t xml:space="preserve"> </w:t>
      </w:r>
      <w:r>
        <w:t xml:space="preserve">A brief history of additive manufacturing and the 2009 roadmap for additive manufacturing: looking back and looking ahead</w:t>
      </w:r>
      <w:r>
        <w:t xml:space="preserve">. In:</w:t>
      </w:r>
      <w:r>
        <w:t xml:space="preserve"> </w:t>
      </w:r>
      <w:r>
        <w:rPr>
          <w:i/>
        </w:rPr>
        <w:t xml:space="preserve">US-turkey work.</w:t>
      </w:r>
      <w:r>
        <w:rPr>
          <w:i/>
        </w:rPr>
        <w:t xml:space="preserve"> </w:t>
      </w:r>
      <w:r>
        <w:rPr>
          <w:i/>
        </w:rPr>
        <w:t xml:space="preserve">…</w:t>
      </w:r>
      <w:r>
        <w:t xml:space="preserve">, pp. 2005–2005.</w:t>
      </w:r>
    </w:p>
    <w:bookmarkEnd w:id="71"/>
    <w:bookmarkStart w:id="72" w:name="ref-CruzSanchez2020"/>
    <w:p>
      <w:pPr>
        <w:pStyle w:val="Bibliography"/>
      </w:pPr>
      <w:r>
        <w:t xml:space="preserve">18.</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2020; 264: 121602.</w:t>
      </w:r>
    </w:p>
    <w:bookmarkEnd w:id="72"/>
    <w:bookmarkStart w:id="73" w:name="ref-Laureto2018"/>
    <w:p>
      <w:pPr>
        <w:pStyle w:val="Bibliography"/>
      </w:pPr>
      <w:r>
        <w:t xml:space="preserve">19.</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2018; 68: 294–301.</w:t>
      </w:r>
    </w:p>
    <w:bookmarkEnd w:id="73"/>
    <w:bookmarkStart w:id="74" w:name="ref-Popescu2018"/>
    <w:p>
      <w:pPr>
        <w:pStyle w:val="Bibliography"/>
      </w:pPr>
      <w:r>
        <w:t xml:space="preserve">20.</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2018; 69: 157–166.</w:t>
      </w:r>
    </w:p>
    <w:bookmarkEnd w:id="74"/>
    <w:bookmarkStart w:id="75" w:name="ref-Rebaioli2017"/>
    <w:p>
      <w:pPr>
        <w:pStyle w:val="Bibliography"/>
      </w:pPr>
      <w:r>
        <w:t xml:space="preserve">21.</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2017; 93: 2571–2598.</w:t>
      </w:r>
    </w:p>
    <w:bookmarkEnd w:id="75"/>
    <w:bookmarkStart w:id="76" w:name="ref-CruzSanchez2014"/>
    <w:p>
      <w:pPr>
        <w:pStyle w:val="Bibliography"/>
      </w:pPr>
      <w:r>
        <w:t xml:space="preserve">22.</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2014; 9: 151–167.</w:t>
      </w:r>
    </w:p>
    <w:bookmarkEnd w:id="76"/>
    <w:bookmarkStart w:id="77" w:name="ref-Roberson2013"/>
    <w:p>
      <w:pPr>
        <w:pStyle w:val="Bibliography"/>
      </w:pPr>
      <w:r>
        <w:t xml:space="preserve">23.</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
        </w:rPr>
        <w:t xml:space="preserve">Virtual Phys Prototyp</w:t>
      </w:r>
      <w:r>
        <w:t xml:space="preserve"> </w:t>
      </w:r>
      <w:r>
        <w:t xml:space="preserve">2013; 8: 201–212.</w:t>
      </w:r>
    </w:p>
    <w:bookmarkEnd w:id="77"/>
    <w:bookmarkStart w:id="78" w:name="ref-JaisinghSheoran2019"/>
    <w:p>
      <w:pPr>
        <w:pStyle w:val="Bibliography"/>
      </w:pPr>
      <w:r>
        <w:t xml:space="preserve">24.</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
        </w:rPr>
        <w:t xml:space="preserve">Mater. Today proc.</w:t>
      </w:r>
      <w:r>
        <w:t xml:space="preserve">, pp. 1659–1672.</w:t>
      </w:r>
    </w:p>
    <w:bookmarkEnd w:id="78"/>
    <w:bookmarkStart w:id="79" w:name="ref-Tymrak2014a"/>
    <w:p>
      <w:pPr>
        <w:pStyle w:val="Bibliography"/>
      </w:pPr>
      <w:r>
        <w:t xml:space="preserve">25.</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2014; 58: 242–246.</w:t>
      </w:r>
    </w:p>
    <w:bookmarkEnd w:id="79"/>
    <w:bookmarkStart w:id="80" w:name="ref-Altan2018"/>
    <w:p>
      <w:pPr>
        <w:pStyle w:val="Bibliography"/>
      </w:pPr>
      <w:r>
        <w:t xml:space="preserve">26.</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2018; 60: 471–477.</w:t>
      </w:r>
    </w:p>
    <w:bookmarkEnd w:id="80"/>
    <w:bookmarkStart w:id="81" w:name="ref-Yao2019"/>
    <w:p>
      <w:pPr>
        <w:pStyle w:val="Bibliography"/>
      </w:pPr>
      <w:r>
        <w:t xml:space="preserve">27.</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2019; 163: 393–402.</w:t>
      </w:r>
    </w:p>
    <w:bookmarkEnd w:id="81"/>
    <w:bookmarkStart w:id="82" w:name="ref-Ashby2013"/>
    <w:p>
      <w:pPr>
        <w:pStyle w:val="Bibliography"/>
      </w:pPr>
      <w:r>
        <w:t xml:space="preserve">28.</w:t>
      </w:r>
      <w:r>
        <w:t xml:space="preserve"> </w:t>
      </w:r>
      <w:r>
        <w:t xml:space="preserve">	</w:t>
      </w:r>
      <w:r>
        <w:t xml:space="preserve">Ashby MF, Johnson K.</w:t>
      </w:r>
      <w:r>
        <w:t xml:space="preserve"> </w:t>
      </w:r>
      <w:r>
        <w:rPr>
          <w:i/>
        </w:rPr>
        <w:t xml:space="preserve">Materials and design: the art and science of material selection in product design</w:t>
      </w:r>
      <w:r>
        <w:t xml:space="preserve">. Butterworth-Heinemann, 2013.</w:t>
      </w:r>
    </w:p>
    <w:bookmarkEnd w:id="82"/>
    <w:bookmarkStart w:id="83" w:name="ref-Suarez2020"/>
    <w:p>
      <w:pPr>
        <w:pStyle w:val="Bibliography"/>
      </w:pPr>
      <w:r>
        <w:t xml:space="preserve">29.</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2020; 106: 1267–1279.</w:t>
      </w:r>
    </w:p>
    <w:bookmarkEnd w:id="83"/>
    <w:bookmarkStart w:id="84" w:name="ref-Liu2019a"/>
    <w:p>
      <w:pPr>
        <w:pStyle w:val="Bibliography"/>
      </w:pPr>
      <w:r>
        <w:t xml:space="preserve">30.</w:t>
      </w:r>
      <w:r>
        <w:t xml:space="preserve"> </w:t>
      </w:r>
      <w:r>
        <w:t xml:space="preserve">	</w:t>
      </w:r>
      <w:r>
        <w:t xml:space="preserve">Liu J, Sun L, Xu W, et al.</w:t>
      </w:r>
      <w:r>
        <w:t xml:space="preserve"> </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2019; 207: 297–316.</w:t>
      </w:r>
    </w:p>
    <w:bookmarkEnd w:id="84"/>
    <w:bookmarkStart w:id="85" w:name="ref-Kumar2018b"/>
    <w:p>
      <w:pPr>
        <w:pStyle w:val="Bibliography"/>
      </w:pPr>
      <w:r>
        <w:t xml:space="preserve">31.</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2018; 2: 115–137.</w:t>
      </w:r>
    </w:p>
    <w:bookmarkEnd w:id="85"/>
    <w:bookmarkStart w:id="86" w:name="ref-Zhao2018a"/>
    <w:p>
      <w:pPr>
        <w:pStyle w:val="Bibliography"/>
      </w:pPr>
      <w:r>
        <w:t xml:space="preserve">32.</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2018; 441: 381–387.</w:t>
      </w:r>
    </w:p>
    <w:bookmarkEnd w:id="86"/>
    <w:bookmarkStart w:id="87" w:name="ref-Little2020"/>
    <w:p>
      <w:pPr>
        <w:pStyle w:val="Bibliography"/>
      </w:pPr>
      <w:r>
        <w:t xml:space="preserve">33.</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
        </w:rPr>
        <w:t xml:space="preserve">Materials (Basel)</w:t>
      </w:r>
      <w:r>
        <w:t xml:space="preserve"> </w:t>
      </w:r>
      <w:r>
        <w:t xml:space="preserve">2020; 13: 4273.</w:t>
      </w:r>
    </w:p>
    <w:bookmarkEnd w:id="87"/>
    <w:bookmarkStart w:id="88" w:name="ref-Zhao2018"/>
    <w:p>
      <w:pPr>
        <w:pStyle w:val="Bibliography"/>
      </w:pPr>
      <w:r>
        <w:t xml:space="preserve">34.</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2018; 197: 1046–1055.</w:t>
      </w:r>
    </w:p>
    <w:bookmarkEnd w:id="88"/>
    <w:bookmarkStart w:id="89" w:name="ref-Petrovic2011"/>
    <w:p>
      <w:pPr>
        <w:pStyle w:val="Bibliography"/>
      </w:pPr>
      <w:r>
        <w:t xml:space="preserve">35.</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2011; 49: 1061–1079.</w:t>
      </w:r>
    </w:p>
    <w:bookmarkEnd w:id="89"/>
    <w:bookmarkStart w:id="90" w:name="ref-Wittbrodt2013"/>
    <w:p>
      <w:pPr>
        <w:pStyle w:val="Bibliography"/>
      </w:pPr>
      <w:r>
        <w:t xml:space="preserve">36.</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2013; 23: 713–726.</w:t>
      </w:r>
    </w:p>
    <w:bookmarkEnd w:id="90"/>
    <w:bookmarkStart w:id="91" w:name="ref-Santander2020"/>
    <w:p>
      <w:pPr>
        <w:pStyle w:val="Bibliography"/>
      </w:pPr>
      <w:r>
        <w:t xml:space="preserve">37.</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2020; 154: 104531.</w:t>
      </w:r>
    </w:p>
    <w:bookmarkEnd w:id="91"/>
    <w:bookmarkStart w:id="92" w:name="ref-CruzSanchez2017"/>
    <w:p>
      <w:pPr>
        <w:pStyle w:val="Bibliography"/>
      </w:pPr>
      <w:r>
        <w:t xml:space="preserve">38.</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
        </w:rPr>
        <w:t xml:space="preserve">Addit Manuf</w:t>
      </w:r>
      <w:r>
        <w:t xml:space="preserve"> </w:t>
      </w:r>
      <w:r>
        <w:t xml:space="preserve">2017; 17: 87–105.</w:t>
      </w:r>
    </w:p>
    <w:bookmarkEnd w:id="92"/>
    <w:bookmarkStart w:id="93" w:name="ref-Lanzotti2019"/>
    <w:p>
      <w:pPr>
        <w:pStyle w:val="Bibliography"/>
      </w:pPr>
      <w:r>
        <w:t xml:space="preserve">39.</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2019; 79: 143–146.</w:t>
      </w:r>
    </w:p>
    <w:bookmarkEnd w:id="93"/>
    <w:bookmarkStart w:id="94" w:name="ref-Pinho2020"/>
    <w:p>
      <w:pPr>
        <w:pStyle w:val="Bibliography"/>
      </w:pPr>
      <w:r>
        <w:t xml:space="preserve">40.</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2020; 118: 426–434.</w:t>
      </w:r>
    </w:p>
    <w:bookmarkEnd w:id="94"/>
    <w:bookmarkStart w:id="95" w:name="ref-Lin2018"/>
    <w:p>
      <w:pPr>
        <w:pStyle w:val="Bibliography"/>
      </w:pPr>
      <w:r>
        <w:t xml:space="preserve">41.</w:t>
      </w:r>
      <w:r>
        <w:t xml:space="preserve"> </w:t>
      </w:r>
      <w:r>
        <w:t xml:space="preserve">	</w:t>
      </w:r>
      <w:r>
        <w:t xml:space="preserve">Lin W, Shen H, Xu G, et al.</w:t>
      </w:r>
      <w:r>
        <w:t xml:space="preserve"> </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2018; 115: 22–30.</w:t>
      </w:r>
    </w:p>
    <w:bookmarkEnd w:id="95"/>
    <w:bookmarkStart w:id="96" w:name="ref-Montgomery2001"/>
    <w:p>
      <w:pPr>
        <w:pStyle w:val="Bibliography"/>
      </w:pPr>
      <w:r>
        <w:t xml:space="preserve">42.</w:t>
      </w:r>
      <w:r>
        <w:t xml:space="preserve"> </w:t>
      </w:r>
      <w:r>
        <w:t xml:space="preserve">	</w:t>
      </w:r>
      <w:r>
        <w:t xml:space="preserve">Montgomery DC.</w:t>
      </w:r>
      <w:r>
        <w:t xml:space="preserve"> </w:t>
      </w:r>
      <w:r>
        <w:rPr>
          <w:i/>
        </w:rPr>
        <w:t xml:space="preserve">Design and Analysis of Experiments</w:t>
      </w:r>
      <w:r>
        <w:t xml:space="preserve">. John Wiley; Sons Inc, 2001.</w:t>
      </w:r>
    </w:p>
    <w:bookmarkEnd w:id="96"/>
    <w:bookmarkStart w:id="97" w:name="ref-Chacon2017"/>
    <w:p>
      <w:pPr>
        <w:pStyle w:val="Bibliography"/>
      </w:pPr>
      <w:r>
        <w:t xml:space="preserve">43.</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2017; 124: 143–157.</w:t>
      </w:r>
    </w:p>
    <w:bookmarkEnd w:id="97"/>
    <w:bookmarkStart w:id="99" w:name="ref-Letcher2015"/>
    <w:p>
      <w:pPr>
        <w:pStyle w:val="Bibliography"/>
      </w:pPr>
      <w:r>
        <w:t xml:space="preserve">44.</w:t>
      </w:r>
      <w:r>
        <w:t xml:space="preserve"> </w:t>
      </w:r>
      <w:r>
        <w:t xml:space="preserve">	</w:t>
      </w:r>
      <w:r>
        <w:t xml:space="preserve">Letcher T, Rankouhi B, Javadpour S.</w:t>
      </w:r>
      <w:r>
        <w:t xml:space="preserve"> </w:t>
      </w:r>
      <w:r>
        <w:t xml:space="preserve">Experimental study of mechanical properties of additively manufactured abs plastic as a function of layer parameters</w:t>
      </w:r>
      <w:r>
        <w:t xml:space="preserve">. In:</w:t>
      </w:r>
      <w:r>
        <w:t xml:space="preserve"> </w:t>
      </w:r>
      <w:r>
        <w:rPr>
          <w:i/>
        </w:rPr>
        <w:t xml:space="preserve">ASME int. Mech. Eng. Congr. Expo. proc.</w:t>
      </w:r>
      <w:r>
        <w:t xml:space="preserve"> American Society of Mechanical Engineers (ASME), 2015. Epub ahead of print March 2015. DOI:</w:t>
      </w:r>
      <w:r>
        <w:t xml:space="preserve"> </w:t>
      </w:r>
      <w:hyperlink r:id="rId98">
        <w:r>
          <w:rPr>
            <w:rStyle w:val="Hyperlink"/>
          </w:rPr>
          <w:t xml:space="preserve">10.1115/IMECE2015-52634</w:t>
        </w:r>
      </w:hyperlink>
      <w:r>
        <w:t xml:space="preserve">.</w:t>
      </w:r>
    </w:p>
    <w:bookmarkEnd w:id="99"/>
    <w:bookmarkStart w:id="100" w:name="ref-Singh2019"/>
    <w:p>
      <w:pPr>
        <w:pStyle w:val="Bibliography"/>
      </w:pPr>
      <w:r>
        <w:t xml:space="preserve">45.</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2019; 156: 259–265.</w:t>
      </w:r>
    </w:p>
    <w:bookmarkEnd w:id="100"/>
    <w:bookmarkStart w:id="101" w:name="ref-Tanveer2019"/>
    <w:p>
      <w:pPr>
        <w:pStyle w:val="Bibliography"/>
      </w:pPr>
      <w:r>
        <w:t xml:space="preserve">46.</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2019; 1: 1–12.</w:t>
      </w:r>
    </w:p>
    <w:bookmarkEnd w:id="101"/>
    <w:bookmarkStart w:id="103" w:name="ref-UNE"/>
    <w:p>
      <w:pPr>
        <w:pStyle w:val="Bibliography"/>
      </w:pPr>
      <w:r>
        <w:t xml:space="preserve">47.</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02">
        <w:r>
          <w:rPr>
            <w:rStyle w:val="Hyperlink"/>
          </w:rPr>
          <w:t xml:space="preserve">https://www.une.org/encuentra-tu-norma/busca-tu-norma/norma?c=N0049159</w:t>
        </w:r>
      </w:hyperlink>
      <w:r>
        <w:t xml:space="preserve"> </w:t>
      </w:r>
      <w:r>
        <w:t xml:space="preserve">(2012, accessed 10 March 2021).</w:t>
      </w:r>
    </w:p>
    <w:bookmarkEnd w:id="103"/>
    <w:bookmarkStart w:id="104" w:name="ref-Perez2018"/>
    <w:p>
      <w:pPr>
        <w:pStyle w:val="Bibliography"/>
      </w:pPr>
      <w:r>
        <w:t xml:space="preserve">48.</w:t>
      </w:r>
      <w:r>
        <w:t xml:space="preserve"> </w:t>
      </w:r>
      <w:r>
        <w:t xml:space="preserve">	</w:t>
      </w:r>
      <w:r>
        <w:t xml:space="preserve">Pérez M, Medina-Sánchez G, García-Collado A, et al.</w:t>
      </w:r>
      <w:r>
        <w:t xml:space="preserve"> </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2018; 11: 1382.</w:t>
      </w:r>
    </w:p>
    <w:bookmarkEnd w:id="104"/>
    <w:bookmarkStart w:id="106" w:name="ref-Wang2020h"/>
    <w:p>
      <w:pPr>
        <w:pStyle w:val="Bibliography"/>
      </w:pPr>
      <w:r>
        <w:t xml:space="preserve">49.</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86. Epub ahead of print 2020. DOI:</w:t>
      </w:r>
      <w:r>
        <w:t xml:space="preserve"> </w:t>
      </w:r>
      <w:hyperlink r:id="rId105">
        <w:r>
          <w:rPr>
            <w:rStyle w:val="Hyperlink"/>
          </w:rPr>
          <w:t xml:space="preserve">10.1016/j.polymertesting.2020.106483</w:t>
        </w:r>
      </w:hyperlink>
      <w:r>
        <w:t xml:space="preserve">.</w:t>
      </w:r>
    </w:p>
    <w:bookmarkEnd w:id="106"/>
    <w:bookmarkStart w:id="107" w:name="ref-Garcia-Dominguez2020"/>
    <w:p>
      <w:pPr>
        <w:pStyle w:val="Bibliography"/>
      </w:pPr>
      <w:r>
        <w:t xml:space="preserve">50.</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2019; 13: 28.</w:t>
      </w:r>
    </w:p>
    <w:bookmarkEnd w:id="107"/>
    <w:bookmarkStart w:id="108" w:name="ref-Wagner2020"/>
    <w:p>
      <w:pPr>
        <w:pStyle w:val="Bibliography"/>
      </w:pPr>
      <w:r>
        <w:t xml:space="preserve">51.</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108"/>
    <w:bookmarkStart w:id="109" w:name="ref-Schwarz2021"/>
    <w:p>
      <w:pPr>
        <w:pStyle w:val="Bibliography"/>
      </w:pPr>
      <w:r>
        <w:t xml:space="preserve">52.</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2021; 121: 331–342.</w:t>
      </w:r>
    </w:p>
    <w:bookmarkEnd w:id="109"/>
    <w:bookmarkStart w:id="110" w:name="ref-Sauerwein2019"/>
    <w:p>
      <w:pPr>
        <w:pStyle w:val="Bibliography"/>
      </w:pPr>
      <w:r>
        <w:t xml:space="preserve">53.</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2019; 226: 1138–1149.</w:t>
      </w:r>
    </w:p>
    <w:bookmarkEnd w:id="110"/>
    <w:bookmarkStart w:id="111" w:name="ref-Jin2017"/>
    <w:p>
      <w:pPr>
        <w:pStyle w:val="Bibliography"/>
      </w:pPr>
      <w:r>
        <w:t xml:space="preserve">54.</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2017; 240: 233–239.</w:t>
      </w:r>
    </w:p>
    <w:bookmarkEnd w:id="111"/>
    <w:bookmarkStart w:id="112" w:name="ref-Sauer2009"/>
    <w:p>
      <w:pPr>
        <w:pStyle w:val="Bibliography"/>
      </w:pPr>
      <w:r>
        <w:t xml:space="preserve">55.</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2009; 40: 670–677.</w:t>
      </w:r>
    </w:p>
    <w:bookmarkEnd w:id="112"/>
    <w:bookmarkStart w:id="113" w:name="ref-Sauer2010"/>
    <w:p>
      <w:pPr>
        <w:pStyle w:val="Bibliography"/>
      </w:pPr>
      <w:r>
        <w:t xml:space="preserve">56.</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
        </w:rPr>
        <w:t xml:space="preserve">Appl Ergon</w:t>
      </w:r>
      <w:r>
        <w:t xml:space="preserve"> </w:t>
      </w:r>
      <w:r>
        <w:t xml:space="preserve">2010; 41: 130–140.</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6" Target="media/rId36.pdf"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hyperlink" Id="rId54" Target="https://doi.org/10.1016/j.matpr.2020.11.819" TargetMode="External" /><Relationship Type="http://schemas.openxmlformats.org/officeDocument/2006/relationships/hyperlink" Id="rId105" Target="https://doi.org/10.1016/j.polymertesting.2020.106483" TargetMode="External" /><Relationship Type="http://schemas.openxmlformats.org/officeDocument/2006/relationships/hyperlink" Id="rId67" Target="https://doi.org/10.1115/1.4045385" TargetMode="External" /><Relationship Type="http://schemas.openxmlformats.org/officeDocument/2006/relationships/hyperlink" Id="rId98" Target="https://doi.org/10.1115/IMECE2015-52634" TargetMode="External" /><Relationship Type="http://schemas.openxmlformats.org/officeDocument/2006/relationships/hyperlink" Id="rId102" Target="https://www.une.org/encuentra-tu-norma/busca-tu-norma/norma?c=N0049159" TargetMode="External" /><Relationship Type="http://schemas.openxmlformats.org/officeDocument/2006/relationships/hyperlink" Id="rId26" Target="mailto:al@Alafaghani2018" TargetMode="External" /><Relationship Type="http://schemas.openxmlformats.org/officeDocument/2006/relationships/hyperlink" Id="rId31" Target="mailto:al@Babagowda2018" TargetMode="External" /><Relationship Type="http://schemas.openxmlformats.org/officeDocument/2006/relationships/hyperlink" Id="rId30" Target="mailto:al@Gu2016" TargetMode="External" /><Relationship Type="http://schemas.openxmlformats.org/officeDocument/2006/relationships/hyperlink" Id="rId29" Target="mailto:al@Kumar2018b" TargetMode="External" /><Relationship Type="http://schemas.openxmlformats.org/officeDocument/2006/relationships/hyperlink" Id="rId28" Target="mailto:al@Suarez2020"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54" Target="https://doi.org/10.1016/j.matpr.2020.11.819" TargetMode="External" /><Relationship Type="http://schemas.openxmlformats.org/officeDocument/2006/relationships/hyperlink" Id="rId105" Target="https://doi.org/10.1016/j.polymertesting.2020.106483" TargetMode="External" /><Relationship Type="http://schemas.openxmlformats.org/officeDocument/2006/relationships/hyperlink" Id="rId67" Target="https://doi.org/10.1115/1.4045385" TargetMode="External" /><Relationship Type="http://schemas.openxmlformats.org/officeDocument/2006/relationships/hyperlink" Id="rId98" Target="https://doi.org/10.1115/IMECE2015-52634" TargetMode="External" /><Relationship Type="http://schemas.openxmlformats.org/officeDocument/2006/relationships/hyperlink" Id="rId102" Target="https://www.une.org/encuentra-tu-norma/busca-tu-norma/norma?c=N0049159" TargetMode="External" /><Relationship Type="http://schemas.openxmlformats.org/officeDocument/2006/relationships/hyperlink" Id="rId26" Target="mailto:al@Alafaghani2018" TargetMode="External" /><Relationship Type="http://schemas.openxmlformats.org/officeDocument/2006/relationships/hyperlink" Id="rId31" Target="mailto:al@Babagowda2018" TargetMode="External" /><Relationship Type="http://schemas.openxmlformats.org/officeDocument/2006/relationships/hyperlink" Id="rId30" Target="mailto:al@Gu2016" TargetMode="External" /><Relationship Type="http://schemas.openxmlformats.org/officeDocument/2006/relationships/hyperlink" Id="rId29" Target="mailto:al@Kumar2018b" TargetMode="External" /><Relationship Type="http://schemas.openxmlformats.org/officeDocument/2006/relationships/hyperlink" Id="rId28" Target="mailto:al@Suarez2020"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2021-05-19T13:43:42Z</dcterms:created>
  <dcterms:modified xsi:type="dcterms:W3CDTF">2021-05-19T13:43:42Z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