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which</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prototyping.</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(also called 3D printing) technology which have found considerable number of applications in different types of manufacturing sectors.</w:t>
      </w:r>
      <w:hyperlink w:anchor="ref-Singh2020d">
        <w:r>
          <w:rPr>
            <w:rStyle w:val="Hyperlink"/>
            <w:vertAlign w:val="superscript"/>
          </w:rPr>
          <w:t xml:space="preserve">1</w:t>
        </w:r>
      </w:hyperlink>
      <w:r>
        <w:t xml:space="preserve"> </w:t>
      </w:r>
      <w:r>
        <w:t xml:space="preserve">The layer-by-layer principle of manufacturing objects enables a higher flexibility degree in the product design phase.</w:t>
      </w:r>
      <w:r>
        <w:t xml:space="preserve"> </w:t>
      </w:r>
      <w:r>
        <w:t xml:space="preserve"> </w:t>
      </w:r>
      <w:r>
        <w:t xml:space="preserve">The set of several available printing technologies provides advantages such as the customization of objects with complex geometries with a great deal of detail, combination of different materials,</w:t>
      </w:r>
      <w:hyperlink w:anchor="ref-Askari2020">
        <w:r>
          <w:rPr>
            <w:rStyle w:val="Hyperlink"/>
            <w:vertAlign w:val="superscript"/>
          </w:rPr>
          <w:t xml:space="preserve">2</w:t>
        </w:r>
      </w:hyperlink>
      <w:r>
        <w:t xml:space="preserve"> reduction of the need for assembly and high utilization rate of raw materials.</w:t>
      </w:r>
      <w:hyperlink w:anchor="ref-Wang2020f">
        <w:r>
          <w:rPr>
            <w:rStyle w:val="Hyperlink"/>
            <w:vertAlign w:val="superscript"/>
          </w:rPr>
          <w:t xml:space="preserve">3</w:t>
        </w:r>
      </w:hyperlink>
    </w:p>
    <w:p>
      <w:pPr>
        <w:pStyle w:val="BodyText"/>
      </w:pPr>
      <w:r>
        <w:t xml:space="preserve">Nowadays, there is a need to find paths to reduce the ecological impact of manufacturing processes.</w:t>
      </w:r>
      <w:hyperlink w:anchor="ref-Niaki2019">
        <w:r>
          <w:rPr>
            <w:rStyle w:val="Hyperlink"/>
            <w:vertAlign w:val="superscript"/>
          </w:rPr>
          <w:t xml:space="preserve">4</w:t>
        </w:r>
      </w:hyperlink>
      <w:r>
        <w:rPr>
          <w:vertAlign w:val="superscript"/>
        </w:rPr>
        <w:t xml:space="preserve">,</w:t>
      </w:r>
      <w:hyperlink w:anchor="ref-Peng2018">
        <w:r>
          <w:rPr>
            <w:rStyle w:val="Hyperlink"/>
            <w:vertAlign w:val="superscript"/>
          </w:rPr>
          <w:t xml:space="preserve">5</w:t>
        </w:r>
      </w:hyperlink>
      <w:r>
        <w:t xml:space="preserve"> </w:t>
      </w:r>
      <w:r>
        <w:t xml:space="preserve">Researchers are making efforts to identify opportunities of 3D printing on the circular economy paradigm.</w:t>
      </w:r>
      <w:hyperlink w:anchor="ref-Despeisse2016">
        <w:r>
          <w:rPr>
            <w:rStyle w:val="Hyperlink"/>
            <w:vertAlign w:val="superscript"/>
          </w:rPr>
          <w:t xml:space="preserve">6</w:t>
        </w:r>
      </w:hyperlink>
      <w:r>
        <w:t xml:space="preserve"> </w:t>
      </w:r>
      <w:r>
        <w:t xml:space="preserve">Moreover, due to the fact that plastic is one of the most used materials in the 3D printing industry,</w:t>
      </w:r>
      <w:hyperlink w:anchor="ref-GonzalezHenriquez2019">
        <w:r>
          <w:rPr>
            <w:rStyle w:val="Hyperlink"/>
            <w:vertAlign w:val="superscript"/>
          </w:rPr>
          <w:t xml:space="preserve">7</w:t>
        </w:r>
      </w:hyperlink>
      <w:r>
        <w:t xml:space="preserve"> and given their non-biodegradable nature, plastic is one the most abundant type of waste produced and their impact is well document in the different ecosystems.</w:t>
      </w:r>
      <w:hyperlink w:anchor="ref-Ryberg2019">
        <w:r>
          <w:rPr>
            <w:rStyle w:val="Hyperlink"/>
            <w:vertAlign w:val="superscript"/>
          </w:rPr>
          <w:t xml:space="preserve">8</w:t>
        </w:r>
      </w:hyperlink>
      <w:r>
        <w:t xml:space="preserve"> </w:t>
      </w:r>
      <w:r>
        <w:t xml:space="preserve">Thus, reducing the consumption of plastics is of great importance.</w:t>
      </w:r>
    </w:p>
    <w:p>
      <w:pPr>
        <w:pStyle w:val="BodyText"/>
      </w:pPr>
      <w:r>
        <w:t xml:space="preserve">The major literature coming from engineering, human computer interaction, design thinking or software development</w:t>
      </w:r>
      <w:hyperlink w:anchor="ref-Elverum2016">
        <w:r>
          <w:rPr>
            <w:rStyle w:val="Hyperlink"/>
            <w:vertAlign w:val="superscript"/>
          </w:rPr>
          <w:t xml:space="preserve">9</w:t>
        </w:r>
      </w:hyperlink>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feasibility, and viability)</w:t>
      </w:r>
      <w:hyperlink w:anchor="ref-Menold2017">
        <w:r>
          <w:rPr>
            <w:rStyle w:val="Hyperlink"/>
            <w:vertAlign w:val="superscript"/>
          </w:rPr>
          <w:t xml:space="preserve">10</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11</w:t>
        </w:r>
      </w:hyperlink>
      <w:r>
        <w:t xml:space="preserve"> </w:t>
      </w:r>
      <w:r>
        <w:t xml:space="preserve">Thus, a prototype is accomplished in terms of certain aims: (1) Model to Link, (2) Model to Test, (3) Model to Communicate, (4) Model to Decide, and (5) Model to Interact.</w:t>
      </w:r>
      <w:hyperlink w:anchor="ref-Menold2017">
        <w:r>
          <w:rPr>
            <w:rStyle w:val="Hyperlink"/>
            <w:vertAlign w:val="superscript"/>
          </w:rPr>
          <w:t xml:space="preserve">10</w:t>
        </w:r>
      </w:hyperlink>
      <w:r>
        <w:t xml:space="preserve"> </w:t>
      </w:r>
      <w:r>
        <w:t xml:space="preserve">Moreover, digital tools allows designers to create highly flexible prototypes that enable short learning cycles at an affordable cost.</w:t>
      </w:r>
      <w:r>
        <w:t xml:space="preserve"> </w:t>
      </w:r>
      <w:r>
        <w:t xml:space="preserve">Indeed, the use of 3D printing technology enables the materialization aspect.</w:t>
      </w:r>
      <w:r>
        <w:t xml:space="preserve"> </w:t>
      </w:r>
      <w:r>
        <w:t xml:space="preserve">Regardless of whether the printed part is functional or not, it is found to be valuable in design decisions.</w:t>
      </w:r>
      <w:hyperlink w:anchor="ref-Elverum2016">
        <w:r>
          <w:rPr>
            <w:rStyle w:val="Hyperlink"/>
            <w:vertAlign w:val="superscript"/>
          </w:rPr>
          <w:t xml:space="preserve">9</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5</w:t>
        </w:r>
      </w:hyperlink>
      <w:r>
        <w:t xml:space="preserve"> </w:t>
      </w:r>
      <w:r>
        <w:t xml:space="preserve">Although the technology offers high efficiency in the material usage,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12</w:t>
        </w:r>
      </w:hyperlink>
      <w:r>
        <w:t xml:space="preserve"> </w:t>
      </w:r>
      <w:r>
        <w:t xml:space="preserve">and in the last years it has been widely adopted to create final objects.</w:t>
      </w:r>
      <w:r>
        <w:t xml:space="preserve"> </w:t>
      </w:r>
      <w:r>
        <w:t xml:space="preserve">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hyperlink w:anchor="ref-CruzSanchez2020">
        <w:r>
          <w:rPr>
            <w:rStyle w:val="Hyperlink"/>
            <w:vertAlign w:val="superscript"/>
          </w:rPr>
          <w:t xml:space="preserve">13</w:t>
        </w:r>
      </w:hyperlink>
      <w:r>
        <w:t xml:space="preserve"> </w:t>
      </w:r>
      <w:r>
        <w:t xml:space="preserve">It is important to note that in most cases, prototypes do not require excellent mechanical resistance but the minimum to be handled to allow inspection and measurement.</w:t>
      </w:r>
      <w:r>
        <w:t xml:space="preserve"> </w:t>
      </w:r>
      <w:r>
        <w:t xml:space="preserve">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This research is based on a comprehensive experimental study with three main phases in order to evaluate the influence of several printing parameters on the mechanical properties.</w:t>
      </w:r>
      <w:r>
        <w:t xml:space="preserve"> </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The mechanical properties are critical for engineering parts, particularly, for printed parts because of the anisotropy, which can influence up to about 47% the ultimate tensile strength (UTS) in function of the manufacturing parameters.</w:t>
      </w:r>
      <w:hyperlink w:anchor="ref-Laureto2018">
        <w:r>
          <w:rPr>
            <w:rStyle w:val="Hyperlink"/>
            <w:vertAlign w:val="superscript"/>
          </w:rPr>
          <w:t xml:space="preserve">14</w:t>
        </w:r>
      </w:hyperlink>
      <w:r>
        <w:t xml:space="preserve"> </w:t>
      </w:r>
      <w:r>
        <w:t xml:space="preserve">Using a systematic literature review, Popescu et al</w:t>
      </w:r>
      <w:hyperlink w:anchor="ref-Popescu2018">
        <w:r>
          <w:rPr>
            <w:rStyle w:val="Hyperlink"/>
            <w:vertAlign w:val="superscript"/>
          </w:rPr>
          <w:t xml:space="preserve">15</w:t>
        </w:r>
      </w:hyperlink>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to set minimal requirements for the dimensional accuracy, repeatability and minimum feature size among the 3D printing technologies.</w:t>
      </w:r>
      <w:hyperlink w:anchor="ref-Rebaioli2017">
        <w:r>
          <w:rPr>
            <w:rStyle w:val="Hyperlink"/>
            <w:vertAlign w:val="superscript"/>
          </w:rPr>
          <w:t xml:space="preserve">16</w:t>
        </w:r>
      </w:hyperlink>
      <w:r>
        <w:t xml:space="preserve"> </w:t>
      </w:r>
      <w:r>
        <w:t xml:space="preserve">Likewise, considering the open source nature of the FFF technology, standardized experimental protocols are relevant to enable benchmarking and serve as a guide for machine selection.</w:t>
      </w:r>
      <w:hyperlink w:anchor="ref-CruzSanchez2014">
        <w:r>
          <w:rPr>
            <w:rStyle w:val="Hyperlink"/>
            <w:vertAlign w:val="superscript"/>
          </w:rPr>
          <w:t xml:space="preserve">17</w:t>
        </w:r>
      </w:hyperlink>
      <w:r>
        <w:rPr>
          <w:vertAlign w:val="superscript"/>
        </w:rPr>
        <w:t xml:space="preserve">,</w:t>
      </w:r>
      <w:hyperlink w:anchor="ref-Roberson2013">
        <w:r>
          <w:rPr>
            <w:rStyle w:val="Hyperlink"/>
            <w:vertAlign w:val="superscript"/>
          </w:rPr>
          <w:t xml:space="preserve">18</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19</w:t>
        </w:r>
      </w:hyperlink>
    </w:p>
    <w:p>
      <w:pPr>
        <w:pStyle w:val="BodyText"/>
      </w:pPr>
      <w:r>
        <w:t xml:space="preserve">In general terms, it is found that for low values of layer height, the UTS of the material is improved.</w:t>
      </w:r>
      <w:hyperlink w:anchor="ref-Tymrak2014a">
        <w:r>
          <w:rPr>
            <w:rStyle w:val="Hyperlink"/>
            <w:vertAlign w:val="superscript"/>
          </w:rPr>
          <w:t xml:space="preserve">20</w:t>
        </w:r>
      </w:hyperlink>
      <w:r>
        <w:rPr>
          <w:vertAlign w:val="superscript"/>
        </w:rPr>
        <w:t xml:space="preserve">,</w:t>
      </w:r>
      <w:hyperlink w:anchor="ref-Altan2018">
        <w:r>
          <w:rPr>
            <w:rStyle w:val="Hyperlink"/>
            <w:vertAlign w:val="superscript"/>
          </w:rPr>
          <w:t xml:space="preserve">21</w:t>
        </w:r>
      </w:hyperlink>
      <w:r>
        <w:t xml:space="preserve"> </w:t>
      </w:r>
      <w:r>
        <w:t xml:space="preserve">Similarly, Yao et al.</w:t>
      </w:r>
      <w:hyperlink w:anchor="ref-Yao2019">
        <w:r>
          <w:rPr>
            <w:rStyle w:val="Hyperlink"/>
            <w:vertAlign w:val="superscript"/>
          </w:rPr>
          <w:t xml:space="preserve">22</w:t>
        </w:r>
      </w:hyperlink>
      <w:r>
        <w:t xml:space="preserve"> </w:t>
      </w:r>
      <w:r>
        <w:t xml:space="preserve">identified the importance of the printing orientation in the UTS in which the alignment of the tensile load with the longitudinal axis of the printed fiber will maximize the UTS.</w:t>
      </w:r>
      <w:r>
        <w:t xml:space="preserve"> </w:t>
      </w:r>
      <w:r>
        <w:t xml:space="preserve"> </w:t>
      </w:r>
      <w:r>
        <w:t xml:space="preserve">According to Alafaghani et al.,</w:t>
      </w:r>
      <w:hyperlink w:anchor="ref-Alafaghani2018">
        <w:r>
          <w:rPr>
            <w:rStyle w:val="Hyperlink"/>
            <w:vertAlign w:val="superscript"/>
          </w:rPr>
          <w:t xml:space="preserve">23</w:t>
        </w:r>
      </w:hyperlink>
      <w:r>
        <w:t xml:space="preserve"> a higher extrusion temperature, an optimized layer thickness, a triangular filling pattern and a higher filling level maximize the part strength.</w:t>
      </w:r>
      <w:r>
        <w:t xml:space="preserve"> </w:t>
      </w:r>
      <w:r>
        <w:t xml:space="preserve">By contrary, it is identified that higher printing speed with higher layer thickness leads to lower part strength.</w:t>
      </w:r>
      <w:r>
        <w:t xml:space="preserve"> </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hyperlink w:anchor="ref-Ashby2013">
        <w:r>
          <w:rPr>
            <w:rStyle w:val="Hyperlink"/>
            <w:vertAlign w:val="superscript"/>
          </w:rPr>
          <w:t xml:space="preserve">24</w:t>
        </w:r>
      </w:hyperlink>
      <w:r>
        <w:rPr>
          <w:vertAlign w:val="superscript"/>
        </w:rPr>
        <w:t xml:space="preserve">,</w:t>
      </w:r>
      <w:hyperlink w:anchor="ref-Suarez2020">
        <w:r>
          <w:rPr>
            <w:rStyle w:val="Hyperlink"/>
            <w:vertAlign w:val="superscript"/>
          </w:rPr>
          <w:t xml:space="preserve">25</w:t>
        </w:r>
      </w:hyperlink>
      <w:r>
        <w:t xml:space="preserve"> </w:t>
      </w:r>
      <w:r>
        <w:t xml:space="preserve">Liu et al.</w:t>
      </w:r>
      <w:hyperlink w:anchor="ref-Liu2019a">
        <w:r>
          <w:rPr>
            <w:rStyle w:val="Hyperlink"/>
            <w:vertAlign w:val="superscript"/>
          </w:rPr>
          <w:t xml:space="preserve">26</w:t>
        </w:r>
      </w:hyperlink>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suggested the use of biopolymers of natural and renewable origin, replacing synthetic polymers.</w:t>
      </w:r>
      <w:r>
        <w:t xml:space="preserve"> </w:t>
      </w:r>
      <w:r>
        <w:t xml:space="preserve"> </w:t>
      </w: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shows a range of crystallinity and mechanical properties between polystyrene and polyethylene terephthalate.</w:t>
      </w:r>
      <w:hyperlink w:anchor="ref-Kumar2018b">
        <w:r>
          <w:rPr>
            <w:rStyle w:val="Hyperlink"/>
            <w:vertAlign w:val="superscript"/>
          </w:rPr>
          <w:t xml:space="preserve">27</w:t>
        </w:r>
      </w:hyperlink>
      <w:r>
        <w:rPr>
          <w:vertAlign w:val="superscript"/>
        </w:rPr>
        <w:t xml:space="preserve">,</w:t>
      </w:r>
      <w:hyperlink w:anchor="ref-Zhao2018a">
        <w:r>
          <w:rPr>
            <w:rStyle w:val="Hyperlink"/>
            <w:vertAlign w:val="superscript"/>
          </w:rPr>
          <w:t xml:space="preserve">28</w:t>
        </w:r>
      </w:hyperlink>
    </w:p>
    <w:p>
      <w:pPr>
        <w:pStyle w:val="BodyText"/>
      </w:pPr>
      <w:r>
        <w:t xml:space="preserve">In the literature, the distributed recycling via additive manufacturing (DRAM) approach makes an emphasis in the technical steps to reuse plastic waste through the recycling chains for material extrusion based 3D printing.</w:t>
      </w:r>
      <w:hyperlink w:anchor="ref-CruzSanchez2020">
        <w:r>
          <w:rPr>
            <w:rStyle w:val="Hyperlink"/>
            <w:vertAlign w:val="superscript"/>
          </w:rPr>
          <w:t xml:space="preserve">13</w:t>
        </w:r>
      </w:hyperlink>
      <w:r>
        <w:rPr>
          <w:vertAlign w:val="superscript"/>
        </w:rPr>
        <w:t xml:space="preserve">,</w:t>
      </w:r>
      <w:hyperlink w:anchor="ref-Little2020">
        <w:r>
          <w:rPr>
            <w:rStyle w:val="Hyperlink"/>
            <w:vertAlign w:val="superscript"/>
          </w:rPr>
          <w:t xml:space="preserve">29</w:t>
        </w:r>
      </w:hyperlink>
      <w:r>
        <w:t xml:space="preserve"> </w:t>
      </w:r>
      <w:r>
        <w:t xml:space="preserve"> </w:t>
      </w:r>
      <w:r>
        <w:t xml:space="preserve">The use of recycled material as raw material or blended with virgin material is a method of special interest for sustainable manufacturing.</w:t>
      </w:r>
      <w:hyperlink w:anchor="ref-Zhao2018">
        <w:r>
          <w:rPr>
            <w:rStyle w:val="Hyperlink"/>
            <w:vertAlign w:val="superscript"/>
          </w:rPr>
          <w:t xml:space="preserve">30</w:t>
        </w:r>
      </w:hyperlink>
      <w:r>
        <w:t xml:space="preserve"> </w:t>
      </w:r>
      <w:r>
        <w:t xml:space="preserve"> </w:t>
      </w:r>
      <w:r>
        <w:t xml:space="preserve">In the DRAM methodology, consumers have an economic incentive to recycle.</w:t>
      </w:r>
      <w:r>
        <w:t xml:space="preserve"> </w:t>
      </w:r>
      <w:r>
        <w:t xml:space="preserve">This is because they can use their waste as feedstock for a wide range of products saving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hyperlink w:anchor="ref-Petrovic2011">
        <w:r>
          <w:rPr>
            <w:rStyle w:val="Hyperlink"/>
            <w:vertAlign w:val="superscript"/>
          </w:rPr>
          <w:t xml:space="preserve">31</w:t>
        </w:r>
      </w:hyperlink>
      <w:r>
        <w:t xml:space="preserve"> </w:t>
      </w:r>
      <w:r>
        <w:t xml:space="preserve">Currently, most of the cost of 3D printing is associated with filament.</w:t>
      </w:r>
      <w:hyperlink w:anchor="ref-Wittbrodt2013">
        <w:r>
          <w:rPr>
            <w:rStyle w:val="Hyperlink"/>
            <w:vertAlign w:val="superscript"/>
          </w:rPr>
          <w:t xml:space="preserve">32</w:t>
        </w:r>
      </w:hyperlink>
      <w:r>
        <w:t xml:space="preserve"> </w:t>
      </w:r>
      <w:r>
        <w:t xml:space="preserve">Moreover, by recycling raw materials, the emissions of carbon dioxide can be reduced in the transport to landfills or shipping to customers offering environmental benefits.</w:t>
      </w:r>
      <w:hyperlink w:anchor="ref-Santander2020">
        <w:r>
          <w:rPr>
            <w:rStyle w:val="Hyperlink"/>
            <w:vertAlign w:val="superscript"/>
          </w:rPr>
          <w:t xml:space="preserve">33</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25</w:t>
        </w:r>
      </w:hyperlink>
      <w:r>
        <w:t xml:space="preserve"> </w:t>
      </w:r>
      <w:r>
        <w:t xml:space="preserve"> </w:t>
      </w:r>
      <w:r>
        <w:t xml:space="preserve">Several authors have worked on the PLA recycling for a certain number of cycles.</w:t>
      </w:r>
      <w:hyperlink w:anchor="ref-Zhao2018">
        <w:r>
          <w:rPr>
            <w:rStyle w:val="Hyperlink"/>
            <w:vertAlign w:val="superscript"/>
          </w:rPr>
          <w:t xml:space="preserve">30</w:t>
        </w:r>
      </w:hyperlink>
      <w:r>
        <w:rPr>
          <w:vertAlign w:val="superscript"/>
        </w:rPr>
        <w:t xml:space="preserve">,</w:t>
      </w:r>
      <w:hyperlink w:anchor="ref-CruzSanchez2017">
        <w:r>
          <w:rPr>
            <w:rStyle w:val="Hyperlink"/>
            <w:vertAlign w:val="superscript"/>
          </w:rPr>
          <w:t xml:space="preserve">34</w:t>
        </w:r>
      </w:hyperlink>
      <w:r>
        <w:rPr>
          <w:vertAlign w:val="superscript"/>
        </w:rPr>
        <w:t xml:space="preserve">,</w:t>
      </w:r>
      <w:hyperlink w:anchor="ref-Lanzotti2019">
        <w:r>
          <w:rPr>
            <w:rStyle w:val="Hyperlink"/>
            <w:vertAlign w:val="superscript"/>
          </w:rPr>
          <w:t xml:space="preserve">35</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of the cold crystallization enthalpy are attributed to the 3D printing process, not to the extrusion performed during the extrusion process.</w:t>
      </w:r>
      <w:r>
        <w:t xml:space="preserve"> </w:t>
      </w:r>
      <w:r>
        <w:t xml:space="preserve"> </w:t>
      </w:r>
      <w:r>
        <w:t xml:space="preserve">Similarly, Kumar et al</w:t>
      </w:r>
      <w:hyperlink w:anchor="ref-Kumar2018b">
        <w:r>
          <w:rPr>
            <w:rStyle w:val="Hyperlink"/>
            <w:vertAlign w:val="superscript"/>
          </w:rPr>
          <w:t xml:space="preserve">27</w:t>
        </w:r>
      </w:hyperlink>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 </w:t>
      </w:r>
      <w:r>
        <w:t xml:space="preserve"> </w:t>
      </w:r>
      <w:r>
        <w:t xml:space="preserve"> </w:t>
      </w:r>
      <w:r>
        <w:t xml:space="preserve">The recycling of PLA has certain limitations because of reducing the molecular weight with its reuse, resulting in degradation and decrease of mechanical properties.</w:t>
      </w:r>
      <w:hyperlink w:anchor="ref-Pinho2020">
        <w:r>
          <w:rPr>
            <w:rStyle w:val="Hyperlink"/>
            <w:vertAlign w:val="superscript"/>
          </w:rPr>
          <w:t xml:space="preserve">36</w:t>
        </w:r>
      </w:hyperlink>
      <w:r>
        <w:t xml:space="preserve"> </w:t>
      </w:r>
      <w:r>
        <w:t xml:space="preserve"> </w:t>
      </w:r>
      <w:r>
        <w:t xml:space="preserve">Viscosity is reduced with each printing cycle, but it could be corrected by adding virgin plastic.</w:t>
      </w:r>
      <w:hyperlink w:anchor="ref-Zhao2018a">
        <w:r>
          <w:rPr>
            <w:rStyle w:val="Hyperlink"/>
            <w:vertAlign w:val="superscript"/>
          </w:rPr>
          <w:t xml:space="preserve">28</w:t>
        </w:r>
      </w:hyperlink>
      <w:r>
        <w:rPr>
          <w:vertAlign w:val="superscript"/>
        </w:rPr>
        <w:t xml:space="preserve">,</w:t>
      </w:r>
      <w:hyperlink w:anchor="ref-Zhao2018">
        <w:r>
          <w:rPr>
            <w:rStyle w:val="Hyperlink"/>
            <w:vertAlign w:val="superscript"/>
          </w:rPr>
          <w:t xml:space="preserve">30</w:t>
        </w:r>
      </w:hyperlink>
      <w:r>
        <w:t xml:space="preserve"> </w:t>
      </w:r>
      <w:r>
        <w:t xml:space="preserve">Babagowda et al.</w:t>
      </w:r>
      <w:hyperlink w:anchor="ref-Babagowda2018">
        <w:r>
          <w:rPr>
            <w:rStyle w:val="Hyperlink"/>
            <w:vertAlign w:val="superscript"/>
          </w:rPr>
          <w:t xml:space="preserve">37</w:t>
        </w:r>
      </w:hyperlink>
      <w:r>
        <w:t xml:space="preserve"> </w:t>
      </w:r>
      <w:r>
        <w:t xml:space="preserve">studied the influence of the percentage of recycled PLA used in the filament (i.e., 10 to 50 %) showing that the smaller the percentage the higher the ultimate tensile strength.</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Hyperlink"/>
            <w:vertAlign w:val="superscript"/>
          </w:rPr>
          <w:t xml:space="preserve">30</w:t>
        </w:r>
      </w:hyperlink>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3.1</w:t>
      </w:r>
      <w:r>
        <w:t xml:space="preserve">.</w:t>
      </w:r>
      <w:r>
        <w:t xml:space="preserve"> </w:t>
      </w:r>
      <w:r>
        <w:t xml:space="preserve">The recycled PLA contained 10 % of virgin PLA in the blend.</w:t>
      </w:r>
    </w:p>
    <w:p>
      <w:pPr>
        <w:pStyle w:val="TableCaption"/>
      </w:pPr>
      <w:r>
        <w:t xml:space="preserve">Table 3.1:</w:t>
      </w:r>
      <w:r>
        <w:t xml:space="preserve"> </w:t>
      </w:r>
      <w:bookmarkStart w:id="239135d3-fe61-4e3c-9bf3-001a5ed5677a" w:name="tab:tabla1"/>
      <w:r>
        <w:t xml:space="preserve">Characterization and processing conditions of the used PLA and recycled PLA</w:t>
      </w:r>
      <w:bookmarkEnd w:id="239135d3-fe61-4e3c-9bf3-001a5ed5677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Figure</w:t>
      </w:r>
      <w:r>
        <w:t xml:space="preserve"> </w:t>
      </w:r>
      <w:r>
        <w:t xml:space="preserve">3.1</w:t>
      </w:r>
      <w:r>
        <w:t xml:space="preserve">a, using the Ultimaker Cura 3.2.1 software.</w:t>
      </w:r>
      <w:r>
        <w:t xml:space="preserve"> </w:t>
      </w:r>
      <w:r>
        <w:t xml:space="preserve"> </w:t>
      </w:r>
      <w:r>
        <w:t xml:space="preserve">For tensile testing, a MTS Criterion 43 universal testing machine (Figure</w:t>
      </w:r>
      <w:r>
        <w:t xml:space="preserve"> </w:t>
      </w:r>
      <w:r>
        <w:t xml:space="preserve">3.1</w:t>
      </w:r>
      <w:r>
        <w:t xml:space="preserve">b) was used selecting a strain rate of 0.5 mm/min.</w:t>
      </w:r>
    </w:p>
    <w:p>
      <w:pPr>
        <w:pStyle w:val="BodyText"/>
      </w:pPr>
      <w:r>
        <w:t xml:space="preserve">The mechanical samples were manufactured according to the dimensions depicted in Figure</w:t>
      </w:r>
      <w:r>
        <w:t xml:space="preserve"> </w:t>
      </w:r>
      <w:r>
        <w:t xml:space="preserve">3.1</w:t>
      </w:r>
      <w:r>
        <w:t xml:space="preserve">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The experimental plan included three different phases (Figure</w:t>
      </w:r>
      <w:r>
        <w:t xml:space="preserve"> </w:t>
      </w:r>
      <w:r>
        <w:t xml:space="preserve">3.2</w:t>
      </w:r>
      <w:r>
        <w:t xml:space="preserve">) to carry out a comprehensive study with a limited number of tests that do not compromise the reliability of the results.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w:t>
      </w:r>
      <w:r>
        <w:t xml:space="preserve"> </w:t>
      </w:r>
      <w:r>
        <w:t xml:space="preserve">The use of fractional designs is useful for minimizing the number of tests, being used as screening designs.</w:t>
      </w:r>
      <w:r>
        <w:t xml:space="preserve"> </w:t>
      </w:r>
      <w:r>
        <w:t xml:space="preserve">The response variable chosen was the maximum load attained during the testing of the specimen.</w:t>
      </w:r>
      <w:hyperlink w:anchor="ref-Kumar2018b">
        <w:r>
          <w:rPr>
            <w:rStyle w:val="Hyperlink"/>
            <w:vertAlign w:val="superscript"/>
          </w:rPr>
          <w:t xml:space="preserve">27</w:t>
        </w:r>
      </w:hyperlink>
      <w:r>
        <w:rPr>
          <w:vertAlign w:val="superscript"/>
        </w:rPr>
        <w:t xml:space="preserve">,</w:t>
      </w:r>
      <w:hyperlink w:anchor="ref-Chacon2017">
        <w:r>
          <w:rPr>
            <w:rStyle w:val="Hyperlink"/>
            <w:vertAlign w:val="superscript"/>
          </w:rPr>
          <w:t xml:space="preserve">38</w:t>
        </w:r>
      </w:hyperlink>
      <w:r>
        <w:t xml:space="preserve"> </w:t>
      </w:r>
      <w:r>
        <w:t xml:space="preserve">The design included only specimens printed in the horizontal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39</w:t>
        </w:r>
      </w:hyperlink>
      <w:r>
        <w:t xml:space="preserve"> </w:t>
      </w:r>
      <w:r>
        <w:t xml:space="preserve">Based on the literature research presented in section</w:t>
      </w:r>
      <w:r>
        <w:t xml:space="preserve"> </w:t>
      </w:r>
      <w:r>
        <w:t xml:space="preserve">2</w:t>
      </w:r>
      <w:r>
        <w:t xml:space="preserve">, the critical parameters for the study are the</w:t>
      </w:r>
      <w:r>
        <w:t xml:space="preserve"> </w:t>
      </w:r>
      <w:r>
        <w:t xml:space="preserve">(1) layer height (0.15 and 0.3 mm) and (2) infill pattern (tri-hexagonal and grid).</w:t>
      </w:r>
      <w:r>
        <w:t xml:space="preserve"> </w:t>
      </w:r>
      <w:r>
        <w:t xml:space="preserve">In addition, taking into account the goal of sustainable manufacturing (i.e., optimization of the consumption of material), but also productivity (i.e., minimizing the printing times),</w:t>
      </w:r>
      <w:r>
        <w:t xml:space="preserve"> </w:t>
      </w:r>
      <w:r>
        <w:t xml:space="preserve">(3) infill density (60 and 100%) and (4) printing speed (40 and 80 mm/s) were considered.</w:t>
      </w:r>
    </w:p>
    <w:p>
      <w:pPr>
        <w:numPr>
          <w:ilvl w:val="0"/>
          <w:numId w:val="1001"/>
        </w:numPr>
        <w:pStyle w:val="Compact"/>
      </w:pPr>
      <w:r>
        <w:t xml:space="preserve">infill density -ID- and (4) printing speed -PS- were considered.</w:t>
      </w:r>
      <w:hyperlink w:anchor="ref-Singh2019">
        <w:r>
          <w:rPr>
            <w:rStyle w:val="Hyperlink"/>
            <w:vertAlign w:val="superscript"/>
          </w:rPr>
          <w:t xml:space="preserve">40</w:t>
        </w:r>
      </w:hyperlink>
      <w:r>
        <w:rPr>
          <w:vertAlign w:val="superscript"/>
        </w:rPr>
        <w:t xml:space="preserve">,</w:t>
      </w:r>
      <w:hyperlink w:anchor="ref-Tanveer2019">
        <w:r>
          <w:rPr>
            <w:rStyle w:val="Hyperlink"/>
            <w:vertAlign w:val="superscript"/>
          </w:rPr>
          <w:t xml:space="preserve">41</w:t>
        </w:r>
      </w:hyperlink>
      <w:r>
        <w:t xml:space="preserve"> </w:t>
      </w:r>
      <w:r>
        <w:t xml:space="preserve">These four factors were selected using two levels for each of them with large ranges.</w:t>
      </w:r>
      <w:r>
        <w:t xml:space="preserve"> </w:t>
      </w:r>
      <w:r>
        <w:t xml:space="preserve">The printing temperature was 210 °C, which was the recommended for PLA material. This phase ends with an analysis of variance (ANOVA) to identify the influential factors on the response variable.</w:t>
      </w:r>
    </w:p>
    <w:p>
      <w:pPr>
        <w:pStyle w:val="FirstParagraph"/>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w:t>
      </w:r>
      <w:r>
        <w:t xml:space="preserve"> </w:t>
      </w:r>
      <w:r>
        <w:t xml:space="preserve">The intent is to make a focus on how the response variable evolves by varying the most influential factor.</w:t>
      </w:r>
      <w:r>
        <w:t xml:space="preserve"> </w:t>
      </w:r>
      <w:r>
        <w:t xml:space="preserve">For that reason, an extension of the factor levels was established.</w:t>
      </w:r>
      <w:r>
        <w:t xml:space="preserve"> </w:t>
      </w:r>
      <w:r>
        <w:t xml:space="preserve">Similarly, the criteria selection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based on the printing orientation, which may notably affect the mechanical resistance.</w:t>
      </w:r>
      <w:r>
        <w:t xml:space="preserve"> </w:t>
      </w:r>
      <w:r>
        <w:t xml:space="preserve">Because of the anisotropy, the UNE 116005:2012</w:t>
      </w:r>
      <w:hyperlink w:anchor="ref-UNE">
        <w:r>
          <w:rPr>
            <w:rStyle w:val="Hyperlink"/>
            <w:vertAlign w:val="superscript"/>
          </w:rPr>
          <w:t xml:space="preserve">42</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020433c3-59e7-45de-9dfa-81a2a55f86c2" w:name="tab:phase1"/>
      <w:r>
        <w:t xml:space="preserve">Results of the Phase I</w:t>
      </w:r>
      <w:bookmarkEnd w:id="020433c3-59e7-45de-9dfa-81a2a55f86c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3.49</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22</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types of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4.2:</w:t>
      </w:r>
      <w:r>
        <w:t xml:space="preserve"> </w:t>
      </w:r>
      <w:bookmarkStart w:id="c81ebc56-1720-4b39-8697-bd0063765eae" w:name="tab:anova-phase1"/>
      <w:r>
        <w:t xml:space="preserve">ANOVA results at 95\% significance level.</w:t>
      </w:r>
      <w:bookmarkEnd w:id="c81ebc56-1720-4b39-8697-bd0063765ea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bl>
    <w:p>
      <w:pPr>
        <w:pStyle w:val="BodyText"/>
      </w:pPr>
      <w:r>
        <w:t xml:space="preserve">An ANOVA was performed using R software in order to identify the influential factors on the response variable.</w:t>
      </w:r>
      <w:r>
        <w:br/>
      </w:r>
      <w:r>
        <w:t xml:space="preserve">As criterion, critical factors for the response variable were those with p-values lower than 0.05.</w:t>
      </w:r>
      <w:r>
        <w:br/>
      </w:r>
      <w:r>
        <w:t xml:space="preserve">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and the Table</w:t>
      </w:r>
      <w:r>
        <w:t xml:space="preserve"> </w:t>
      </w:r>
      <w:r>
        <w:t xml:space="preserve">4.2</w:t>
      </w:r>
      <w:r>
        <w:t xml:space="preserve"> </w:t>
      </w:r>
      <w:r>
        <w:t xml:space="preserve">lists the ANOVA.</w:t>
      </w:r>
      <w:r>
        <w:t xml:space="preserve"> </w:t>
      </w:r>
      <w:r>
        <w:t xml:space="preserve">Thus, it can be clearly identified how only the infill density (lowest p-value) and the type of material were statistically significant factors for the maximum load.</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infill density is a key factor for guaranteeing adequate mechanical properties.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to evaluate in more detail the influence of infill density on the mechanical resistance based on Phase I.</w:t>
      </w:r>
      <w:r>
        <w:t xml:space="preserve"> </w:t>
      </w:r>
      <w:r>
        <w:t xml:space="preserve">Therefore, five levels of the infill density were chosen: 40, 55, 70, 85 and 100%.</w:t>
      </w:r>
      <w:r>
        <w:t xml:space="preserve"> </w:t>
      </w:r>
      <w:r>
        <w:t xml:space="preserve">Regarding the selection of the other printing parameters, the main criteria was the reduction of the printing time.</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materials is illustrated.</w:t>
      </w:r>
    </w:p>
    <w:p>
      <w:pPr>
        <w:pStyle w:val="BodyText"/>
      </w:pPr>
      <w:r>
        <w:t xml:space="preserve">From Figure</w:t>
      </w:r>
      <w:r>
        <w:t xml:space="preserve"> </w:t>
      </w:r>
      <w:r>
        <w:t xml:space="preserve">4.3</w:t>
      </w:r>
      <w:r>
        <w:t xml:space="preserve">, it is possible to appreciate that there are two different regions.</w:t>
      </w:r>
      <w:r>
        <w:t xml:space="preserve"> </w:t>
      </w:r>
      <w:r>
        <w:t xml:space="preserve">In the A region, infill densities from 40 to 80 %, the slope of the curve grows slowly with an approximately linear.</w:t>
      </w:r>
      <w:r>
        <w:t xml:space="preserve"> </w:t>
      </w:r>
      <w:r>
        <w:t xml:space="preserve">Moreover, in the B region, from 80 to 100% the increase of the mechanical resistance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34</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43</w:t>
        </w:r>
      </w:hyperlink>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an infill density from 100 to 40% implies a relatively limited reduction, in average 41.7%, of the maximum load supported for both types of materials.</w:t>
      </w:r>
      <w:r>
        <w:t xml:space="preserve"> </w:t>
      </w:r>
      <w:r>
        <w:t xml:space="preserve">Although the number of measured points is reduced, it is possible to model the relation between the maximum load versus the infill density for the two tested materials by means of polynomial regressions that are plotted in the figure.</w:t>
      </w:r>
      <w:r>
        <w:t xml:space="preserve"> </w:t>
      </w:r>
      <w:r>
        <w:t xml:space="preserve">The models may help to anticipate the mechanical resistance of a part based on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44</w:t>
        </w:r>
      </w:hyperlink>
      <w:r>
        <w:t xml:space="preserve"> </w:t>
      </w:r>
      <w:r>
        <w:t xml:space="preserve">standard.</w:t>
      </w:r>
      <w:r>
        <w:t xml:space="preserve"> </w:t>
      </w:r>
      <w:r>
        <w:t xml:space="preserve">Five specimens for each of the orientations (edgewise, horizontal and vertical) for both materials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w:t>
      </w:r>
      <w:hyperlink w:anchor="ref-Corapi2019">
        <w:r>
          <w:rPr>
            <w:rStyle w:val="Hyperlink"/>
            <w:vertAlign w:val="superscript"/>
          </w:rPr>
          <w:t xml:space="preserve">45</w:t>
        </w:r>
      </w:hyperlink>
      <w:r>
        <w:t xml:space="preserve"> </w:t>
      </w:r>
      <w:r>
        <w:t xml:space="preserve">and Wang et al..</w:t>
      </w:r>
      <w:hyperlink w:anchor="ref-Wang2020h">
        <w:r>
          <w:rPr>
            <w:rStyle w:val="Hyperlink"/>
            <w:vertAlign w:val="superscript"/>
          </w:rPr>
          <w:t xml:space="preserve">43</w:t>
        </w:r>
      </w:hyperlink>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46</w:t>
        </w:r>
      </w:hyperlink>
      <w:r>
        <w:t xml:space="preserve"> </w:t>
      </w:r>
      <w:r>
        <w:t xml:space="preserve">The use of 3D printing technology for prototyping is not excepted of this societal issue.</w:t>
      </w:r>
      <w:r>
        <w:t xml:space="preserve"> </w:t>
      </w:r>
      <w:r>
        <w:t xml:space="preserve">The main purpose of this article is to assess to what extent the influence of the printing parameters affects the tensile resistance.</w:t>
      </w:r>
      <w:r>
        <w:t xml:space="preserve"> </w:t>
      </w:r>
      <w:r>
        <w:t xml:space="preserve">While a large literature is focused on the optimization of the parameters for obtaining functional objects using 100% infill density, the approach made here is to observe the influence of a large range of factors considered as critical within conventional printing ranges.</w:t>
      </w:r>
      <w:r>
        <w:t xml:space="preserve"> </w:t>
      </w:r>
      <w:r>
        <w:t xml:space="preserve">This approach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47</w:t>
        </w:r>
      </w:hyperlink>
      <w:r>
        <w:t xml:space="preserve"> </w:t>
      </w:r>
      <w:r>
        <w:t xml:space="preserve">Also, there is a great development of applications using distributed recycling approaches. For instance, Nur-A-Tomal et al</w:t>
      </w:r>
      <w:hyperlink w:anchor="ref-Nur-A-Tomal2020">
        <w:r>
          <w:rPr>
            <w:rStyle w:val="Hyperlink"/>
            <w:vertAlign w:val="superscript"/>
          </w:rPr>
          <w:t xml:space="preserve">48</w:t>
        </w:r>
      </w:hyperlink>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13</w:t>
        </w:r>
      </w:hyperlink>
      <w:r>
        <w:rPr>
          <w:vertAlign w:val="superscript"/>
        </w:rPr>
        <w:t xml:space="preserve">,</w:t>
      </w:r>
      <w:hyperlink w:anchor="ref-Sauerwein2019">
        <w:r>
          <w:rPr>
            <w:rStyle w:val="Hyperlink"/>
            <w:vertAlign w:val="superscript"/>
          </w:rPr>
          <w:t xml:space="preserve">49</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confirm the main findings.</w:t>
      </w:r>
      <w:r>
        <w:t xml:space="preserve"> </w:t>
      </w:r>
      <w:r>
        <w:t xml:space="preserve">Moreover, other factors are needed in order to consider the quality of a prototype in terms of the aesthetic design, dimensional accuracy and surface quality</w:t>
      </w:r>
      <w:hyperlink w:anchor="ref-Jin2017">
        <w:r>
          <w:rPr>
            <w:rStyle w:val="Hyperlink"/>
            <w:vertAlign w:val="superscript"/>
          </w:rPr>
          <w:t xml:space="preserve">50</w:t>
        </w:r>
      </w:hyperlink>
      <w:r>
        <w:t xml:space="preserve"> </w:t>
      </w:r>
      <w:r>
        <w:t xml:space="preserve">in addition to the mechanical resistance in the prototypes where the main goal is the user acceptability.</w:t>
      </w:r>
      <w:hyperlink w:anchor="ref-Sauer2009">
        <w:r>
          <w:rPr>
            <w:rStyle w:val="Hyperlink"/>
            <w:vertAlign w:val="superscript"/>
          </w:rPr>
          <w:t xml:space="preserve">51</w:t>
        </w:r>
      </w:hyperlink>
      <w:r>
        <w:rPr>
          <w:vertAlign w:val="superscript"/>
        </w:rPr>
        <w:t xml:space="preserve">,</w:t>
      </w:r>
      <w:hyperlink w:anchor="ref-Sauer2010">
        <w:r>
          <w:rPr>
            <w:rStyle w:val="Hyperlink"/>
            <w:vertAlign w:val="superscript"/>
          </w:rPr>
          <w:t xml:space="preserve">52</w:t>
        </w:r>
      </w:hyperlink>
      <w:r>
        <w:t xml:space="preserve"> </w:t>
      </w:r>
      <w:r>
        <w:t xml:space="preserve">Nevertheless, this is an ongoing research in which the main purpose is the statistical validation of the minimal conditions to promote the use of recycled materials in prototyping.</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was the infill density.</w:t>
      </w:r>
      <w:r>
        <w:br/>
      </w:r>
      <w:r>
        <w:t xml:space="preserve">The influence of the infill density on the maximum load allowed identifying two different regions: from 40 to 80%, linear behavior with a slight slope, and from 80 to 100 % where the maximum load increases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is of great importance because of the anisotropy.</w:t>
      </w:r>
      <w:r>
        <w:t xml:space="preserve"> </w:t>
      </w:r>
      <w:r>
        <w:t xml:space="preserve">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advancing towards sustainable manufacturing. It was found that using an infill density of 40%, there is a retention of the 58.1% of the mechanical resistance.</w:t>
      </w:r>
      <w:r>
        <w:t xml:space="preserve"> </w:t>
      </w:r>
      <w:r>
        <w:t xml:space="preserve">Despite recycled PLA offers a slightly lower mechanical resistance, by properly selecting the printing conditions, it could be close to that of the virgin PLA.</w:t>
      </w:r>
      <w:r>
        <w:t xml:space="preserve"> </w:t>
      </w:r>
      <w:r>
        <w:t xml:space="preserve">Particularly, when using the edgewise and horizontal orientations, (ie., from 3 to 8%).</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03" w:name="references"/>
    <w:p>
      <w:pPr>
        <w:pStyle w:val="Heading1"/>
      </w:pPr>
      <w:r>
        <w:t xml:space="preserve">References</w:t>
      </w:r>
    </w:p>
    <w:bookmarkStart w:id="102" w:name="refs"/>
    <w:bookmarkStart w:id="48"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8"/>
    <w:bookmarkStart w:id="49" w:name="ref-Askari2020"/>
    <w:p>
      <w:pPr>
        <w:pStyle w:val="Bibliography"/>
      </w:pPr>
      <w:r>
        <w:t xml:space="preserve">2.</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
        </w:rPr>
        <w:t xml:space="preserve">Addit Manuf</w:t>
      </w:r>
      <w:r>
        <w:t xml:space="preserve"> </w:t>
      </w:r>
      <w:r>
        <w:t xml:space="preserve">2020; 36: 101562.</w:t>
      </w:r>
    </w:p>
    <w:bookmarkEnd w:id="49"/>
    <w:bookmarkStart w:id="50" w:name="ref-Wang2020f"/>
    <w:p>
      <w:pPr>
        <w:pStyle w:val="Bibliography"/>
      </w:pPr>
      <w:r>
        <w:t xml:space="preserve">3.</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2020; 161: 120251.</w:t>
      </w:r>
    </w:p>
    <w:bookmarkEnd w:id="50"/>
    <w:bookmarkStart w:id="51" w:name="ref-Niaki2019"/>
    <w:p>
      <w:pPr>
        <w:pStyle w:val="Bibliography"/>
      </w:pPr>
      <w:r>
        <w:t xml:space="preserve">4.</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2019; 222: 381–392.</w:t>
      </w:r>
    </w:p>
    <w:bookmarkEnd w:id="51"/>
    <w:bookmarkStart w:id="52" w:name="ref-Peng2018"/>
    <w:p>
      <w:pPr>
        <w:pStyle w:val="Bibliography"/>
      </w:pPr>
      <w:r>
        <w:t xml:space="preserve">5.</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2018; 21: 694–704.</w:t>
      </w:r>
    </w:p>
    <w:bookmarkEnd w:id="52"/>
    <w:bookmarkStart w:id="53" w:name="ref-Despeisse2016"/>
    <w:p>
      <w:pPr>
        <w:pStyle w:val="Bibliography"/>
      </w:pPr>
      <w:r>
        <w:t xml:space="preserve">6.</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2017; 115: 75–84.</w:t>
      </w:r>
    </w:p>
    <w:bookmarkEnd w:id="53"/>
    <w:bookmarkStart w:id="54" w:name="ref-GonzalezHenriquez2019"/>
    <w:p>
      <w:pPr>
        <w:pStyle w:val="Bibliography"/>
      </w:pPr>
      <w:r>
        <w:t xml:space="preserve">7.</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2019; 94: 57–116.</w:t>
      </w:r>
    </w:p>
    <w:bookmarkEnd w:id="54"/>
    <w:bookmarkStart w:id="55" w:name="ref-Ryberg2019"/>
    <w:p>
      <w:pPr>
        <w:pStyle w:val="Bibliography"/>
      </w:pPr>
      <w:r>
        <w:t xml:space="preserve">8.</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
        </w:rPr>
        <w:t xml:space="preserve">Resour Conserv Recycl</w:t>
      </w:r>
      <w:r>
        <w:t xml:space="preserve"> </w:t>
      </w:r>
      <w:r>
        <w:t xml:space="preserve">2019; 151: 104459.</w:t>
      </w:r>
    </w:p>
    <w:bookmarkEnd w:id="55"/>
    <w:bookmarkStart w:id="56" w:name="ref-Elverum2016"/>
    <w:p>
      <w:pPr>
        <w:pStyle w:val="Bibliography"/>
      </w:pPr>
      <w:r>
        <w:t xml:space="preserve">9.</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
        </w:rPr>
        <w:t xml:space="preserve">Procedia CIRP</w:t>
      </w:r>
      <w:r>
        <w:t xml:space="preserve"> </w:t>
      </w:r>
      <w:r>
        <w:t xml:space="preserve">2016; 50: 117–122.</w:t>
      </w:r>
    </w:p>
    <w:bookmarkEnd w:id="56"/>
    <w:bookmarkStart w:id="57" w:name="ref-Menold2017"/>
    <w:p>
      <w:pPr>
        <w:pStyle w:val="Bibliography"/>
      </w:pPr>
      <w:r>
        <w:t xml:space="preserve">10.</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2017; 50: 70–112.</w:t>
      </w:r>
    </w:p>
    <w:bookmarkEnd w:id="57"/>
    <w:bookmarkStart w:id="59" w:name="ref-Hansen2020"/>
    <w:p>
      <w:pPr>
        <w:pStyle w:val="Bibliography"/>
      </w:pPr>
      <w:r>
        <w:t xml:space="preserve">11.</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
        </w:rPr>
        <w:t xml:space="preserve">J Mech Des</w:t>
      </w:r>
      <w:r>
        <w:t xml:space="preserve">; 142. Epub ahead of print March 2020. DOI:</w:t>
      </w:r>
      <w:r>
        <w:t xml:space="preserve"> </w:t>
      </w:r>
      <w:hyperlink r:id="rId58">
        <w:r>
          <w:rPr>
            <w:rStyle w:val="Hyperlink"/>
          </w:rPr>
          <w:t xml:space="preserve">10.1115/1.4045385</w:t>
        </w:r>
      </w:hyperlink>
      <w:r>
        <w:t xml:space="preserve">.</w:t>
      </w:r>
    </w:p>
    <w:bookmarkEnd w:id="59"/>
    <w:bookmarkStart w:id="60" w:name="ref-Campbell2012"/>
    <w:p>
      <w:pPr>
        <w:pStyle w:val="Bibliography"/>
      </w:pPr>
      <w:r>
        <w:t xml:space="preserve">12.</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
        </w:rPr>
        <w:t xml:space="preserve">Rapid Prototyp J</w:t>
      </w:r>
      <w:r>
        <w:t xml:space="preserve"> </w:t>
      </w:r>
      <w:r>
        <w:t xml:space="preserve">2012; 18: 255–258.</w:t>
      </w:r>
    </w:p>
    <w:bookmarkEnd w:id="60"/>
    <w:bookmarkStart w:id="61" w:name="ref-CruzSanchez2020"/>
    <w:p>
      <w:pPr>
        <w:pStyle w:val="Bibliography"/>
      </w:pPr>
      <w:r>
        <w:t xml:space="preserve">13.</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2020; 264: 121602.</w:t>
      </w:r>
    </w:p>
    <w:bookmarkEnd w:id="61"/>
    <w:bookmarkStart w:id="62" w:name="ref-Laureto2018"/>
    <w:p>
      <w:pPr>
        <w:pStyle w:val="Bibliography"/>
      </w:pPr>
      <w:r>
        <w:t xml:space="preserve">14.</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2018; 68: 294–301.</w:t>
      </w:r>
    </w:p>
    <w:bookmarkEnd w:id="62"/>
    <w:bookmarkStart w:id="63" w:name="ref-Popescu2018"/>
    <w:p>
      <w:pPr>
        <w:pStyle w:val="Bibliography"/>
      </w:pPr>
      <w:r>
        <w:t xml:space="preserve">15.</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2018; 69: 157–166.</w:t>
      </w:r>
    </w:p>
    <w:bookmarkEnd w:id="63"/>
    <w:bookmarkStart w:id="64" w:name="ref-Rebaioli2017"/>
    <w:p>
      <w:pPr>
        <w:pStyle w:val="Bibliography"/>
      </w:pPr>
      <w:r>
        <w:t xml:space="preserve">16.</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2017; 93: 2571–2598.</w:t>
      </w:r>
    </w:p>
    <w:bookmarkEnd w:id="64"/>
    <w:bookmarkStart w:id="65" w:name="ref-CruzSanchez2014"/>
    <w:p>
      <w:pPr>
        <w:pStyle w:val="Bibliography"/>
      </w:pPr>
      <w:r>
        <w:t xml:space="preserve">17.</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2014; 9: 151–167.</w:t>
      </w:r>
    </w:p>
    <w:bookmarkEnd w:id="65"/>
    <w:bookmarkStart w:id="66" w:name="ref-Roberson2013"/>
    <w:p>
      <w:pPr>
        <w:pStyle w:val="Bibliography"/>
      </w:pPr>
      <w:r>
        <w:t xml:space="preserve">18.</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
        </w:rPr>
        <w:t xml:space="preserve">Virtual Phys Prototyp</w:t>
      </w:r>
      <w:r>
        <w:t xml:space="preserve"> </w:t>
      </w:r>
      <w:r>
        <w:t xml:space="preserve">2013; 8: 201–212.</w:t>
      </w:r>
    </w:p>
    <w:bookmarkEnd w:id="66"/>
    <w:bookmarkStart w:id="67" w:name="ref-JaisinghSheoran2019"/>
    <w:p>
      <w:pPr>
        <w:pStyle w:val="Bibliography"/>
      </w:pPr>
      <w:r>
        <w:t xml:space="preserve">19.</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
        </w:rPr>
        <w:t xml:space="preserve">Mater. Today proc.</w:t>
      </w:r>
      <w:r>
        <w:t xml:space="preserve">, pp. 1659–1672.</w:t>
      </w:r>
    </w:p>
    <w:bookmarkEnd w:id="67"/>
    <w:bookmarkStart w:id="68" w:name="ref-Tymrak2014a"/>
    <w:p>
      <w:pPr>
        <w:pStyle w:val="Bibliography"/>
      </w:pPr>
      <w:r>
        <w:t xml:space="preserve">20.</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2014; 58: 242–246.</w:t>
      </w:r>
    </w:p>
    <w:bookmarkEnd w:id="68"/>
    <w:bookmarkStart w:id="69" w:name="ref-Altan2018"/>
    <w:p>
      <w:pPr>
        <w:pStyle w:val="Bibliography"/>
      </w:pPr>
      <w:r>
        <w:t xml:space="preserve">21.</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2018; 60: 471–477.</w:t>
      </w:r>
    </w:p>
    <w:bookmarkEnd w:id="69"/>
    <w:bookmarkStart w:id="70" w:name="ref-Yao2019"/>
    <w:p>
      <w:pPr>
        <w:pStyle w:val="Bibliography"/>
      </w:pPr>
      <w:r>
        <w:t xml:space="preserve">22.</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2019; 163: 393–402.</w:t>
      </w:r>
    </w:p>
    <w:bookmarkEnd w:id="70"/>
    <w:bookmarkStart w:id="71" w:name="ref-Alafaghani2018"/>
    <w:p>
      <w:pPr>
        <w:pStyle w:val="Bibliography"/>
      </w:pPr>
      <w:r>
        <w:t xml:space="preserve">23.</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2018; 36: 164–174.</w:t>
      </w:r>
    </w:p>
    <w:bookmarkEnd w:id="71"/>
    <w:bookmarkStart w:id="72" w:name="ref-Ashby2013"/>
    <w:p>
      <w:pPr>
        <w:pStyle w:val="Bibliography"/>
      </w:pPr>
      <w:r>
        <w:t xml:space="preserve">24.</w:t>
      </w:r>
      <w:r>
        <w:t xml:space="preserve"> </w:t>
      </w:r>
      <w:r>
        <w:t xml:space="preserve">	</w:t>
      </w:r>
      <w:r>
        <w:t xml:space="preserve">Ashby MF, Johnson K.</w:t>
      </w:r>
      <w:r>
        <w:t xml:space="preserve"> </w:t>
      </w:r>
      <w:r>
        <w:rPr>
          <w:i/>
        </w:rPr>
        <w:t xml:space="preserve">Materials and design: the art and science of material selection in product design</w:t>
      </w:r>
      <w:r>
        <w:t xml:space="preserve">. Butterworth-Heinemann, 2013.</w:t>
      </w:r>
    </w:p>
    <w:bookmarkEnd w:id="72"/>
    <w:bookmarkStart w:id="73" w:name="ref-Suarez2020"/>
    <w:p>
      <w:pPr>
        <w:pStyle w:val="Bibliography"/>
      </w:pPr>
      <w:r>
        <w:t xml:space="preserve">25.</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2020; 106: 1267–1279.</w:t>
      </w:r>
    </w:p>
    <w:bookmarkEnd w:id="73"/>
    <w:bookmarkStart w:id="74" w:name="ref-Liu2019a"/>
    <w:p>
      <w:pPr>
        <w:pStyle w:val="Bibliography"/>
      </w:pPr>
      <w:r>
        <w:t xml:space="preserve">26.</w:t>
      </w:r>
      <w:r>
        <w:t xml:space="preserve"> </w:t>
      </w:r>
      <w:r>
        <w:t xml:space="preserve">	</w:t>
      </w:r>
      <w:r>
        <w:t xml:space="preserve">Liu J, Sun L, Xu W, et al.</w:t>
      </w:r>
      <w:r>
        <w:t xml:space="preserve"> </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2019; 207: 297–316.</w:t>
      </w:r>
    </w:p>
    <w:bookmarkEnd w:id="74"/>
    <w:bookmarkStart w:id="75" w:name="ref-Kumar2018b"/>
    <w:p>
      <w:pPr>
        <w:pStyle w:val="Bibliography"/>
      </w:pPr>
      <w:r>
        <w:t xml:space="preserve">27.</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2018; 2: 115–137.</w:t>
      </w:r>
    </w:p>
    <w:bookmarkEnd w:id="75"/>
    <w:bookmarkStart w:id="76" w:name="ref-Zhao2018a"/>
    <w:p>
      <w:pPr>
        <w:pStyle w:val="Bibliography"/>
      </w:pPr>
      <w:r>
        <w:t xml:space="preserve">28.</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2018; 441: 381–387.</w:t>
      </w:r>
    </w:p>
    <w:bookmarkEnd w:id="76"/>
    <w:bookmarkStart w:id="77" w:name="ref-Little2020"/>
    <w:p>
      <w:pPr>
        <w:pStyle w:val="Bibliography"/>
      </w:pPr>
      <w:r>
        <w:t xml:space="preserve">29.</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
        </w:rPr>
        <w:t xml:space="preserve">Materials (Basel)</w:t>
      </w:r>
      <w:r>
        <w:t xml:space="preserve"> </w:t>
      </w:r>
      <w:r>
        <w:t xml:space="preserve">2020; 13: 4273.</w:t>
      </w:r>
    </w:p>
    <w:bookmarkEnd w:id="77"/>
    <w:bookmarkStart w:id="78" w:name="ref-Zhao2018"/>
    <w:p>
      <w:pPr>
        <w:pStyle w:val="Bibliography"/>
      </w:pPr>
      <w:r>
        <w:t xml:space="preserve">30.</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2018; 197: 1046–1055.</w:t>
      </w:r>
    </w:p>
    <w:bookmarkEnd w:id="78"/>
    <w:bookmarkStart w:id="79" w:name="ref-Petrovic2011"/>
    <w:p>
      <w:pPr>
        <w:pStyle w:val="Bibliography"/>
      </w:pPr>
      <w:r>
        <w:t xml:space="preserve">31.</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2011; 49: 1061–1079.</w:t>
      </w:r>
    </w:p>
    <w:bookmarkEnd w:id="79"/>
    <w:bookmarkStart w:id="80" w:name="ref-Wittbrodt2013"/>
    <w:p>
      <w:pPr>
        <w:pStyle w:val="Bibliography"/>
      </w:pPr>
      <w:r>
        <w:t xml:space="preserve">32.</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2013; 23: 713–726.</w:t>
      </w:r>
    </w:p>
    <w:bookmarkEnd w:id="80"/>
    <w:bookmarkStart w:id="81" w:name="ref-Santander2020"/>
    <w:p>
      <w:pPr>
        <w:pStyle w:val="Bibliography"/>
      </w:pPr>
      <w:r>
        <w:t xml:space="preserve">33.</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2020; 154: 104531.</w:t>
      </w:r>
    </w:p>
    <w:bookmarkEnd w:id="81"/>
    <w:bookmarkStart w:id="82" w:name="ref-CruzSanchez2017"/>
    <w:p>
      <w:pPr>
        <w:pStyle w:val="Bibliography"/>
      </w:pPr>
      <w:r>
        <w:t xml:space="preserve">34.</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
        </w:rPr>
        <w:t xml:space="preserve">Addit Manuf</w:t>
      </w:r>
      <w:r>
        <w:t xml:space="preserve"> </w:t>
      </w:r>
      <w:r>
        <w:t xml:space="preserve">2017; 17: 87–105.</w:t>
      </w:r>
    </w:p>
    <w:bookmarkEnd w:id="82"/>
    <w:bookmarkStart w:id="83" w:name="ref-Lanzotti2019"/>
    <w:p>
      <w:pPr>
        <w:pStyle w:val="Bibliography"/>
      </w:pPr>
      <w:r>
        <w:t xml:space="preserve">35.</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2019; 79: 143–146.</w:t>
      </w:r>
    </w:p>
    <w:bookmarkEnd w:id="83"/>
    <w:bookmarkStart w:id="84" w:name="ref-Pinho2020"/>
    <w:p>
      <w:pPr>
        <w:pStyle w:val="Bibliography"/>
      </w:pPr>
      <w:r>
        <w:t xml:space="preserve">36.</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2020; 118: 426–434.</w:t>
      </w:r>
    </w:p>
    <w:bookmarkEnd w:id="84"/>
    <w:bookmarkStart w:id="85" w:name="ref-Babagowda2018"/>
    <w:p>
      <w:pPr>
        <w:pStyle w:val="Bibliography"/>
      </w:pPr>
      <w:r>
        <w:t xml:space="preserve">37.</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2018; 310: 012103.</w:t>
      </w:r>
    </w:p>
    <w:bookmarkEnd w:id="85"/>
    <w:bookmarkStart w:id="86" w:name="ref-Chacon2017"/>
    <w:p>
      <w:pPr>
        <w:pStyle w:val="Bibliography"/>
      </w:pPr>
      <w:r>
        <w:t xml:space="preserve">38.</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2017; 124: 143–157.</w:t>
      </w:r>
    </w:p>
    <w:bookmarkEnd w:id="86"/>
    <w:bookmarkStart w:id="87" w:name="ref-Montgomery2001"/>
    <w:p>
      <w:pPr>
        <w:pStyle w:val="Bibliography"/>
      </w:pPr>
      <w:r>
        <w:t xml:space="preserve">39.</w:t>
      </w:r>
      <w:r>
        <w:t xml:space="preserve"> </w:t>
      </w:r>
      <w:r>
        <w:t xml:space="preserve">	</w:t>
      </w:r>
      <w:r>
        <w:t xml:space="preserve">Montgomery DC.</w:t>
      </w:r>
      <w:r>
        <w:t xml:space="preserve"> </w:t>
      </w:r>
      <w:r>
        <w:rPr>
          <w:i/>
        </w:rPr>
        <w:t xml:space="preserve">Design and Analysis of Experiments</w:t>
      </w:r>
      <w:r>
        <w:t xml:space="preserve">. John Wiley; Sons Inc, 2001.</w:t>
      </w:r>
    </w:p>
    <w:bookmarkEnd w:id="87"/>
    <w:bookmarkStart w:id="88" w:name="ref-Singh2019"/>
    <w:p>
      <w:pPr>
        <w:pStyle w:val="Bibliography"/>
      </w:pPr>
      <w:r>
        <w:t xml:space="preserve">40.</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2019; 156: 259–265.</w:t>
      </w:r>
    </w:p>
    <w:bookmarkEnd w:id="88"/>
    <w:bookmarkStart w:id="89" w:name="ref-Tanveer2019"/>
    <w:p>
      <w:pPr>
        <w:pStyle w:val="Bibliography"/>
      </w:pPr>
      <w:r>
        <w:t xml:space="preserve">41.</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2019; 1: 1–12.</w:t>
      </w:r>
    </w:p>
    <w:bookmarkEnd w:id="89"/>
    <w:bookmarkStart w:id="90" w:name="ref-UNE"/>
    <w:p>
      <w:pPr>
        <w:pStyle w:val="Bibliography"/>
      </w:pPr>
      <w:r>
        <w:t xml:space="preserve">42.</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0"/>
    <w:bookmarkStart w:id="91" w:name="ref-Wang2020h"/>
    <w:p>
      <w:pPr>
        <w:pStyle w:val="Bibliography"/>
      </w:pPr>
      <w:r>
        <w:t xml:space="preserve">43.</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2020; 86: 106483.</w:t>
      </w:r>
    </w:p>
    <w:bookmarkEnd w:id="91"/>
    <w:bookmarkStart w:id="92" w:name="ref-Garcia-Dominguez2020"/>
    <w:p>
      <w:pPr>
        <w:pStyle w:val="Bibliography"/>
      </w:pPr>
      <w:r>
        <w:t xml:space="preserve">44.</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2019; 13: 28.</w:t>
      </w:r>
    </w:p>
    <w:bookmarkEnd w:id="92"/>
    <w:bookmarkStart w:id="93" w:name="ref-Corapi2019"/>
    <w:p>
      <w:pPr>
        <w:pStyle w:val="Bibliography"/>
      </w:pPr>
      <w:r>
        <w:t xml:space="preserve">45.</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
        </w:rPr>
        <w:t xml:space="preserve">Procedia struct. integr.</w:t>
      </w:r>
      <w:r>
        <w:t xml:space="preserve"> Elsevier B.V., 2019, pp. 289–295.</w:t>
      </w:r>
    </w:p>
    <w:bookmarkEnd w:id="93"/>
    <w:bookmarkStart w:id="94" w:name="ref-Wagner2020"/>
    <w:p>
      <w:pPr>
        <w:pStyle w:val="Bibliography"/>
      </w:pPr>
      <w:r>
        <w:t xml:space="preserve">46.</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4"/>
    <w:bookmarkStart w:id="95" w:name="ref-Schwarz2021"/>
    <w:p>
      <w:pPr>
        <w:pStyle w:val="Bibliography"/>
      </w:pPr>
      <w:r>
        <w:t xml:space="preserve">47.</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2021; 121: 331–342.</w:t>
      </w:r>
    </w:p>
    <w:bookmarkEnd w:id="95"/>
    <w:bookmarkStart w:id="97" w:name="ref-Nur-A-Tomal2020"/>
    <w:p>
      <w:pPr>
        <w:pStyle w:val="Bibliography"/>
      </w:pPr>
      <w:r>
        <w:t xml:space="preserve">48.</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267. Epub ahead of print 2020. DOI:</w:t>
      </w:r>
      <w:r>
        <w:t xml:space="preserve"> </w:t>
      </w:r>
      <w:hyperlink r:id="rId96">
        <w:r>
          <w:rPr>
            <w:rStyle w:val="Hyperlink"/>
          </w:rPr>
          <w:t xml:space="preserve">10.1016/j.jclepro.2020.122188</w:t>
        </w:r>
      </w:hyperlink>
      <w:r>
        <w:t xml:space="preserve">.</w:t>
      </w:r>
    </w:p>
    <w:bookmarkEnd w:id="97"/>
    <w:bookmarkStart w:id="98" w:name="ref-Sauerwein2019"/>
    <w:p>
      <w:pPr>
        <w:pStyle w:val="Bibliography"/>
      </w:pPr>
      <w:r>
        <w:t xml:space="preserve">49.</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2019; 226: 1138–1149.</w:t>
      </w:r>
    </w:p>
    <w:bookmarkEnd w:id="98"/>
    <w:bookmarkStart w:id="99" w:name="ref-Jin2017"/>
    <w:p>
      <w:pPr>
        <w:pStyle w:val="Bibliography"/>
      </w:pPr>
      <w:r>
        <w:t xml:space="preserve">50.</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2017; 240: 233–239.</w:t>
      </w:r>
    </w:p>
    <w:bookmarkEnd w:id="99"/>
    <w:bookmarkStart w:id="100" w:name="ref-Sauer2009"/>
    <w:p>
      <w:pPr>
        <w:pStyle w:val="Bibliography"/>
      </w:pPr>
      <w:r>
        <w:t xml:space="preserve">51.</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2009; 40: 670–677.</w:t>
      </w:r>
    </w:p>
    <w:bookmarkEnd w:id="100"/>
    <w:bookmarkStart w:id="101" w:name="ref-Sauer2010"/>
    <w:p>
      <w:pPr>
        <w:pStyle w:val="Bibliography"/>
      </w:pPr>
      <w:r>
        <w:t xml:space="preserve">52.</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
        </w:rPr>
        <w:t xml:space="preserve">Appl Ergon</w:t>
      </w:r>
      <w:r>
        <w:t xml:space="preserve"> </w:t>
      </w:r>
      <w:r>
        <w:t xml:space="preserve">2010; 41: 130–140.</w:t>
      </w:r>
    </w:p>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3">
    <w:nsid w:val="ea454b4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96"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96"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 Diego Carou; Fabio A. Cruz S.</dc:creator>
  <cp:keywords/>
  <dcterms:created xsi:type="dcterms:W3CDTF">2021-05-20T15:26:24Z</dcterms:created>
  <dcterms:modified xsi:type="dcterms:W3CDTF">2021-05-20T15:26:24Z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