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6.jpg" ContentType="image/jpeg"/>
  <Override PartName="/word/media/rId28.pdf" ContentType="application/pdf"/>
  <Override PartName="/word/media/rId32.jpg" ContentType="image/jpeg"/>
  <Override PartName="/word/media/rId38.jpg" ContentType="image/jpeg"/>
  <Override PartName="/word/media/rId31.jpg" ContentType="image/jpeg"/>
  <Override PartName="/word/media/rId34.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tensile</w:t>
      </w:r>
      <w:r>
        <w:t xml:space="preserve"> </w:t>
      </w:r>
      <w:r>
        <w:t xml:space="preserve">strength</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is</w:t>
      </w:r>
      <w:r>
        <w:t xml:space="preserve"> </w:t>
      </w:r>
      <w:r>
        <w:t xml:space="preserve">becoming</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recycled</w:t>
      </w:r>
      <w:r>
        <w:t xml:space="preserve"> </w:t>
      </w:r>
      <w:r>
        <w:t xml:space="preserve">polylactic</w:t>
      </w:r>
      <w:r>
        <w:t xml:space="preserve"> </w:t>
      </w:r>
      <w:r>
        <w:t xml:space="preserve">acid</w:t>
      </w:r>
      <w:r>
        <w:t xml:space="preserve"> </w:t>
      </w:r>
      <w:r>
        <w:t xml:space="preserve">(PLA)</w:t>
      </w:r>
      <w:r>
        <w:t xml:space="preserve"> </w:t>
      </w:r>
      <w:r>
        <w:t xml:space="preserve">for</w:t>
      </w:r>
      <w:r>
        <w:t xml:space="preserve"> </w:t>
      </w:r>
      <w:r>
        <w:t xml:space="preserve">virgin</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tensile</w:t>
      </w:r>
      <w:r>
        <w:t xml:space="preserve"> </w:t>
      </w:r>
      <w:r>
        <w:t xml:space="preserve">strength</w:t>
      </w:r>
      <w:r>
        <w:t xml:space="preserve"> </w:t>
      </w:r>
      <w:r>
        <w:t xml:space="preserve">of</w:t>
      </w:r>
      <w:r>
        <w:t xml:space="preserve"> </w:t>
      </w:r>
      <w:r>
        <w:t xml:space="preserve">the</w:t>
      </w:r>
      <w:r>
        <w:t xml:space="preserve"> </w:t>
      </w:r>
      <w:r>
        <w:t xml:space="preserve">specimens</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even</w:t>
      </w:r>
      <w:r>
        <w:t xml:space="preserve"> </w:t>
      </w:r>
      <w:r>
        <w:t xml:space="preserve">though</w:t>
      </w:r>
      <w:r>
        <w:t xml:space="preserve"> </w:t>
      </w:r>
      <w:r>
        <w:t xml:space="preserve">this</w:t>
      </w:r>
      <w:r>
        <w:t xml:space="preserve"> </w:t>
      </w:r>
      <w:r>
        <w:t xml:space="preserve">is</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In</w:t>
      </w:r>
      <w:r>
        <w:t xml:space="preserve"> </w:t>
      </w:r>
      <w:r>
        <w:t xml:space="preserve">addition,</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58.1</w:t>
      </w:r>
      <w:r>
        <w:t xml:space="preserve"> </w:t>
      </w:r>
      <w:r>
        <w:t xml:space="preserve">%</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minimum</w:t>
      </w:r>
      <w:r>
        <w:t xml:space="preserve"> </w:t>
      </w:r>
      <w:r>
        <w:t xml:space="preserve">quality</w:t>
      </w:r>
      <w:r>
        <w:t xml:space="preserve"> </w:t>
      </w:r>
      <w:r>
        <w:t xml:space="preserve">conditions</w:t>
      </w:r>
      <w:r>
        <w:t xml:space="preserve"> </w:t>
      </w:r>
      <w:r>
        <w:t xml:space="preserve">in</w:t>
      </w:r>
      <w:r>
        <w:t xml:space="preserve"> </w:t>
      </w:r>
      <w:r>
        <w:t xml:space="preserve">prototyping.</w:t>
      </w:r>
    </w:p>
    <w:p>
      <w:pPr>
        <w:pStyle w:val="Abstract"/>
      </w:pPr>
      <w:r>
        <w:rPr>
          <w:bCs/>
          <w:b/>
        </w:rPr>
        <w:t xml:space="preserve">Keywords:</w:t>
      </w:r>
      <w:r>
        <w:t xml:space="preserve"> </w:t>
      </w:r>
      <w:r>
        <w:rPr>
          <w:iCs/>
          <w:i/>
        </w:rPr>
        <w:t xml:space="preserve">Prototyping;</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Mechanical</w:t>
      </w:r>
      <w:r>
        <w:rPr>
          <w:iCs/>
          <w:i/>
        </w:rPr>
        <w:t xml:space="preserve"> </w:t>
      </w:r>
      <w:r>
        <w:rPr>
          <w:iCs/>
          <w:i/>
        </w:rPr>
        <w:t xml:space="preserve">strength;</w:t>
      </w:r>
      <w:r>
        <w:rPr>
          <w:iCs/>
          <w:i/>
        </w:rPr>
        <w:t xml:space="preserve"> </w:t>
      </w:r>
      <w:r>
        <w:rPr>
          <w:iCs/>
          <w:i/>
        </w:rPr>
        <w:t xml:space="preserve">PLA</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mass customization</w:t>
      </w:r>
      <w:hyperlink w:anchor="ref-Jiang2016">
        <w:r>
          <w:rPr>
            <w:rStyle w:val="Hyperlink"/>
            <w:vertAlign w:val="superscript"/>
          </w:rPr>
          <w:t xml:space="preserve">5</w:t>
        </w:r>
      </w:hyperlink>
      <w:r>
        <w:t xml:space="preserve"> </w:t>
      </w:r>
      <w:r>
        <w:t xml:space="preserve">with complex geometries that involve a great deal of detail, a combination of different materials,</w:t>
      </w:r>
      <w:hyperlink w:anchor="ref-Askari2020">
        <w:r>
          <w:rPr>
            <w:rStyle w:val="Hyperlink"/>
            <w:vertAlign w:val="superscript"/>
          </w:rPr>
          <w:t xml:space="preserve">6</w:t>
        </w:r>
      </w:hyperlink>
      <w:r>
        <w:t xml:space="preserve"> a reduction in the need for assembly and a high utilization rate of raw materials.</w:t>
      </w:r>
      <w:hyperlink w:anchor="ref-Wang2020f">
        <w:r>
          <w:rPr>
            <w:rStyle w:val="Hyperlink"/>
            <w:vertAlign w:val="superscript"/>
          </w:rPr>
          <w:t xml:space="preserve">7</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8</w:t>
        </w:r>
      </w:hyperlink>
      <w:r>
        <w:rPr>
          <w:vertAlign w:val="superscript"/>
        </w:rPr>
        <w:t xml:space="preserve">,</w:t>
      </w:r>
      <w:hyperlink w:anchor="ref-Peng2018">
        <w:r>
          <w:rPr>
            <w:rStyle w:val="Hyperlink"/>
            <w:vertAlign w:val="superscript"/>
          </w:rPr>
          <w:t xml:space="preserve">9</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10</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11</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12</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13</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14</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15</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14</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w:t>
      </w:r>
      <w:r>
        <w:t xml:space="preserve"> </w:t>
      </w:r>
      <w:r>
        <w:t xml:space="preserve">Regardless of whether the printed object is functional or not, it is found to be valuable in design decisions.</w:t>
      </w:r>
      <w:hyperlink w:anchor="ref-Elverum2016">
        <w:r>
          <w:rPr>
            <w:rStyle w:val="Hyperlink"/>
            <w:vertAlign w:val="superscript"/>
          </w:rPr>
          <w:t xml:space="preserve">13</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9</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16</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17</w:t>
        </w:r>
      </w:hyperlink>
      <w:r>
        <w:rPr>
          <w:vertAlign w:val="superscript"/>
        </w:rPr>
        <w:t xml:space="preserve">,</w:t>
      </w:r>
      <w:hyperlink w:anchor="ref-Mikula2020">
        <w:r>
          <w:rPr>
            <w:rStyle w:val="Hyperlink"/>
            <w:vertAlign w:val="superscript"/>
          </w:rPr>
          <w:t xml:space="preserve">18</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19</w:t>
        </w:r>
      </w:hyperlink>
      <w:r>
        <w:t xml:space="preserve"> which can influence the ultimate tensile strength (UTS) up to about 47 % as it pertains to the manufacturing parameters.</w:t>
      </w:r>
      <w:hyperlink w:anchor="ref-Laureto2018">
        <w:r>
          <w:rPr>
            <w:rStyle w:val="Hyperlink"/>
            <w:vertAlign w:val="superscript"/>
          </w:rPr>
          <w:t xml:space="preserve">20</w:t>
        </w:r>
      </w:hyperlink>
      <w:r>
        <w:t xml:space="preserve"> </w:t>
      </w:r>
      <w:r>
        <w:t xml:space="preserve">Using a systematic literature review, Popescu et al.</w:t>
      </w:r>
      <w:hyperlink w:anchor="ref-Popescu2018">
        <w:r>
          <w:rPr>
            <w:rStyle w:val="Hyperlink"/>
            <w:vertAlign w:val="superscript"/>
          </w:rPr>
          <w:t xml:space="preserve">21</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22</w:t>
        </w:r>
      </w:hyperlink>
      <w:r>
        <w:rPr>
          <w:vertAlign w:val="superscript"/>
        </w:rPr>
        <w:t xml:space="preserve">,</w:t>
      </w:r>
      <w:hyperlink w:anchor="ref-Altan2018">
        <w:r>
          <w:rPr>
            <w:rStyle w:val="Hyperlink"/>
            <w:vertAlign w:val="superscript"/>
          </w:rPr>
          <w:t xml:space="preserve">23</w:t>
        </w:r>
      </w:hyperlink>
      <w:r>
        <w:t xml:space="preserve"> </w:t>
      </w:r>
      <w:r>
        <w:t xml:space="preserve">Similarly, Yao et al.</w:t>
      </w:r>
      <w:hyperlink w:anchor="ref-Yao2019">
        <w:r>
          <w:rPr>
            <w:rStyle w:val="Hyperlink"/>
            <w:vertAlign w:val="superscript"/>
          </w:rPr>
          <w:t xml:space="preserve">24</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25</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17</w:t>
        </w:r>
      </w:hyperlink>
      <w:r>
        <w:rPr>
          <w:vertAlign w:val="superscript"/>
        </w:rPr>
        <w:t xml:space="preserve">,</w:t>
      </w:r>
      <w:hyperlink w:anchor="ref-Little2020">
        <w:r>
          <w:rPr>
            <w:rStyle w:val="Hyperlink"/>
            <w:vertAlign w:val="superscript"/>
          </w:rPr>
          <w:t xml:space="preserve">26</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27</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28</w:t>
        </w:r>
      </w:hyperlink>
      <w:r>
        <w:t xml:space="preserve"> </w:t>
      </w:r>
      <w:r>
        <w:t xml:space="preserve">Currently, most of the cost of 3D printing is associated with filament.</w:t>
      </w:r>
      <w:hyperlink w:anchor="ref-Wittbrodt2013">
        <w:r>
          <w:rPr>
            <w:rStyle w:val="Hyperlink"/>
            <w:vertAlign w:val="superscript"/>
          </w:rPr>
          <w:t xml:space="preserve">29</w:t>
        </w:r>
      </w:hyperlink>
      <w:r>
        <w:t xml:space="preserve"> </w:t>
      </w:r>
      <w:r>
        <w:t xml:space="preserve">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30</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31</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27</w:t>
        </w:r>
      </w:hyperlink>
      <w:r>
        <w:rPr>
          <w:vertAlign w:val="superscript"/>
        </w:rPr>
        <w:t xml:space="preserve">,</w:t>
      </w:r>
      <w:hyperlink w:anchor="ref-CruzSanchez2017">
        <w:r>
          <w:rPr>
            <w:rStyle w:val="Hyperlink"/>
            <w:vertAlign w:val="superscript"/>
          </w:rPr>
          <w:t xml:space="preserve">32</w:t>
        </w:r>
      </w:hyperlink>
      <w:r>
        <w:rPr>
          <w:vertAlign w:val="superscript"/>
        </w:rPr>
        <w:t xml:space="preserve">–</w:t>
      </w:r>
      <w:hyperlink w:anchor="ref-Anderson2017">
        <w:r>
          <w:rPr>
            <w:rStyle w:val="Hyperlink"/>
            <w:vertAlign w:val="superscript"/>
          </w:rPr>
          <w:t xml:space="preserve">34</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in cold crystallization enthalpy are attributed to the 3D printing process.</w:t>
      </w:r>
      <w:r>
        <w:t xml:space="preserve"> </w:t>
      </w:r>
      <w:r>
        <w:t xml:space="preserve">For instance, Kumar et al.</w:t>
      </w:r>
      <w:hyperlink w:anchor="ref-Kumar2018b">
        <w:r>
          <w:rPr>
            <w:rStyle w:val="Hyperlink"/>
            <w:vertAlign w:val="superscript"/>
          </w:rPr>
          <w:t xml:space="preserve">35</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w:t>
      </w:r>
      <w:r>
        <w:br/>
      </w:r>
      <w:r>
        <w:t xml:space="preserve">Likewise, Babagowda et al.</w:t>
      </w:r>
      <w:hyperlink w:anchor="ref-Babagowda2018">
        <w:r>
          <w:rPr>
            <w:rStyle w:val="Hyperlink"/>
            <w:vertAlign w:val="superscript"/>
          </w:rPr>
          <w:t xml:space="preserve">36</w:t>
        </w:r>
      </w:hyperlink>
      <w:r>
        <w:t xml:space="preserve"> </w:t>
      </w:r>
      <w:r>
        <w:t xml:space="preserve">studied the influence of the percentage of recycled PLA used in the filament (i.e., 10 to 50 %) showing that the smaller the percentage the higher the ultimate tensile strength.</w:t>
      </w:r>
      <w:r>
        <w:br/>
      </w:r>
      <w:r>
        <w:t xml:space="preserve">In summary,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37</w:t>
        </w:r>
      </w:hyperlink>
      <w:r>
        <w:t xml:space="preserve"> </w:t>
      </w:r>
      <w:r>
        <w:t xml:space="preserve">The viscosity is also reduced with each printing cycle, but it could be corrected by adding virgin plastic.</w:t>
      </w:r>
      <w:hyperlink w:anchor="ref-Zhao2018">
        <w:r>
          <w:rPr>
            <w:rStyle w:val="Hyperlink"/>
            <w:vertAlign w:val="superscript"/>
          </w:rPr>
          <w:t xml:space="preserve">27</w:t>
        </w:r>
      </w:hyperlink>
      <w:r>
        <w:rPr>
          <w:vertAlign w:val="superscript"/>
        </w:rPr>
        <w:t xml:space="preserve">,</w:t>
      </w:r>
      <w:hyperlink w:anchor="ref-Zhao2018a">
        <w:r>
          <w:rPr>
            <w:rStyle w:val="Hyperlink"/>
            <w:vertAlign w:val="superscript"/>
          </w:rPr>
          <w:t xml:space="preserve">38</w:t>
        </w:r>
      </w:hyperlink>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39</w:t>
        </w:r>
      </w:hyperlink>
      <w:r>
        <w:t xml:space="preserve"> </w:t>
      </w:r>
      <w:r>
        <w:t xml:space="preserve">Besides,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40</w:t>
        </w:r>
      </w:hyperlink>
      <w:r>
        <w:rPr>
          <w:vertAlign w:val="superscript"/>
        </w:rPr>
        <w:t xml:space="preserve">,</w:t>
      </w:r>
      <w:hyperlink w:anchor="ref-Roberson2013">
        <w:r>
          <w:rPr>
            <w:rStyle w:val="Hyperlink"/>
            <w:vertAlign w:val="superscript"/>
          </w:rPr>
          <w:t xml:space="preserve">41</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42</w:t>
        </w:r>
      </w:hyperlink>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30" w:name="section:experimental"/>
    <w:p>
      <w:pPr>
        <w:pStyle w:val="Heading1"/>
      </w:pPr>
      <w:r>
        <w:rPr>
          <w:rStyle w:val="SectionNumber"/>
        </w:rPr>
        <w:t xml:space="preserve">2</w:t>
      </w:r>
      <w:r>
        <w:tab/>
      </w:r>
      <w:r>
        <w:t xml:space="preserve">Experimental procedure</w:t>
      </w:r>
    </w:p>
    <w:bookmarkStart w:id="27" w:name="materials-and-equipment"/>
    <w:p>
      <w:pPr>
        <w:pStyle w:val="Heading2"/>
      </w:pPr>
      <w:r>
        <w:rPr>
          <w:rStyle w:val="SectionNumber"/>
        </w:rPr>
        <w:t xml:space="preserve">2.1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2.1</w:t>
      </w:r>
      <w:r>
        <w:t xml:space="preserve">.</w:t>
      </w:r>
      <w:r>
        <w:t xml:space="preserve"> </w:t>
      </w:r>
      <w:r>
        <w:t xml:space="preserve">The recycled PLA was comprised of a blend containing 10% virgin PLA.</w:t>
      </w:r>
    </w:p>
    <w:p>
      <w:pPr>
        <w:pStyle w:val="TableCaption"/>
      </w:pPr>
      <w:r>
        <w:t xml:space="preserve">Table 2.1:</w:t>
      </w:r>
      <w:r>
        <w:t xml:space="preserve"> </w:t>
      </w:r>
      <w:bookmarkStart w:id="13a10ed7-8a60-4c11-ad1a-2b243b5cb37d" w:name="tab:tabla1"/>
      <w:r>
        <w:t xml:space="preserve">Characterization and processing conditions of the PLA used and the recycled PLA</w:t>
      </w:r>
      <w:bookmarkEnd w:id="13a10ed7-8a60-4c11-ad1a-2b243b5cb37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 Witbox, shown in Figure</w:t>
      </w:r>
      <w:r>
        <w:t xml:space="preserve"> </w:t>
      </w:r>
      <w:r>
        <w:t xml:space="preserve">2.1</w:t>
      </w:r>
      <w:r>
        <w:t xml:space="preserve">a, using the Ultimaker Cura 3.2.1 software.</w:t>
      </w:r>
      <w:r>
        <w:br/>
      </w:r>
      <w:r>
        <w:t xml:space="preserve"> </w:t>
      </w:r>
      <w:r>
        <w:t xml:space="preserve">For tensile testing, a MTS Criterion 43 universal testing machine (Figure</w:t>
      </w:r>
      <w:r>
        <w:t xml:space="preserve"> </w:t>
      </w:r>
      <w:r>
        <w:t xml:space="preserve">2.1</w:t>
      </w:r>
      <w:r>
        <w:t xml:space="preserve">b) was used, selecting a strain rate of</w:t>
      </w:r>
      <w:r>
        <w:t xml:space="preserve"> </w:t>
      </w:r>
      <m:oMath>
        <m:r>
          <m:t>0.5</m:t>
        </m:r>
        <m:r>
          <m:t> </m:t>
        </m:r>
        <m:r>
          <m:t>m</m:t>
        </m:r>
        <m:r>
          <m:t>m</m:t>
        </m:r>
        <m:r>
          <m:rPr>
            <m:sty m:val="p"/>
          </m:rPr>
          <m:t>/</m:t>
        </m:r>
        <m:r>
          <m:t>m</m:t>
        </m:r>
        <m:r>
          <m:t>i</m:t>
        </m:r>
        <m:r>
          <m:t>n</m:t>
        </m:r>
        <m:r>
          <m:rPr>
            <m:sty m:val="p"/>
          </m:rPr>
          <m:t>.</m:t>
        </m:r>
      </m:oMath>
      <w:r>
        <w:t xml:space="preserve">.</w:t>
      </w:r>
      <w:r>
        <w:t xml:space="preserve"> </w:t>
      </w:r>
      <w:r>
        <w:t xml:space="preserve">The mechanical specimens were manufactured according to the dimensions depicted in Figure</w:t>
      </w:r>
      <w:r>
        <w:t xml:space="preserve"> </w:t>
      </w:r>
      <w:r>
        <w:t xml:space="preserve">2.1</w:t>
      </w:r>
      <w:r>
        <w:t xml:space="preserve">c.</w:t>
      </w:r>
    </w:p>
    <w:p>
      <w:pPr>
        <w:pStyle w:val="CaptionedFigure"/>
      </w:pPr>
      <w:r>
        <w:drawing>
          <wp:inline>
            <wp:extent cx="5334000" cy="4422370"/>
            <wp:effectExtent b="0" l="0" r="0" t="0"/>
            <wp:docPr descr="Figure 2.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6"/>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2.1: Equipment used in the study: a) 3D printer, b) Universal testing machine and c) Mechanical sample.</w:t>
      </w:r>
    </w:p>
    <w:bookmarkEnd w:id="27"/>
    <w:bookmarkStart w:id="29" w:name="methodology"/>
    <w:p>
      <w:pPr>
        <w:pStyle w:val="Heading2"/>
      </w:pPr>
      <w:r>
        <w:rPr>
          <w:rStyle w:val="SectionNumber"/>
        </w:rPr>
        <w:t xml:space="preserve">2.2</w:t>
      </w:r>
      <w:r>
        <w:tab/>
      </w:r>
      <w:r>
        <w:t xml:space="preserve">Methodology</w:t>
      </w:r>
    </w:p>
    <w:p>
      <w:pPr>
        <w:pStyle w:val="FirstParagraph"/>
      </w:pPr>
      <w:r>
        <w:t xml:space="preserve">The experimental plan included three different phases (Figure</w:t>
      </w:r>
      <w:r>
        <w:t xml:space="preserve"> </w:t>
      </w:r>
      <w:r>
        <w:t xml:space="preserve">2.2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response variable chosen was the maximum load attained during the testing of the specimen.</w:t>
      </w:r>
      <w:hyperlink w:anchor="ref-Kumar2018b">
        <w:r>
          <w:rPr>
            <w:rStyle w:val="Hyperlink"/>
            <w:vertAlign w:val="superscript"/>
          </w:rPr>
          <w:t xml:space="preserve">35</w:t>
        </w:r>
      </w:hyperlink>
      <w:r>
        <w:rPr>
          <w:vertAlign w:val="superscript"/>
        </w:rPr>
        <w:t xml:space="preserve">,</w:t>
      </w:r>
      <w:hyperlink w:anchor="ref-Chacon2017">
        <w:r>
          <w:rPr>
            <w:rStyle w:val="Hyperlink"/>
            <w:vertAlign w:val="superscript"/>
          </w:rPr>
          <w:t xml:space="preserve">43</w:t>
        </w:r>
      </w:hyperlink>
      <w:r>
        <w:t xml:space="preserve"> </w:t>
      </w:r>
      <w:r>
        <w:t xml:space="preserve">We have chosen to use fractional designs to minimize the number of tests, being used as screening designs.</w:t>
      </w:r>
      <w:r>
        <w:t xml:space="preserve"> </w:t>
      </w:r>
      <w:r>
        <w:t xml:space="preserve">The design included only specimens printed in the horizontal orientation.</w:t>
      </w:r>
      <w:r>
        <w:t xml:space="preserve"> </w:t>
      </w:r>
      <w:r>
        <w:t xml:space="preserve">The use of random order made it possible to guarantee that the hypothesis stating that the errors are independently distributed random variables was fulfilled.</w:t>
      </w:r>
      <w:hyperlink w:anchor="ref-Montgomery2001">
        <w:r>
          <w:rPr>
            <w:rStyle w:val="Hyperlink"/>
            <w:vertAlign w:val="superscript"/>
          </w:rPr>
          <w:t xml:space="preserve">44</w:t>
        </w:r>
      </w:hyperlink>
      <w:r>
        <w:t xml:space="preserve"> </w:t>
      </w:r>
      <w:r>
        <w:t xml:space="preserve"> </w:t>
      </w:r>
      <w:r>
        <w:t xml:space="preserve">The critical parameters for the study are the</w:t>
      </w:r>
      <w:r>
        <w:t xml:space="preserve"> </w:t>
      </w:r>
      <w:r>
        <w:rPr>
          <w:iCs/>
          <w:i/>
        </w:rPr>
        <w:t xml:space="preserve">layer height</w:t>
      </w:r>
      <w:r>
        <w:t xml:space="preserve"> </w:t>
      </w:r>
      <w:r>
        <w:t xml:space="preserve">(0.15 and 0.3 mm) and</w:t>
      </w:r>
      <w:r>
        <w:t xml:space="preserve"> </w:t>
      </w:r>
      <w:r>
        <w:rPr>
          <w:iCs/>
          <w:i/>
        </w:rPr>
        <w:t xml:space="preserve">infill pattern</w:t>
      </w:r>
      <w:r>
        <w:t xml:space="preserve"> </w:t>
      </w:r>
      <w:r>
        <w:t xml:space="preserve">(tri-hexagonal and grid).</w:t>
      </w:r>
      <w:hyperlink w:anchor="ref-Singh2019">
        <w:r>
          <w:rPr>
            <w:rStyle w:val="Hyperlink"/>
            <w:vertAlign w:val="superscript"/>
          </w:rPr>
          <w:t xml:space="preserve">45</w:t>
        </w:r>
      </w:hyperlink>
      <w:r>
        <w:rPr>
          <w:vertAlign w:val="superscript"/>
        </w:rPr>
        <w:t xml:space="preserve">,</w:t>
      </w:r>
      <w:hyperlink w:anchor="ref-Tanveer2019">
        <w:r>
          <w:rPr>
            <w:rStyle w:val="Hyperlink"/>
            <w:vertAlign w:val="superscript"/>
          </w:rPr>
          <w:t xml:space="preserve">46</w:t>
        </w:r>
      </w:hyperlink>
      <w:r>
        <w:t xml:space="preserve"> </w:t>
      </w:r>
      <w:r>
        <w:t xml:space="preserve">In addition, taking into account the goal of sustainable manufacturing (i.e. trying to optimize the consumption of material), but also productivity (i.e. trying to minimize printing times),</w:t>
      </w:r>
      <w:r>
        <w:t xml:space="preserve"> </w:t>
      </w:r>
      <w:r>
        <w:rPr>
          <w:iCs/>
          <w:i/>
        </w:rPr>
        <w:t xml:space="preserve">infill density</w:t>
      </w:r>
      <w:r>
        <w:t xml:space="preserve"> </w:t>
      </w:r>
      <w:r>
        <w:t xml:space="preserve">(60 and 100 %) and</w:t>
      </w:r>
      <w:r>
        <w:t xml:space="preserve"> </w:t>
      </w:r>
      <w:r>
        <w:rPr>
          <w:iCs/>
          <w:i/>
        </w:rPr>
        <w:t xml:space="preserve">printing speed</w:t>
      </w:r>
      <w:r>
        <w:t xml:space="preserve"> </w:t>
      </w:r>
      <w:r>
        <w:t xml:space="preserve">(40 and 80 mm/s) were considered.</w:t>
      </w:r>
      <w:r>
        <w:t xml:space="preserve"> </w:t>
      </w:r>
      <w:r>
        <w:t xml:space="preserve"> </w:t>
      </w:r>
      <w:r>
        <w:t xml:space="preserve">The printing temperature was 210°C, which was the recommended temperature for PLA material.</w:t>
      </w:r>
      <w:r>
        <w:t xml:space="preserve"> </w:t>
      </w:r>
      <w:r>
        <w:t xml:space="preserve">To conclude this phase, an analysis of variance (ANOVA) is made to identify the factors influencing the response variable.</w:t>
      </w:r>
    </w:p>
    <w:p>
      <w:pPr>
        <w:pStyle w:val="BodyText"/>
      </w:pPr>
      <w:r>
        <w:t xml:space="preserve">The main goal of</w:t>
      </w:r>
      <w:r>
        <w:t xml:space="preserve"> </w:t>
      </w:r>
      <w:r>
        <w:rPr>
          <w:iCs/>
          <w:i/>
        </w:rPr>
        <w:t xml:space="preserve">Phase II</w:t>
      </w:r>
      <w:r>
        <w:t xml:space="preserve"> </w:t>
      </w:r>
      <w:r>
        <w:t xml:space="preserve">is to study in more detail the influence of the most influential factor according to</w:t>
      </w:r>
      <w:r>
        <w:t xml:space="preserve"> </w:t>
      </w:r>
      <w:r>
        <w:rPr>
          <w:iCs/>
          <w:i/>
        </w:rPr>
        <w:t xml:space="preserve">Phase I</w:t>
      </w:r>
      <w:r>
        <w:t xml:space="preserve">.</w:t>
      </w:r>
      <w:r>
        <w:t xml:space="preserve"> </w:t>
      </w:r>
      <w:r>
        <w:t xml:space="preserve">The intent therefore is to focus on how the response variable evolves by varying the most influential factor.</w:t>
      </w:r>
      <w:r>
        <w:t xml:space="preserve"> </w:t>
      </w:r>
      <w:r>
        <w:t xml:space="preserve">For that reason,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w:t>
      </w:r>
      <w:r>
        <w:t xml:space="preserve"> </w:t>
      </w:r>
      <w:r>
        <w:rPr>
          <w:iCs/>
          <w:i/>
        </w:rPr>
        <w:t xml:space="preserve">Phase III</w:t>
      </w:r>
      <w:r>
        <w:t xml:space="preserve"> </w:t>
      </w:r>
      <w:r>
        <w:t xml:space="preserve">aimed at evaluating the influence of the anisotropy based on the printing orientation, which may notably affect the tensile strength.</w:t>
      </w:r>
      <w:r>
        <w:t xml:space="preserve"> </w:t>
      </w:r>
      <w:r>
        <w:t xml:space="preserve">Because of the anisotropy, the UNE 116005:201246</w:t>
      </w:r>
      <w:hyperlink w:anchor="ref-UNE">
        <w:r>
          <w:rPr>
            <w:rStyle w:val="Hyperlink"/>
            <w:vertAlign w:val="superscript"/>
          </w:rPr>
          <w:t xml:space="preserve">47</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2.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8"/>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2.2: Summary of the three phases of the experimental plan.</w:t>
      </w:r>
    </w:p>
    <w:bookmarkEnd w:id="29"/>
    <w:bookmarkEnd w:id="30"/>
    <w:bookmarkStart w:id="40" w:name="section:findings"/>
    <w:p>
      <w:pPr>
        <w:pStyle w:val="Heading1"/>
      </w:pPr>
      <w:r>
        <w:rPr>
          <w:rStyle w:val="SectionNumber"/>
        </w:rPr>
        <w:t xml:space="preserve">3</w:t>
      </w:r>
      <w:r>
        <w:tab/>
      </w:r>
      <w:r>
        <w:t xml:space="preserve">Findings</w:t>
      </w:r>
    </w:p>
    <w:bookmarkStart w:id="33" w:name="phase-i-screening-phase"/>
    <w:p>
      <w:pPr>
        <w:pStyle w:val="Heading2"/>
      </w:pPr>
      <w:r>
        <w:rPr>
          <w:rStyle w:val="SectionNumber"/>
        </w:rPr>
        <w:t xml:space="preserve">3.1</w:t>
      </w:r>
      <w:r>
        <w:tab/>
      </w:r>
      <w:r>
        <w:t xml:space="preserve">Phase I: Screening phase</w:t>
      </w:r>
    </w:p>
    <w:p>
      <w:pPr>
        <w:pStyle w:val="FirstParagraph"/>
      </w:pPr>
      <w:r>
        <w:t xml:space="preserve">Table</w:t>
      </w:r>
      <w:r>
        <w:t xml:space="preserve"> </w:t>
      </w:r>
      <w:r>
        <w:t xml:space="preserve">3.1</w:t>
      </w:r>
      <w:r>
        <w:t xml:space="preserve"> </w:t>
      </w:r>
      <w:r>
        <w:t xml:space="preserve">summarizes the experimental strategy with the results of the maximum load attained during this screening phase.</w:t>
      </w:r>
      <w:r>
        <w:t xml:space="preserve"> </w:t>
      </w:r>
      <w:r>
        <w:t xml:space="preserve">A total of 16 samples were tested.</w:t>
      </w:r>
    </w:p>
    <w:p>
      <w:pPr>
        <w:pStyle w:val="TableCaption"/>
      </w:pPr>
      <w:r>
        <w:t xml:space="preserve">Table 3.1:</w:t>
      </w:r>
      <w:r>
        <w:t xml:space="preserve"> </w:t>
      </w:r>
      <w:bookmarkStart w:id="6a68ddbd-cd5e-4dbe-8570-c06b2871bd4c" w:name="tab:phase1"/>
      <w:r>
        <w:t xml:space="preserve">Results of the Phase I</w:t>
      </w:r>
      <w:bookmarkEnd w:id="6a68ddbd-cd5e-4dbe-8570-c06b2871bd4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Max Load (kN)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Young Modulus (MPa)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2.21</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826.31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788.51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1,143.72</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1,160.47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1,127.84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3.79</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1,132.18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875.78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2.15</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852.18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1,058.60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3.37</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1,106.42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845.71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3.53</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1,126.03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1,152.35</w:t>
            </w:r>
          </w:p>
        </w:tc>
      </w:tr>
    </w:tbl>
    <w:p>
      <w:pPr>
        <w:pStyle w:val="BodyText"/>
      </w:pPr>
      <w:r>
        <w:t xml:space="preserve">In general, shortly after attaining the maximum load, fracture of the specimen occurred. However, the nature of the fracture was not homogeneous as shown in Figure</w:t>
      </w:r>
      <w:r>
        <w:t xml:space="preserve"> </w:t>
      </w:r>
      <w:r>
        <w:t xml:space="preserve">3.1</w:t>
      </w:r>
      <w:r>
        <w:t xml:space="preserve">a.</w:t>
      </w:r>
      <w:r>
        <w:t xml:space="preserve"> </w:t>
      </w:r>
      <w:r>
        <w:t xml:space="preserve">In most cases, the specimens showed fragile behavior, and the fracture, either horizontally or with a lower inclination angle, was clean.</w:t>
      </w:r>
      <w:r>
        <w:t xml:space="preserve"> </w:t>
      </w:r>
      <w:r>
        <w:t xml:space="preserve">However, for the recycled material, the specimens presented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24</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a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3.1: 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1"/>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3200400"/>
            <wp:effectExtent b="0" l="0" r="0" t="0"/>
            <wp:docPr descr="(#fig:fase1)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hase-1-2-correction.jpg" id="0"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pPr>
        <w:pStyle w:val="TableCaption"/>
      </w:pPr>
      <w:r>
        <w:t xml:space="preserve">Table 3.2:</w:t>
      </w:r>
      <w:r>
        <w:t xml:space="preserve"> </w:t>
      </w:r>
      <w:bookmarkStart w:id="d3c74678-02f2-4ac6-84dc-64f868776e32" w:name="tab:anova-phase1"/>
      <w:r>
        <w:t xml:space="preserve">ANOVA results at 95\% significance level for Maximal load and Young modulus variables</w:t>
      </w:r>
      <w:bookmarkEnd w:id="d3c74678-02f2-4ac6-84dc-64f868776e3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88"/>
        <w:gridCol w:w="576"/>
        <w:gridCol w:w="576"/>
        <w:gridCol w:w="576"/>
        <w:gridCol w:w="1008"/>
        <w:gridCol w:w="288"/>
        <w:gridCol w:w="1008"/>
        <w:gridCol w:w="1008"/>
        <w:gridCol w:w="864"/>
        <w:gridCol w:w="1008"/>
      </w:tblGrid>
      <w:tr>
        <w:trPr>
          <w:cantSplit/>
          <w:trHeight w:val="NA" w:hRule="NA"/>
          <w:tblHeader/>
        </w:trPr>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Variable</w:t>
            </w:r>
          </w:p>
        </w:tc>
        <w:tc>
          <w:tcPr>
            <w:gridSpan w:val="4"/>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Maximal load</w:t>
            </w:r>
          </w:p>
        </w:tc>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
            </w:r>
          </w:p>
        </w:tc>
        <w:tc>
          <w:tcPr>
            <w:gridSpan w:val="5"/>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Young</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Layer Height (mm)</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0.262</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3.956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0.075</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Density (%)</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851.04</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5.2e-11***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410.611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1.8e-09***</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Pattern</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0.131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0.725</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0.522</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Printing Speed (mm/s)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0.067</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0.762</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Material</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11.264</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0.803</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Residuals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8346.354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834.635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Table</w:t>
      </w:r>
      <w:r>
        <w:t xml:space="preserve"> </w:t>
      </w:r>
      <w:r>
        <w:t xml:space="preserve">3.2</w:t>
      </w:r>
      <w:r>
        <w:t xml:space="preserve"> </w:t>
      </w:r>
      <w:r>
        <w:t xml:space="preserve">lists the ANOVA using R software in order to identify the influential factors on the maximal load and Young’s modulus.</w:t>
      </w:r>
      <w:r>
        <w:t xml:space="preserve"> </w:t>
      </w:r>
      <w:r>
        <w:t xml:space="preserve">As a criterion, critical factors for the response variable were those with p-values lower than 0.05.</w:t>
      </w:r>
      <w:r>
        <w:t xml:space="preserve"> </w:t>
      </w:r>
      <w:r>
        <w:t xml:space="preserve">Shapiro-Wilk normality tests were made to verify the normality of the residuals for both models.</w:t>
      </w:r>
      <w:r>
        <w:t xml:space="preserve"> </w:t>
      </w:r>
      <w:r>
        <w:t xml:space="preserve">Figure</w:t>
      </w:r>
      <w:r>
        <w:t xml:space="preserve"> </w:t>
      </w:r>
      <w:r>
        <w:t xml:space="preserve">3.1</w:t>
      </w:r>
      <w:r>
        <w:t xml:space="preserve">b illustrates the boxplots of the results considering each of the factors.</w:t>
      </w:r>
      <w:r>
        <w:t xml:space="preserve"> </w:t>
      </w:r>
      <w:r>
        <w:t xml:space="preserve"> </w:t>
      </w:r>
      <w:r>
        <w:t xml:space="preserve">Thus, it can be clearly identified how only the infill density (lowest p-value) and the type of material were statistically significant factors for the maximum load and for the Young’s modulus.</w:t>
      </w:r>
      <w:r>
        <w:t xml:space="preserve"> </w:t>
      </w:r>
      <w:r>
        <w:t xml:space="preserve">The contribution to the total variance in the maximal load model was 97.3 % and 1.3 % for the infill density and material type, respectively.</w:t>
      </w:r>
      <w:r>
        <w:t xml:space="preserve"> </w:t>
      </w:r>
      <w:r>
        <w:t xml:space="preserve"> </w:t>
      </w:r>
      <w:r>
        <w:t xml:space="preserve">In the case of the Young’ modulus, the infill presented a contribution of 96.6 %.</w:t>
      </w:r>
      <w:r>
        <w:t xml:space="preserve"> </w:t>
      </w:r>
      <w:r>
        <w:t xml:space="preserve">Thus, when manufacturing new parts, infill density is a key factor for guaranteeing adequate tensile strength.</w:t>
      </w:r>
    </w:p>
    <w:bookmarkEnd w:id="33"/>
    <w:bookmarkStart w:id="36" w:name="phase-ii-focusing"/>
    <w:p>
      <w:pPr>
        <w:pStyle w:val="Heading2"/>
      </w:pPr>
      <w:r>
        <w:rPr>
          <w:rStyle w:val="SectionNumber"/>
        </w:rPr>
        <w:t xml:space="preserve">3.2</w:t>
      </w:r>
      <w:r>
        <w:tab/>
      </w:r>
      <w:r>
        <w:t xml:space="preserve">Phase II: Focusing</w:t>
      </w:r>
    </w:p>
    <w:p>
      <w:pPr>
        <w:pStyle w:val="FirstParagraph"/>
      </w:pPr>
      <w:r>
        <w:drawing>
          <wp:inline>
            <wp:extent cx="5334000" cy="5527963"/>
            <wp:effectExtent b="0" l="0" r="0" t="0"/>
            <wp:docPr descr="Figure 3.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4"/>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4445000"/>
            <wp:effectExtent b="0" l="0" r="0" t="0"/>
            <wp:docPr descr="(#fig:phase2)Phase II: Evaluation of the infill density in the mechanical load." title="" id="1" name="Picture"/>
            <a:graphic>
              <a:graphicData uri="http://schemas.openxmlformats.org/drawingml/2006/picture">
                <pic:pic>
                  <pic:nvPicPr>
                    <pic:cNvPr descr="Correciones/Phase-2-corrected.jp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main goal of</w:t>
      </w:r>
      <w:r>
        <w:t xml:space="preserve"> </w:t>
      </w:r>
      <w:r>
        <w:rPr>
          <w:iCs/>
          <w:i/>
        </w:rPr>
        <w:t xml:space="preserve">Phase II</w:t>
      </w:r>
      <w:r>
        <w:t xml:space="preserve"> </w:t>
      </w:r>
      <w:r>
        <w:t xml:space="preserve">is to evaluate in more detail the influence of infill density on the tensile strength based on Phase I.</w:t>
      </w:r>
      <w:r>
        <w:t xml:space="preserve"> </w:t>
      </w:r>
      <w:r>
        <w:t xml:space="preserve">Therefore, five levels of the infill density were chosen: 40, 55, 70, 85 and 100 %. Regarding the selection of the other printing parameters, the main criterion was the reduction of the printing time.</w:t>
      </w:r>
      <w:r>
        <w:t xml:space="preserve"> </w:t>
      </w:r>
      <w:r>
        <w:t xml:space="preserve">Therefore, the experimental conditions were layer height of 0.3 mm, tri-hexagonal infill pattern and printing speed of</w:t>
      </w:r>
      <w:r>
        <w:t xml:space="preserve"> </w:t>
      </w:r>
      <m:oMath>
        <m:r>
          <m:t>80</m:t>
        </m:r>
        <m:r>
          <m:t> </m:t>
        </m:r>
        <m:r>
          <m:t>m</m:t>
        </m:r>
        <m:r>
          <m:t>m</m:t>
        </m:r>
        <m:r>
          <m:rPr>
            <m:sty m:val="p"/>
          </m:rPr>
          <m:t>/</m:t>
        </m:r>
        <m:r>
          <m:t>s</m:t>
        </m:r>
      </m:oMath>
      <w:r>
        <w:t xml:space="preserve"> </w:t>
      </w:r>
      <w:r>
        <w:t xml:space="preserve">with an estimated printing time of 20 min.</w:t>
      </w:r>
      <w:r>
        <w:t xml:space="preserve"> </w:t>
      </w:r>
      <w:r>
        <w:t xml:space="preserve">A total of 10 samples were manufactured.</w:t>
      </w:r>
    </w:p>
    <w:p>
      <w:pPr>
        <w:pStyle w:val="BodyText"/>
      </w:pPr>
      <w:r>
        <w:t xml:space="preserve">Figure</w:t>
      </w:r>
      <w:r>
        <w:t xml:space="preserve"> </w:t>
      </w:r>
      <w:r>
        <w:t xml:space="preserve">3.3</w:t>
      </w:r>
      <w:r>
        <w:t xml:space="preserve">a shows the fracture of the specimens tested in</w:t>
      </w:r>
      <w:r>
        <w:t xml:space="preserve"> </w:t>
      </w:r>
      <w:r>
        <w:rPr>
          <w:iCs/>
          <w:i/>
        </w:rPr>
        <w:t xml:space="preserve">Phase II</w:t>
      </w:r>
      <w:r>
        <w:t xml:space="preserve">. 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w:t>
      </w:r>
      <w:r>
        <w:t xml:space="preserve"> </w:t>
      </w:r>
      <w:r>
        <w:t xml:space="preserve">3.3</w:t>
      </w:r>
      <w:r>
        <w:t xml:space="preserve">b where the maximum load versus infill density for both materials is illustrated.</w:t>
      </w:r>
    </w:p>
    <w:p>
      <w:pPr>
        <w:pStyle w:val="BodyText"/>
      </w:pPr>
      <w:r>
        <w:t xml:space="preserve">From Figure</w:t>
      </w:r>
      <w:r>
        <w:t xml:space="preserve"> </w:t>
      </w:r>
      <w:r>
        <w:t xml:space="preserve">3.3</w:t>
      </w:r>
      <w:r>
        <w:t xml:space="preserve">, the experimental data was used to create two models.</w:t>
      </w:r>
      <w:r>
        <w:t xml:space="preserve"> </w:t>
      </w:r>
      <w:r>
        <w:t xml:space="preserve"> </w:t>
      </w:r>
      <w:r>
        <w:t xml:space="preserve">In the A region, which comprises infill densities ranging from 40 to 85 %, the slope of the curve grows slowly with an approximately linear trend.</w:t>
      </w:r>
      <w:r>
        <w:t xml:space="preserve"> </w:t>
      </w:r>
      <w:r>
        <w:t xml:space="preserve">In the B region, from 70 to 100 %, the increase of the tensile strength becomes more pronounced using a quadratic function.</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32</w:t>
        </w:r>
      </w:hyperlink>
      <w:r>
        <w:t xml:space="preserve"> </w:t>
      </w:r>
      <w:r>
        <w:t xml:space="preserve">in which there was found to be a difference of about 10 % in the tensile strength in the first recycling cycles.</w:t>
      </w:r>
      <w:r>
        <w:t xml:space="preserve"> </w:t>
      </w:r>
      <w:r>
        <w:t xml:space="preserve">However, the difference notably increased as the infill density approached 100 %. The results obtained closely match those presented by Wang et al.</w:t>
      </w:r>
      <w:hyperlink w:anchor="ref-Wang2020h">
        <w:r>
          <w:rPr>
            <w:rStyle w:val="Hyperlink"/>
            <w:vertAlign w:val="superscript"/>
          </w:rPr>
          <w:t xml:space="preserve">48</w:t>
        </w:r>
      </w:hyperlink>
      <w:r>
        <w:t xml:space="preserve"> </w:t>
      </w:r>
      <w:r>
        <w:t xml:space="preserve">In their study, the authors studied infill densities of 20, 40, 60, 80 and 100 % and the evolution of the tensile strength is similar to that shown in Figure</w:t>
      </w:r>
      <w:r>
        <w:t xml:space="preserve"> </w:t>
      </w:r>
      <w:r>
        <w:t xml:space="preserve">3.3</w:t>
      </w:r>
      <w:r>
        <w:t xml:space="preserve">.</w:t>
      </w:r>
    </w:p>
    <w:p>
      <w:pPr>
        <w:pStyle w:val="BodyText"/>
      </w:pPr>
      <w:r>
        <w:t xml:space="preserve">Based on the results, it appears that a reduction from 100 to 40 % of the infill density implies a relatively limited reduction, on average 41.7 %, of the maximum load supported for both types of materials.</w:t>
      </w:r>
      <w:r>
        <w:t xml:space="preserve"> </w:t>
      </w:r>
      <w:r>
        <w:t xml:space="preserve">Although the number of measured points is reduced, it is possible to model the relation between the maximum load and the infill density for the two tested materials by means of polynomial regressions that are plotted in the figure.</w:t>
      </w:r>
      <w:r>
        <w:t xml:space="preserve"> </w:t>
      </w:r>
      <w:r>
        <w:t xml:space="preserve">The models may help to anticipate the tensile strength of a part based on the infill density.</w:t>
      </w:r>
      <w:r>
        <w:t xml:space="preserve"> </w:t>
      </w:r>
      <w:r>
        <w:t xml:space="preserve">Based on the models developed, it is possible to highlight that recycled PLA is a suitable substitute for virgin PLA guaranteeing similar tensile strength.</w:t>
      </w:r>
    </w:p>
    <w:bookmarkEnd w:id="36"/>
    <w:bookmarkStart w:id="39" w:name="Xa0345c686217135428fadf859140848356c8c39"/>
    <w:p>
      <w:pPr>
        <w:pStyle w:val="Heading2"/>
      </w:pPr>
      <w:r>
        <w:rPr>
          <w:rStyle w:val="SectionNumber"/>
        </w:rPr>
        <w:t xml:space="preserve">3.3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49</w:t>
        </w:r>
      </w:hyperlink>
      <w:r>
        <w:t xml:space="preserve"> </w:t>
      </w:r>
      <w:r>
        <w:t xml:space="preserve">standard.</w:t>
      </w:r>
    </w:p>
    <w:p>
      <w:pPr>
        <w:pStyle w:val="BodyText"/>
      </w:pPr>
      <w:r>
        <w:drawing>
          <wp:inline>
            <wp:extent cx="5334000" cy="3500437"/>
            <wp:effectExtent b="0" l="0" r="0" t="0"/>
            <wp:docPr descr="Figure 3.5: Phase III: Evaluation of the anisotropy. a) Specimens after tensile test in Phase III. b) Average of the load obtain for each build orientation." title="" id="1" name="Picture"/>
            <a:graphic>
              <a:graphicData uri="http://schemas.openxmlformats.org/drawingml/2006/picture">
                <pic:pic>
                  <pic:nvPicPr>
                    <pic:cNvPr descr="Figures/Probetas-Fase-3.jpg" id="0" name="Picture"/>
                    <pic:cNvPicPr>
                      <a:picLocks noChangeArrowheads="1" noChangeAspect="1"/>
                    </pic:cNvPicPr>
                  </pic:nvPicPr>
                  <pic:blipFill>
                    <a:blip r:embed="rId37"/>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a) Specimens after tensile test in Phase III. b) Average of the load obtain for each build orientation." title="" id="1" name="Picture"/>
            <a:graphic>
              <a:graphicData uri="http://schemas.openxmlformats.org/drawingml/2006/picture">
                <pic:pic>
                  <pic:nvPicPr>
                    <pic:cNvPr descr="Figures/Phase-3.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Five specimens for each of the orientations (edgewise, horizontal and vertical) for both materials were manufactured.</w:t>
      </w:r>
      <w:r>
        <w:t xml:space="preserve"> </w:t>
      </w:r>
      <w:r>
        <w:t xml:space="preserve">The selected printing conditions were infill density of 50 %, printing speed of 80 mm/s, tri-hexagonal infill pattern and layer height of 0.3 mm, with the objective of limiting the use of material and the time required for printing.</w:t>
      </w:r>
      <w:r>
        <w:t xml:space="preserve"> </w:t>
      </w:r>
      <w:r>
        <w:t xml:space="preserve">A total of 30 samples were tested.</w:t>
      </w:r>
    </w:p>
    <w:p>
      <w:pPr>
        <w:pStyle w:val="BodyText"/>
      </w:pPr>
      <w:r>
        <w:t xml:space="preserve">Figure</w:t>
      </w:r>
      <w:r>
        <w:t xml:space="preserve"> </w:t>
      </w:r>
      <w:r>
        <w:t xml:space="preserve">3.5</w:t>
      </w:r>
      <w:r>
        <w:t xml:space="preserve">a shows the images of the tested specimens displaying the same type of fracture as in the first two phases.</w:t>
      </w:r>
      <w:r>
        <w:t xml:space="preserve"> </w:t>
      </w:r>
      <w:r>
        <w:t xml:space="preserve">It is interesting to evaluate the reduction in the maximum load depending on the type of material and the orientation in which the specimens were printed.</w:t>
      </w:r>
    </w:p>
    <w:p>
      <w:pPr>
        <w:pStyle w:val="BodyText"/>
      </w:pPr>
      <w:r>
        <w:t xml:space="preserve">Figure</w:t>
      </w:r>
      <w:r>
        <w:t xml:space="preserve"> </w:t>
      </w:r>
      <w:r>
        <w:t xml:space="preserve">3.5</w:t>
      </w:r>
      <w:r>
        <w:t xml:space="preserve">b details the maximum load and the mean values for the five specimens at each orientation.</w:t>
      </w:r>
      <w:r>
        <w:t xml:space="preserve"> </w:t>
      </w:r>
      <w:r>
        <w:t xml:space="preserve">From the results, it is clear that the horizontal orientation is the one that provided the higher tensile strength, followed by the edgewise orientation.</w:t>
      </w:r>
      <w:r>
        <w:t xml:space="preserve"> </w:t>
      </w:r>
      <w:r>
        <w:t xml:space="preserve">Likewise, the virgin samples performed better than the recycled samples.</w:t>
      </w:r>
    </w:p>
    <w:p>
      <w:pPr>
        <w:pStyle w:val="BodyText"/>
      </w:pPr>
      <w:r>
        <w:t xml:space="preserve">The vertical orientation provided the worst results due to the deposition of the layers perpendicular to the tensile direction.</w:t>
      </w:r>
      <w:r>
        <w:t xml:space="preserve"> </w:t>
      </w:r>
      <w:r>
        <w:t xml:space="preserve">These results correspond to those by Corapi et al</w:t>
      </w:r>
      <w:hyperlink w:anchor="ref-Corapi2019">
        <w:r>
          <w:rPr>
            <w:rStyle w:val="Hyperlink"/>
            <w:vertAlign w:val="superscript"/>
          </w:rPr>
          <w:t xml:space="preserve">50</w:t>
        </w:r>
      </w:hyperlink>
      <w:r>
        <w:t xml:space="preserve"> </w:t>
      </w:r>
      <w:r>
        <w:t xml:space="preserve">and Wang et al.</w:t>
      </w:r>
      <w:hyperlink w:anchor="ref-Wang2020h">
        <w:r>
          <w:rPr>
            <w:rStyle w:val="Hyperlink"/>
            <w:vertAlign w:val="superscript"/>
          </w:rPr>
          <w:t xml:space="preserve">48</w:t>
        </w:r>
      </w:hyperlink>
      <w:r>
        <w:t xml:space="preserve"> </w:t>
      </w:r>
      <w:r>
        <w:t xml:space="preserve">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w:t>
      </w:r>
      <w:r>
        <w:t xml:space="preserve"> </w:t>
      </w:r>
      <w:r>
        <w:t xml:space="preserve">However, the other two orientations are more adequate for substituting the recycled material for the virgin material, with a limited reduction in the tensile strength (6.71 to 7.93 %).</w:t>
      </w:r>
    </w:p>
    <w:bookmarkEnd w:id="39"/>
    <w:bookmarkEnd w:id="40"/>
    <w:bookmarkStart w:id="41" w:name="section:discussion"/>
    <w:p>
      <w:pPr>
        <w:pStyle w:val="Heading1"/>
      </w:pPr>
      <w:r>
        <w:rPr>
          <w:rStyle w:val="SectionNumber"/>
        </w:rPr>
        <w:t xml:space="preserve">4</w:t>
      </w:r>
      <w:r>
        <w:tab/>
      </w:r>
      <w:r>
        <w:t xml:space="preserve">Discussion and limits of the results</w:t>
      </w:r>
    </w:p>
    <w:p>
      <w:pPr>
        <w:pStyle w:val="FirstParagraph"/>
      </w:pPr>
      <w:r>
        <w:t xml:space="preserve">One of the systemic problems of plastic waste involves dependency of the indiscriminate disposal of plastics, which carries multiple risks because many plastic products contain additives that modify their physico-mechanical properties, making recycling/reuse difficult.</w:t>
      </w:r>
      <w:hyperlink w:anchor="ref-Wagner2020">
        <w:r>
          <w:rPr>
            <w:rStyle w:val="Hyperlink"/>
            <w:vertAlign w:val="superscript"/>
          </w:rPr>
          <w:t xml:space="preserve">51</w:t>
        </w:r>
      </w:hyperlink>
      <w:r>
        <w:t xml:space="preserve"> </w:t>
      </w:r>
      <w:r>
        <w:t xml:space="preserve">The use of 3D printing technology for prototyping is not exempt from this societal issue. The main purpose of this article is to assess the extent to which the influence of printing parameters affects the tensile strength.</w:t>
      </w:r>
      <w:r>
        <w:t xml:space="preserve"> </w:t>
      </w:r>
      <w:r>
        <w:t xml:space="preserve">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w:t>
      </w:r>
      <w:r>
        <w:t xml:space="preserve"> </w:t>
      </w:r>
      <w:r>
        <w:t xml:space="preserve">This type of approach enables designers and users to utilize printing setups that are designed for object prototypes, providing certainty about the quality of the printed products.</w:t>
      </w:r>
    </w:p>
    <w:p>
      <w:pPr>
        <w:pStyle w:val="BodyText"/>
      </w:pPr>
      <w:r>
        <w:t xml:space="preserve">One of the main results of this study demonstrates that there is a reduction about 41.7% (on average) in the maximum load supported for PLA (virgin and recycled) when the infill density changes from 100 to 40 %.</w:t>
      </w:r>
      <w:r>
        <w:t xml:space="preserve"> </w:t>
      </w:r>
      <w:r>
        <w:t xml:space="preserve">Moreover, it could be inferred from the results that an infill density of 40 % retained 58.1 % of the tensile strength.</w:t>
      </w:r>
      <w:r>
        <w:t xml:space="preserve"> </w:t>
      </w:r>
      <w:r>
        <w:t xml:space="preserve">This is a relevant insight for prescriptions of minimal conditions for 3D printing. Moreover, the use of recycled assets in the printing process may be a relevant method, considering the current priorities of the European Union in regard to circular economy and carbon-neutral strategy ambitions.</w:t>
      </w:r>
      <w:hyperlink w:anchor="ref-Schwarz2021">
        <w:r>
          <w:rPr>
            <w:rStyle w:val="Hyperlink"/>
            <w:vertAlign w:val="superscript"/>
          </w:rPr>
          <w:t xml:space="preserve">52</w:t>
        </w:r>
      </w:hyperlink>
      <w:r>
        <w:t xml:space="preserve"> </w:t>
      </w:r>
      <w:r>
        <w:t xml:space="preserve">Also, there is great development in applications using distributed recycling approaches.</w:t>
      </w:r>
      <w:r>
        <w:t xml:space="preserve"> </w:t>
      </w:r>
      <w:r>
        <w:t xml:space="preserve">For instance, Nur-A-Tomal et al.</w:t>
      </w:r>
      <w:hyperlink w:anchor="ref-Nur-A-Tomal2020">
        <w:r>
          <w:rPr>
            <w:rStyle w:val="Hyperlink"/>
            <w:vertAlign w:val="superscript"/>
          </w:rPr>
          <w:t xml:space="preserve">53</w:t>
        </w:r>
      </w:hyperlink>
      <w:r>
        <w:t xml:space="preserve"> </w:t>
      </w:r>
      <w:r>
        <w:t xml:space="preserve">presented a valuable example of waste-to-wealth to use waste plastic toys retaining the original color of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17</w:t>
        </w:r>
      </w:hyperlink>
      <w:r>
        <w:rPr>
          <w:vertAlign w:val="superscript"/>
        </w:rPr>
        <w:t xml:space="preserve">,</w:t>
      </w:r>
      <w:hyperlink w:anchor="ref-Sauerwein2019">
        <w:r>
          <w:rPr>
            <w:rStyle w:val="Hyperlink"/>
            <w:vertAlign w:val="superscript"/>
          </w:rPr>
          <w:t xml:space="preserve">54</w:t>
        </w:r>
      </w:hyperlink>
    </w:p>
    <w:p>
      <w:pPr>
        <w:pStyle w:val="BodyText"/>
      </w:pPr>
      <w:r>
        <w:t xml:space="preserve">There are certain limitations to this work in the perspective of materials and parameters tested.</w:t>
      </w:r>
      <w:r>
        <w:t xml:space="preserve"> </w:t>
      </w:r>
      <w:r>
        <w:t xml:space="preserve">Certainly, the use of other materials is needed to confirm the main findings.</w:t>
      </w:r>
      <w:r>
        <w:t xml:space="preserve"> </w:t>
      </w:r>
      <w:r>
        <w:t xml:space="preserve">Moreover, other factors are needed in order to consider the quality of a prototype. Clearly, other variables, such as aesthetic design, dimensional accuracy and surface quality</w:t>
      </w:r>
      <w:hyperlink w:anchor="ref-Jin2017">
        <w:r>
          <w:rPr>
            <w:rStyle w:val="Hyperlink"/>
            <w:vertAlign w:val="superscript"/>
          </w:rPr>
          <w:t xml:space="preserve">55</w:t>
        </w:r>
      </w:hyperlink>
      <w:r>
        <w:t xml:space="preserve"> </w:t>
      </w:r>
      <w:r>
        <w:t xml:space="preserve">are also key variables to include for the printed objects in addition to the mechanical properties in the prototypes where the main goal is user acceptability.</w:t>
      </w:r>
      <w:hyperlink w:anchor="ref-Sauer2009">
        <w:r>
          <w:rPr>
            <w:rStyle w:val="Hyperlink"/>
            <w:vertAlign w:val="superscript"/>
          </w:rPr>
          <w:t xml:space="preserve">56</w:t>
        </w:r>
      </w:hyperlink>
      <w:r>
        <w:rPr>
          <w:vertAlign w:val="superscript"/>
        </w:rPr>
        <w:t xml:space="preserve">,</w:t>
      </w:r>
      <w:hyperlink w:anchor="ref-Sauer2010">
        <w:r>
          <w:rPr>
            <w:rStyle w:val="Hyperlink"/>
            <w:vertAlign w:val="superscript"/>
          </w:rPr>
          <w:t xml:space="preserve">57</w:t>
        </w:r>
      </w:hyperlink>
      <w:r>
        <w:t xml:space="preserve"> </w:t>
      </w:r>
      <w:r>
        <w:t xml:space="preserve">Nevertheless, this is an ongoing study in which the main purpose is the statistical validation of the minimal conditions to promote the use of recycled materials in prototyping.</w:t>
      </w:r>
    </w:p>
    <w:bookmarkEnd w:id="41"/>
    <w:bookmarkStart w:id="42" w:name="section:conclusions"/>
    <w:p>
      <w:pPr>
        <w:pStyle w:val="Heading1"/>
      </w:pPr>
      <w:r>
        <w:rPr>
          <w:rStyle w:val="SectionNumber"/>
        </w:rPr>
        <w:t xml:space="preserve">5</w:t>
      </w:r>
      <w:r>
        <w:tab/>
      </w:r>
      <w:r>
        <w:t xml:space="preserve">Conclusions</w:t>
      </w:r>
    </w:p>
    <w:p>
      <w:pPr>
        <w:pStyle w:val="FirstParagraph"/>
      </w:pPr>
      <w:r>
        <w:t xml:space="preserve">The present study proposes a comprehensive experimental program to analyze the Fused Filament Fabrication process based on the tensile strength using virgin PLA and recycled PLA. The paper aims to improve the sustainability of the 3D printing process, proposing a methodology based on Design of Experiments approach in order to assess the technical feasibility of the substitution of recycled filaments for virgin ones by means of a better knowledge on the influence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Hyperlink"/>
            <w:vertAlign w:val="superscript"/>
          </w:rPr>
          <w:t xml:space="preserve">58</w:t>
        </w:r>
      </w:hyperlink>
    </w:p>
    <w:p>
      <w:pPr>
        <w:pStyle w:val="BodyText"/>
      </w:pPr>
      <w:r>
        <w:t xml:space="preserve">To a great extent, the printing conditions determined the tensile strength of the specimens. Specifically, the factor that most influenced the maximum load was the infill density.</w:t>
      </w:r>
      <w:r>
        <w:t xml:space="preserve"> </w:t>
      </w:r>
      <w:r>
        <w:t xml:space="preserve">The influence of the infill density on the maximum load made it possible to identify two different regions: from 40 to 80 %, linear behavior with a slight slope, and from 80 to 100 % where the maximum load notably increases to a greater extent. In general, the fracture of the virgin material corresponded to that of a fragile material, while the fracture of the recycled material showed more ductile behavior.</w:t>
      </w:r>
    </w:p>
    <w:p>
      <w:pPr>
        <w:pStyle w:val="BodyText"/>
      </w:pPr>
      <w:r>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w:t>
      </w:r>
      <w:r>
        <w:t xml:space="preserve"> </w:t>
      </w:r>
      <w:r>
        <w:t xml:space="preserve">Our results support the main argument for the substitution of recycled PLA for virgin PLA,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orientations, (ie., from 3 to 8 %).</w:t>
      </w:r>
      <w:r>
        <w:t xml:space="preserve"> </w:t>
      </w:r>
      <w:r>
        <w:t xml:space="preserve">Future research needs to evaluate the quality of a (recycled) prototype including quality aspects other than tensile aspects such as aesthetics, accuracy.</w:t>
      </w:r>
      <w:r>
        <w:t xml:space="preserve"> </w:t>
      </w:r>
      <w:r>
        <w:t xml:space="preserve">Moreover, the acceptability of recycled products that can be technical printable is a major milestone.</w:t>
      </w:r>
    </w:p>
    <w:p>
      <w:r>
        <w:br w:type="page"/>
      </w:r>
    </w:p>
    <w:bookmarkEnd w:id="42"/>
    <w:bookmarkStart w:id="43" w:name="acknowledgements"/>
    <w:p>
      <w:pPr>
        <w:pStyle w:val="Heading1"/>
      </w:pPr>
      <w:r>
        <w:rPr>
          <w:rStyle w:val="SectionNumber"/>
        </w:rPr>
        <w:t xml:space="preserve">6</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the Lorraine Fab Living Lab</w:t>
      </w:r>
    </w:p>
    <w:p>
      <w:pPr>
        <w:pStyle w:val="BodyText"/>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 under grant agreement No. 869952.</w:t>
      </w:r>
    </w:p>
    <w:bookmarkEnd w:id="43"/>
    <w:bookmarkStart w:id="44" w:name="declaration-of-interest-statement"/>
    <w:p>
      <w:pPr>
        <w:pStyle w:val="Heading1"/>
      </w:pPr>
      <w:r>
        <w:rPr>
          <w:rStyle w:val="SectionNumber"/>
        </w:rPr>
        <w:t xml:space="preserve">7</w:t>
      </w:r>
      <w:r>
        <w:tab/>
      </w:r>
      <w:r>
        <w:t xml:space="preserve">Declaration of interest statement</w:t>
      </w:r>
    </w:p>
    <w:p>
      <w:pPr>
        <w:pStyle w:val="FirstParagraph"/>
      </w:pPr>
      <w:r>
        <w:t xml:space="preserve">The authors report no declarations of interest.</w:t>
      </w:r>
    </w:p>
    <w:p>
      <w:r>
        <w:br w:type="page"/>
      </w:r>
    </w:p>
    <w:bookmarkEnd w:id="44"/>
    <w:bookmarkStart w:id="107" w:name="references"/>
    <w:p>
      <w:pPr>
        <w:pStyle w:val="Heading1"/>
      </w:pPr>
      <w:r>
        <w:t xml:space="preserve">References</w:t>
      </w:r>
    </w:p>
    <w:bookmarkStart w:id="106" w:name="refs"/>
    <w:bookmarkStart w:id="45"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5"/>
    <w:bookmarkStart w:id="46"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6"/>
    <w:bookmarkStart w:id="47"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47"/>
    <w:bookmarkStart w:id="48"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48"/>
    <w:bookmarkStart w:id="49" w:name="ref-Jiang2016"/>
    <w:p>
      <w:pPr>
        <w:pStyle w:val="Bibliography"/>
      </w:pPr>
      <w:r>
        <w:t xml:space="preserve">5.</w:t>
      </w:r>
      <w:r>
        <w:t xml:space="preserve"> </w:t>
      </w:r>
      <w:r>
        <w:t xml:space="preserve">	</w:t>
      </w:r>
      <w:r>
        <w:t xml:space="preserve">Jiang P, Leng J, Ding K, et al.</w:t>
      </w:r>
      <w:r>
        <w:t xml:space="preserve"> </w:t>
      </w:r>
      <w:r>
        <w:t xml:space="preserve">Social manufacturing as a sustainable paradigm for mass individualization</w:t>
      </w:r>
      <w:r>
        <w:t xml:space="preserve">.</w:t>
      </w:r>
      <w:r>
        <w:t xml:space="preserve"> </w:t>
      </w:r>
      <w:r>
        <w:rPr>
          <w:iCs/>
          <w:i/>
        </w:rPr>
        <w:t xml:space="preserve">Proc Inst Mech Eng Part B J Eng Manuf</w:t>
      </w:r>
      <w:r>
        <w:t xml:space="preserve"> </w:t>
      </w:r>
      <w:r>
        <w:t xml:space="preserve">2016; 230: 1961–1968.</w:t>
      </w:r>
    </w:p>
    <w:bookmarkEnd w:id="49"/>
    <w:bookmarkStart w:id="50" w:name="ref-Askari2020"/>
    <w:p>
      <w:pPr>
        <w:pStyle w:val="Bibliography"/>
      </w:pPr>
      <w:r>
        <w:t xml:space="preserve">6.</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50"/>
    <w:bookmarkStart w:id="51" w:name="ref-Wang2020f"/>
    <w:p>
      <w:pPr>
        <w:pStyle w:val="Bibliography"/>
      </w:pPr>
      <w:r>
        <w:t xml:space="preserve">7.</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1"/>
    <w:bookmarkStart w:id="52" w:name="ref-Niaki2019"/>
    <w:p>
      <w:pPr>
        <w:pStyle w:val="Bibliography"/>
      </w:pPr>
      <w:r>
        <w:t xml:space="preserve">8.</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2"/>
    <w:bookmarkStart w:id="53" w:name="ref-Peng2018"/>
    <w:p>
      <w:pPr>
        <w:pStyle w:val="Bibliography"/>
      </w:pPr>
      <w:r>
        <w:t xml:space="preserve">9.</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3"/>
    <w:bookmarkStart w:id="54" w:name="ref-Despeisse2016"/>
    <w:p>
      <w:pPr>
        <w:pStyle w:val="Bibliography"/>
      </w:pPr>
      <w:r>
        <w:t xml:space="preserve">10.</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4"/>
    <w:bookmarkStart w:id="55" w:name="ref-GonzalezHenriquez2019"/>
    <w:p>
      <w:pPr>
        <w:pStyle w:val="Bibliography"/>
      </w:pPr>
      <w:r>
        <w:t xml:space="preserve">11.</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5"/>
    <w:bookmarkStart w:id="56" w:name="ref-Ryberg2019"/>
    <w:p>
      <w:pPr>
        <w:pStyle w:val="Bibliography"/>
      </w:pPr>
      <w:r>
        <w:t xml:space="preserve">12.</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6"/>
    <w:bookmarkStart w:id="57" w:name="ref-Elverum2016"/>
    <w:p>
      <w:pPr>
        <w:pStyle w:val="Bibliography"/>
      </w:pPr>
      <w:r>
        <w:t xml:space="preserve">13.</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7"/>
    <w:bookmarkStart w:id="58" w:name="ref-Menold2017"/>
    <w:p>
      <w:pPr>
        <w:pStyle w:val="Bibliography"/>
      </w:pPr>
      <w:r>
        <w:t xml:space="preserve">14.</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58"/>
    <w:bookmarkStart w:id="60" w:name="ref-Hansen2020"/>
    <w:p>
      <w:pPr>
        <w:pStyle w:val="Bibliography"/>
      </w:pPr>
      <w:r>
        <w:t xml:space="preserve">15.</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59">
        <w:r>
          <w:rPr>
            <w:rStyle w:val="Hyperlink"/>
          </w:rPr>
          <w:t xml:space="preserve">10.1115/1.4045385</w:t>
        </w:r>
      </w:hyperlink>
      <w:r>
        <w:t xml:space="preserve">.</w:t>
      </w:r>
    </w:p>
    <w:bookmarkEnd w:id="60"/>
    <w:bookmarkStart w:id="61" w:name="ref-Campbell2012"/>
    <w:p>
      <w:pPr>
        <w:pStyle w:val="Bibliography"/>
      </w:pPr>
      <w:r>
        <w:t xml:space="preserve">16.</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1"/>
    <w:bookmarkStart w:id="62" w:name="ref-CruzSanchez2020"/>
    <w:p>
      <w:pPr>
        <w:pStyle w:val="Bibliography"/>
      </w:pPr>
      <w:r>
        <w:t xml:space="preserve">17.</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2"/>
    <w:bookmarkStart w:id="64" w:name="ref-Mikula2020"/>
    <w:p>
      <w:pPr>
        <w:pStyle w:val="Bibliography"/>
      </w:pPr>
      <w:r>
        <w:t xml:space="preserve">18.</w:t>
      </w:r>
      <w:r>
        <w:t xml:space="preserve"> </w:t>
      </w:r>
      <w:r>
        <w:t xml:space="preserve">	</w:t>
      </w:r>
      <w:r>
        <w:t xml:space="preserve">Mikula K, Skrzypczak D, Izydorczyk G, et al.</w:t>
      </w:r>
      <w:r>
        <w:t xml:space="preserve"> </w:t>
      </w:r>
      <w:r>
        <w:t xml:space="preserve">3D printing filament as a second life of waste plastics—a review</w:t>
      </w:r>
      <w:r>
        <w:t xml:space="preserve">.</w:t>
      </w:r>
      <w:r>
        <w:t xml:space="preserve"> </w:t>
      </w:r>
      <w:r>
        <w:rPr>
          <w:iCs/>
          <w:i/>
        </w:rPr>
        <w:t xml:space="preserve">Environ Sci Pollut Res</w:t>
      </w:r>
      <w:r>
        <w:t xml:space="preserve">. Epub ahead of print September 2020. DOI:</w:t>
      </w:r>
      <w:r>
        <w:t xml:space="preserve"> </w:t>
      </w:r>
      <w:hyperlink r:id="rId63">
        <w:r>
          <w:rPr>
            <w:rStyle w:val="Hyperlink"/>
          </w:rPr>
          <w:t xml:space="preserve">10.1007/s11356-020-10657-8</w:t>
        </w:r>
      </w:hyperlink>
      <w:r>
        <w:t xml:space="preserve">.</w:t>
      </w:r>
    </w:p>
    <w:bookmarkEnd w:id="64"/>
    <w:bookmarkStart w:id="65" w:name="ref-Lovo2018"/>
    <w:p>
      <w:pPr>
        <w:pStyle w:val="Bibliography"/>
      </w:pPr>
      <w:r>
        <w:t xml:space="preserve">19.</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5"/>
    <w:bookmarkStart w:id="66" w:name="ref-Laureto2018"/>
    <w:p>
      <w:pPr>
        <w:pStyle w:val="Bibliography"/>
      </w:pPr>
      <w:r>
        <w:t xml:space="preserve">20.</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6"/>
    <w:bookmarkStart w:id="67" w:name="ref-Popescu2018"/>
    <w:p>
      <w:pPr>
        <w:pStyle w:val="Bibliography"/>
      </w:pPr>
      <w:r>
        <w:t xml:space="preserve">21.</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7"/>
    <w:bookmarkStart w:id="68" w:name="ref-Tymrak2014a"/>
    <w:p>
      <w:pPr>
        <w:pStyle w:val="Bibliography"/>
      </w:pPr>
      <w:r>
        <w:t xml:space="preserve">22.</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8"/>
    <w:bookmarkStart w:id="69" w:name="ref-Altan2018"/>
    <w:p>
      <w:pPr>
        <w:pStyle w:val="Bibliography"/>
      </w:pPr>
      <w:r>
        <w:t xml:space="preserve">23.</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9"/>
    <w:bookmarkStart w:id="70" w:name="ref-Yao2019"/>
    <w:p>
      <w:pPr>
        <w:pStyle w:val="Bibliography"/>
      </w:pPr>
      <w:r>
        <w:t xml:space="preserve">24.</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70"/>
    <w:bookmarkStart w:id="71" w:name="ref-Alafaghani2018"/>
    <w:p>
      <w:pPr>
        <w:pStyle w:val="Bibliography"/>
      </w:pPr>
      <w:r>
        <w:t xml:space="preserve">25.</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71"/>
    <w:bookmarkStart w:id="72" w:name="ref-Little2020"/>
    <w:p>
      <w:pPr>
        <w:pStyle w:val="Bibliography"/>
      </w:pPr>
      <w:r>
        <w:t xml:space="preserve">26.</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72"/>
    <w:bookmarkStart w:id="73" w:name="ref-Zhao2018"/>
    <w:p>
      <w:pPr>
        <w:pStyle w:val="Bibliography"/>
      </w:pPr>
      <w:r>
        <w:t xml:space="preserve">27.</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3"/>
    <w:bookmarkStart w:id="74" w:name="ref-Petrovic2011"/>
    <w:p>
      <w:pPr>
        <w:pStyle w:val="Bibliography"/>
      </w:pPr>
      <w:r>
        <w:t xml:space="preserve">28.</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4"/>
    <w:bookmarkStart w:id="75" w:name="ref-Wittbrodt2013"/>
    <w:p>
      <w:pPr>
        <w:pStyle w:val="Bibliography"/>
      </w:pPr>
      <w:r>
        <w:t xml:space="preserve">29.</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5"/>
    <w:bookmarkStart w:id="76" w:name="ref-Santander2020"/>
    <w:p>
      <w:pPr>
        <w:pStyle w:val="Bibliography"/>
      </w:pPr>
      <w:r>
        <w:t xml:space="preserve">30.</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6"/>
    <w:bookmarkStart w:id="77" w:name="ref-Suarez2020"/>
    <w:p>
      <w:pPr>
        <w:pStyle w:val="Bibliography"/>
      </w:pPr>
      <w:r>
        <w:t xml:space="preserve">31.</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7"/>
    <w:bookmarkStart w:id="78" w:name="ref-CruzSanchez2017"/>
    <w:p>
      <w:pPr>
        <w:pStyle w:val="Bibliography"/>
      </w:pPr>
      <w:r>
        <w:t xml:space="preserve">32.</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8"/>
    <w:bookmarkStart w:id="79" w:name="ref-Lanzotti2019"/>
    <w:p>
      <w:pPr>
        <w:pStyle w:val="Bibliography"/>
      </w:pPr>
      <w:r>
        <w:t xml:space="preserve">33.</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9"/>
    <w:bookmarkStart w:id="80" w:name="ref-Anderson2017"/>
    <w:p>
      <w:pPr>
        <w:pStyle w:val="Bibliography"/>
      </w:pPr>
      <w:r>
        <w:t xml:space="preserve">34.</w:t>
      </w:r>
      <w:r>
        <w:t xml:space="preserve"> </w:t>
      </w:r>
      <w:r>
        <w:t xml:space="preserve">	</w:t>
      </w:r>
      <w:r>
        <w:t xml:space="preserve">Anderson I.</w:t>
      </w:r>
      <w:r>
        <w:t xml:space="preserve"> </w:t>
      </w:r>
      <w:r>
        <w:t xml:space="preserve">Mechanical Properties of Specimens 3D Printed with Virgin and Recycled Polylactic Acid</w:t>
      </w:r>
      <w:r>
        <w:t xml:space="preserve">.</w:t>
      </w:r>
      <w:r>
        <w:t xml:space="preserve"> </w:t>
      </w:r>
      <w:r>
        <w:rPr>
          <w:iCs/>
          <w:i/>
        </w:rPr>
        <w:t xml:space="preserve">3D Print Addit Manuf</w:t>
      </w:r>
      <w:r>
        <w:t xml:space="preserve"> </w:t>
      </w:r>
      <w:r>
        <w:t xml:space="preserve">2017; 4: 110–115.</w:t>
      </w:r>
    </w:p>
    <w:bookmarkEnd w:id="80"/>
    <w:bookmarkStart w:id="81" w:name="ref-Kumar2018b"/>
    <w:p>
      <w:pPr>
        <w:pStyle w:val="Bibliography"/>
      </w:pPr>
      <w:r>
        <w:t xml:space="preserve">35.</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81"/>
    <w:bookmarkStart w:id="82" w:name="ref-Babagowda2018"/>
    <w:p>
      <w:pPr>
        <w:pStyle w:val="Bibliography"/>
      </w:pPr>
      <w:r>
        <w:t xml:space="preserve">36.</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2"/>
    <w:bookmarkStart w:id="83" w:name="ref-Pinho2020"/>
    <w:p>
      <w:pPr>
        <w:pStyle w:val="Bibliography"/>
      </w:pPr>
      <w:r>
        <w:t xml:space="preserve">37.</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83"/>
    <w:bookmarkStart w:id="84" w:name="ref-Zhao2018a"/>
    <w:p>
      <w:pPr>
        <w:pStyle w:val="Bibliography"/>
      </w:pPr>
      <w:r>
        <w:t xml:space="preserve">38.</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84"/>
    <w:bookmarkStart w:id="85" w:name="ref-Rebaioli2017"/>
    <w:p>
      <w:pPr>
        <w:pStyle w:val="Bibliography"/>
      </w:pPr>
      <w:r>
        <w:t xml:space="preserve">39.</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5"/>
    <w:bookmarkStart w:id="86" w:name="ref-CruzSanchez2014"/>
    <w:p>
      <w:pPr>
        <w:pStyle w:val="Bibliography"/>
      </w:pPr>
      <w:r>
        <w:t xml:space="preserve">40.</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6"/>
    <w:bookmarkStart w:id="87" w:name="ref-Roberson2013"/>
    <w:p>
      <w:pPr>
        <w:pStyle w:val="Bibliography"/>
      </w:pPr>
      <w:r>
        <w:t xml:space="preserve">41.</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7"/>
    <w:bookmarkStart w:id="88" w:name="ref-JaisinghSheoran2019"/>
    <w:p>
      <w:pPr>
        <w:pStyle w:val="Bibliography"/>
      </w:pPr>
      <w:r>
        <w:t xml:space="preserve">42.</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8"/>
    <w:bookmarkStart w:id="89" w:name="ref-Chacon2017"/>
    <w:p>
      <w:pPr>
        <w:pStyle w:val="Bibliography"/>
      </w:pPr>
      <w:r>
        <w:t xml:space="preserve">43.</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89"/>
    <w:bookmarkStart w:id="90" w:name="ref-Montgomery2001"/>
    <w:p>
      <w:pPr>
        <w:pStyle w:val="Bibliography"/>
      </w:pPr>
      <w:r>
        <w:t xml:space="preserve">44.</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90"/>
    <w:bookmarkStart w:id="91" w:name="ref-Singh2019"/>
    <w:p>
      <w:pPr>
        <w:pStyle w:val="Bibliography"/>
      </w:pPr>
      <w:r>
        <w:t xml:space="preserve">45.</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91"/>
    <w:bookmarkStart w:id="92" w:name="ref-Tanveer2019"/>
    <w:p>
      <w:pPr>
        <w:pStyle w:val="Bibliography"/>
      </w:pPr>
      <w:r>
        <w:t xml:space="preserve">46.</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92"/>
    <w:bookmarkStart w:id="93" w:name="ref-UNE"/>
    <w:p>
      <w:pPr>
        <w:pStyle w:val="Bibliography"/>
      </w:pPr>
      <w:r>
        <w:t xml:space="preserve">47.</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3"/>
    <w:bookmarkStart w:id="94" w:name="ref-Wang2020h"/>
    <w:p>
      <w:pPr>
        <w:pStyle w:val="Bibliography"/>
      </w:pPr>
      <w:r>
        <w:t xml:space="preserve">48.</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4"/>
    <w:bookmarkStart w:id="95" w:name="ref-Garcia-Dominguez2020"/>
    <w:p>
      <w:pPr>
        <w:pStyle w:val="Bibliography"/>
      </w:pPr>
      <w:r>
        <w:t xml:space="preserve">49.</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5"/>
    <w:bookmarkStart w:id="96" w:name="ref-Corapi2019"/>
    <w:p>
      <w:pPr>
        <w:pStyle w:val="Bibliography"/>
      </w:pPr>
      <w:r>
        <w:t xml:space="preserve">50.</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6"/>
    <w:bookmarkStart w:id="97" w:name="ref-Wagner2020"/>
    <w:p>
      <w:pPr>
        <w:pStyle w:val="Bibliography"/>
      </w:pPr>
      <w:r>
        <w:t xml:space="preserve">51.</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7"/>
    <w:bookmarkStart w:id="98" w:name="ref-Schwarz2021"/>
    <w:p>
      <w:pPr>
        <w:pStyle w:val="Bibliography"/>
      </w:pPr>
      <w:r>
        <w:t xml:space="preserve">52.</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8"/>
    <w:bookmarkStart w:id="100" w:name="ref-Nur-A-Tomal2020"/>
    <w:p>
      <w:pPr>
        <w:pStyle w:val="Bibliography"/>
      </w:pPr>
      <w:r>
        <w:t xml:space="preserve">53.</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99">
        <w:r>
          <w:rPr>
            <w:rStyle w:val="Hyperlink"/>
          </w:rPr>
          <w:t xml:space="preserve">10.1016/j.jclepro.2020.122188</w:t>
        </w:r>
      </w:hyperlink>
      <w:r>
        <w:t xml:space="preserve">.</w:t>
      </w:r>
    </w:p>
    <w:bookmarkEnd w:id="100"/>
    <w:bookmarkStart w:id="101" w:name="ref-Sauerwein2019"/>
    <w:p>
      <w:pPr>
        <w:pStyle w:val="Bibliography"/>
      </w:pPr>
      <w:r>
        <w:t xml:space="preserve">54.</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101"/>
    <w:bookmarkStart w:id="102" w:name="ref-Jin2017"/>
    <w:p>
      <w:pPr>
        <w:pStyle w:val="Bibliography"/>
      </w:pPr>
      <w:r>
        <w:t xml:space="preserve">55.</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102"/>
    <w:bookmarkStart w:id="103" w:name="ref-Sauer2009"/>
    <w:p>
      <w:pPr>
        <w:pStyle w:val="Bibliography"/>
      </w:pPr>
      <w:r>
        <w:t xml:space="preserve">56.</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103"/>
    <w:bookmarkStart w:id="104" w:name="ref-Sauer2010"/>
    <w:p>
      <w:pPr>
        <w:pStyle w:val="Bibliography"/>
      </w:pPr>
      <w:r>
        <w:t xml:space="preserve">57.</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4"/>
    <w:bookmarkStart w:id="105" w:name="ref-Kohtala2015a"/>
    <w:p>
      <w:pPr>
        <w:pStyle w:val="Bibliography"/>
      </w:pPr>
      <w:r>
        <w:t xml:space="preserve">58.</w:t>
      </w:r>
      <w:r>
        <w:t xml:space="preserve"> </w:t>
      </w:r>
      <w:r>
        <w:t xml:space="preserve">	</w:t>
      </w:r>
      <w:r>
        <w:t xml:space="preserve">Kohtala C.</w:t>
      </w:r>
      <w:r>
        <w:t xml:space="preserve"> </w:t>
      </w:r>
      <w:r>
        <w:t xml:space="preserve">Addressing sustainability in research on distributed production: an integrated literature review</w:t>
      </w:r>
      <w:r>
        <w:t xml:space="preserve">.</w:t>
      </w:r>
      <w:r>
        <w:t xml:space="preserve"> </w:t>
      </w:r>
      <w:r>
        <w:rPr>
          <w:iCs/>
          <w:i/>
        </w:rPr>
        <w:t xml:space="preserve">J Clean Prod</w:t>
      </w:r>
      <w:r>
        <w:t xml:space="preserve"> </w:t>
      </w:r>
      <w:r>
        <w:t xml:space="preserve">2015; 106: 654–668.</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8" Target="media/rId28.pdf"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dcterms:created xsi:type="dcterms:W3CDTF">2021-09-08T15:15:53Z</dcterms:created>
  <dcterms:modified xsi:type="dcterms:W3CDTF">2021-09-08T15:15:53Z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