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CCNL METALMECCANICI</w:t>
        <w:br/>
        <w:t>MAPPA DI INTEGRAZIONE 2021 → 2025</w:t>
      </w:r>
    </w:p>
    <w:p>
      <w:pPr>
        <w:jc w:val="center"/>
      </w:pPr>
      <w:r>
        <w:rPr>
          <w:i/>
          <w:sz w:val="22"/>
        </w:rPr>
        <w:t>Base di lavoro per MyRSU – stato della ricostruzione</w:t>
      </w:r>
    </w:p>
    <w:p/>
    <w:p>
      <w:pPr>
        <w:pStyle w:val="Heading1"/>
      </w:pPr>
      <w:r>
        <w:t>1. Fonti utilizzate</w:t>
      </w:r>
    </w:p>
    <w:p>
      <w:r>
        <w:rPr>
          <w:b/>
        </w:rPr>
        <w:t xml:space="preserve">Base consolidata: </w:t>
      </w:r>
      <w:r>
        <w:t>CCNL 5 febbraio 2021, testo completo di 288 pagine, edizione autorizzata dalle organizzazioni firmatarie e verificata conforme al testo originale.</w:t>
      </w:r>
    </w:p>
    <w:p>
      <w:r>
        <w:rPr>
          <w:b/>
        </w:rPr>
        <w:t xml:space="preserve">Aggiornamento: </w:t>
      </w:r>
      <w:r>
        <w:t>Accordo di rinnovo sottoscritto il 22 novembre 2025, 51 pagine, contenente le modifiche e integrazioni al CCNL, con numerosi “Omissis” nelle parti non modificate.</w:t>
      </w:r>
    </w:p>
    <w:p>
      <w:r>
        <w:rPr>
          <w:b/>
        </w:rPr>
        <w:t xml:space="preserve">Criterio di ricostruzione: </w:t>
      </w:r>
      <w:r>
        <w:t>gli “Omissis” del rinnovo 2025 non sono cancellazioni. In quei punti resta applicabile il testo del CCNL 2021, salvo che una disposizione successiva lo modifichi, lo sostituisca o lo abroghi espressamente.</w:t>
      </w:r>
    </w:p>
    <w:p>
      <w:pPr>
        <w:pStyle w:val="Heading1"/>
      </w:pPr>
      <w:r>
        <w:t>2. Aree del CCNL interessate dal rinnovo 2025</w:t>
      </w:r>
    </w:p>
    <w:p>
      <w:pPr>
        <w:ind w:left="227"/>
      </w:pPr>
      <w:r>
        <w:rPr>
          <w:b/>
        </w:rPr>
        <w:t xml:space="preserve">Trattamento economico: </w:t>
      </w:r>
      <w:r>
        <w:t>Nuovi minimi tabellari con decorrenze 1 giugno 2026, 1 giugno 2027 e 1 giugno 2028; conferma delle regole sull’assorbibilità salvo clausola espressa di non assorbibilità.</w:t>
      </w:r>
    </w:p>
    <w:p>
      <w:pPr>
        <w:ind w:left="227"/>
      </w:pPr>
      <w:r>
        <w:rPr>
          <w:b/>
        </w:rPr>
        <w:t xml:space="preserve">Campo di applicazione: </w:t>
      </w:r>
      <w:r>
        <w:t>Aggiornamenti ed estensioni, fra cui impianti fotovoltaici e Facility Management Tecnologico.</w:t>
      </w:r>
    </w:p>
    <w:p>
      <w:pPr>
        <w:ind w:left="227"/>
      </w:pPr>
      <w:r>
        <w:rPr>
          <w:b/>
        </w:rPr>
        <w:t xml:space="preserve">Relazioni industriali e informazione: </w:t>
      </w:r>
      <w:r>
        <w:t>Rafforzamento di informazione/consultazione, osservatori, dati occupazionali, formativi e retributivi; schema informativo standard da predisporre.</w:t>
      </w:r>
    </w:p>
    <w:p>
      <w:pPr>
        <w:ind w:left="227"/>
      </w:pPr>
      <w:r>
        <w:rPr>
          <w:b/>
        </w:rPr>
        <w:t xml:space="preserve">Formazione professionale: </w:t>
      </w:r>
      <w:r>
        <w:t>Aggiornamento delle commissioni e dei compiti; introduzione esplicita di MetApprendo nella disciplina contrattuale.</w:t>
      </w:r>
    </w:p>
    <w:p>
      <w:pPr>
        <w:ind w:left="227"/>
      </w:pPr>
      <w:r>
        <w:rPr>
          <w:b/>
        </w:rPr>
        <w:t xml:space="preserve">Formazione continua: </w:t>
      </w:r>
      <w:r>
        <w:t>Confermate le 24 ore pro-capite per triennio; estensione a determinati lavoratori a termine e in somministrazione; maggiori obblighi di pianificazione, monitoraggio e informativa annuale alla RSU.</w:t>
      </w:r>
    </w:p>
    <w:p>
      <w:pPr>
        <w:ind w:left="227"/>
      </w:pPr>
      <w:r>
        <w:rPr>
          <w:b/>
        </w:rPr>
        <w:t xml:space="preserve">MetApprendo: </w:t>
      </w:r>
      <w:r>
        <w:t>Dal 1 gennaio 2026 contributo aziendale annuo di 1,50 euro per dipendente, calcolato sul personale in forza al 31 dicembre dell’anno precedente.</w:t>
      </w:r>
    </w:p>
    <w:p>
      <w:pPr>
        <w:ind w:left="227"/>
      </w:pPr>
      <w:r>
        <w:rPr>
          <w:b/>
        </w:rPr>
        <w:t xml:space="preserve">Salute e sicurezza / RLS: </w:t>
      </w:r>
      <w:r>
        <w:t>Rafforzamento dell’analisi post-incidente, break formativi, segnalazione dei quasi infortuni e valutazione periodica congiunta RSPP-RLS.</w:t>
      </w:r>
    </w:p>
    <w:p>
      <w:pPr>
        <w:ind w:left="227"/>
      </w:pPr>
      <w:r>
        <w:rPr>
          <w:b/>
        </w:rPr>
        <w:t xml:space="preserve">Appalti: </w:t>
      </w:r>
      <w:r>
        <w:t>Nuovi obblighi informativi nelle aziende con più di 400 dipendenti e disciplina più articolata del cambio appalto.</w:t>
      </w:r>
    </w:p>
    <w:p>
      <w:pPr>
        <w:ind w:left="227"/>
      </w:pPr>
      <w:r>
        <w:rPr>
          <w:b/>
        </w:rPr>
        <w:t xml:space="preserve">Lavoro a termine e somministrazione: </w:t>
      </w:r>
      <w:r>
        <w:t>Nuove regole sulle causali, stabilizzazioni e informativa periodica alla RSU.</w:t>
      </w:r>
    </w:p>
    <w:p>
      <w:pPr>
        <w:ind w:left="227"/>
      </w:pPr>
      <w:r>
        <w:rPr>
          <w:b/>
        </w:rPr>
        <w:t xml:space="preserve">Mansioni superiori: </w:t>
      </w:r>
      <w:r>
        <w:t>Modifica dei periodi utili al passaggio di livello.</w:t>
      </w:r>
    </w:p>
    <w:p>
      <w:pPr>
        <w:ind w:left="227"/>
      </w:pPr>
      <w:r>
        <w:rPr>
          <w:b/>
        </w:rPr>
        <w:t xml:space="preserve">Orario, turni, PAR e straordinario: </w:t>
      </w:r>
      <w:r>
        <w:t>Modifiche a orario plurisettimanale, quote esenti, permessi aggiuntivi per turnazioni e gestione dei PAR.</w:t>
      </w:r>
    </w:p>
    <w:p>
      <w:pPr>
        <w:ind w:left="227"/>
      </w:pPr>
      <w:r>
        <w:rPr>
          <w:b/>
        </w:rPr>
        <w:t xml:space="preserve">Malattia, disabilità e congedi: </w:t>
      </w:r>
      <w:r>
        <w:t>Nuove tutele e prolungamenti del periodo di conservazione del posto in specifiche condizioni.</w:t>
      </w:r>
    </w:p>
    <w:p>
      <w:pPr>
        <w:ind w:left="227"/>
      </w:pPr>
      <w:r>
        <w:rPr>
          <w:b/>
        </w:rPr>
        <w:t xml:space="preserve">Pari opportunità e molestie: </w:t>
      </w:r>
      <w:r>
        <w:t>Rafforzamento delle misure di prevenzione, coinvolgimento RSU e iniziative formative/informative.</w:t>
      </w:r>
    </w:p>
    <w:p>
      <w:pPr>
        <w:ind w:left="227"/>
      </w:pPr>
      <w:r>
        <w:rPr>
          <w:b/>
        </w:rPr>
        <w:t xml:space="preserve">Apprendistato: </w:t>
      </w:r>
      <w:r>
        <w:t>Aggiornamenti alla disciplina economica e formativa.</w:t>
      </w:r>
    </w:p>
    <w:p>
      <w:pPr>
        <w:pStyle w:val="Heading1"/>
      </w:pPr>
      <w:r>
        <w:t>3. Integrazioni già verificate come rilevanti per MyRSU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Materia</w:t>
            </w:r>
          </w:p>
        </w:tc>
        <w:tc>
          <w:tcPr>
            <w:tcW w:type="dxa" w:w="3400"/>
          </w:tcPr>
          <w:p>
            <w:r>
              <w:t>CCNL 2021</w:t>
            </w:r>
          </w:p>
        </w:tc>
        <w:tc>
          <w:tcPr>
            <w:tcW w:type="dxa" w:w="3400"/>
          </w:tcPr>
          <w:p>
            <w:r>
              <w:t>Rinnovo 2025 / testo coordinato</w:t>
            </w:r>
          </w:p>
        </w:tc>
      </w:tr>
      <w:tr>
        <w:tc>
          <w:tcPr>
            <w:tcW w:type="dxa" w:w="3400"/>
            <w:vAlign w:val="top"/>
          </w:tcPr>
          <w:p>
            <w:r>
              <w:t>Commissione aziendale formazione</w:t>
            </w:r>
          </w:p>
        </w:tc>
        <w:tc>
          <w:tcPr>
            <w:tcW w:type="dxa" w:w="3400"/>
            <w:vAlign w:val="top"/>
          </w:tcPr>
          <w:p>
            <w:r>
              <w:t>Prevista nelle aziende con almeno 500 dipendenti nella stessa unità produttiva.</w:t>
            </w:r>
          </w:p>
        </w:tc>
        <w:tc>
          <w:tcPr>
            <w:tcW w:type="dxa" w:w="3400"/>
            <w:vAlign w:val="top"/>
          </w:tcPr>
          <w:p>
            <w:r>
              <w:t>La soglia viene portata a 300 dipendenti.</w:t>
            </w:r>
          </w:p>
        </w:tc>
      </w:tr>
      <w:tr>
        <w:tc>
          <w:tcPr>
            <w:tcW w:type="dxa" w:w="3400"/>
            <w:vAlign w:val="top"/>
          </w:tcPr>
          <w:p>
            <w:r>
              <w:t>Referente RSU formazione</w:t>
            </w:r>
          </w:p>
        </w:tc>
        <w:tc>
          <w:tcPr>
            <w:tcW w:type="dxa" w:w="3400"/>
            <w:vAlign w:val="top"/>
          </w:tcPr>
          <w:p>
            <w:r>
              <w:t>Nelle unità produttive con oltre 300 dipendenti la RSU può individuare un proprio referente.</w:t>
            </w:r>
          </w:p>
        </w:tc>
        <w:tc>
          <w:tcPr>
            <w:tcW w:type="dxa" w:w="3400"/>
            <w:vAlign w:val="top"/>
          </w:tcPr>
          <w:p>
            <w:r>
              <w:t>La previsione resta confermata.</w:t>
            </w:r>
          </w:p>
        </w:tc>
      </w:tr>
      <w:tr>
        <w:tc>
          <w:tcPr>
            <w:tcW w:type="dxa" w:w="3400"/>
            <w:vAlign w:val="top"/>
          </w:tcPr>
          <w:p>
            <w:r>
              <w:t>Formazione continua</w:t>
            </w:r>
          </w:p>
        </w:tc>
        <w:tc>
          <w:tcPr>
            <w:tcW w:type="dxa" w:w="3400"/>
            <w:vAlign w:val="top"/>
          </w:tcPr>
          <w:p>
            <w:r>
              <w:t>24 ore pro-capite nel triennio; formazione sicurezza ex art. 37 D.Lgs. 81/2008 esclusa dal computo.</w:t>
            </w:r>
          </w:p>
        </w:tc>
        <w:tc>
          <w:tcPr>
            <w:tcW w:type="dxa" w:w="3400"/>
            <w:vAlign w:val="top"/>
          </w:tcPr>
          <w:p>
            <w:r>
              <w:t>24 ore confermate; estensione anche a tempo determinato e somministrazione quando il contratto è compatibile e di durata non inferiore a 9 mesi continuativi.</w:t>
            </w:r>
          </w:p>
        </w:tc>
      </w:tr>
      <w:tr>
        <w:tc>
          <w:tcPr>
            <w:tcW w:type="dxa" w:w="3400"/>
            <w:vAlign w:val="top"/>
          </w:tcPr>
          <w:p>
            <w:r>
              <w:t>Informativa alla RSU sulla formazione</w:t>
            </w:r>
          </w:p>
        </w:tc>
        <w:tc>
          <w:tcPr>
            <w:tcW w:type="dxa" w:w="3400"/>
            <w:vAlign w:val="top"/>
          </w:tcPr>
          <w:p>
            <w:r>
              <w:t>Prevista informativa sull’attuazione del diritto soggettivo.</w:t>
            </w:r>
          </w:p>
        </w:tc>
        <w:tc>
          <w:tcPr>
            <w:tcW w:type="dxa" w:w="3400"/>
            <w:vAlign w:val="top"/>
          </w:tcPr>
          <w:p>
            <w:r>
              <w:t>Diventa espressamente annuale; maggiore rilievo a pianificazione, fabbisogni e registrazione della formazione.</w:t>
            </w:r>
          </w:p>
        </w:tc>
      </w:tr>
      <w:tr>
        <w:tc>
          <w:tcPr>
            <w:tcW w:type="dxa" w:w="3400"/>
            <w:vAlign w:val="top"/>
          </w:tcPr>
          <w:p>
            <w:r>
              <w:t>MetApprendo</w:t>
            </w:r>
          </w:p>
        </w:tc>
        <w:tc>
          <w:tcPr>
            <w:tcW w:type="dxa" w:w="3400"/>
            <w:vAlign w:val="top"/>
          </w:tcPr>
          <w:p>
            <w:r>
              <w:t>Servizi per la formazione costituiti dopo il CCNL 2021.</w:t>
            </w:r>
          </w:p>
        </w:tc>
        <w:tc>
          <w:tcPr>
            <w:tcW w:type="dxa" w:w="3400"/>
            <w:vAlign w:val="top"/>
          </w:tcPr>
          <w:p>
            <w:r>
              <w:t>Dal 1/1/2026 contributo obbligatorio aziendale di 1,50 € annui per dipendente.</w:t>
            </w:r>
          </w:p>
        </w:tc>
      </w:tr>
      <w:tr>
        <w:tc>
          <w:tcPr>
            <w:tcW w:type="dxa" w:w="3400"/>
            <w:vAlign w:val="top"/>
          </w:tcPr>
          <w:p>
            <w:r>
              <w:t>Quasi infortuni</w:t>
            </w:r>
          </w:p>
        </w:tc>
        <w:tc>
          <w:tcPr>
            <w:tcW w:type="dxa" w:w="3400"/>
            <w:vAlign w:val="top"/>
          </w:tcPr>
          <w:p>
            <w:r>
              <w:t>Prevista possibilità di sperimentare sistemi aziendali di segnalazione.</w:t>
            </w:r>
          </w:p>
        </w:tc>
        <w:tc>
          <w:tcPr>
            <w:tcW w:type="dxa" w:w="3400"/>
            <w:vAlign w:val="top"/>
          </w:tcPr>
          <w:p>
            <w:r>
              <w:t>In tutte le aziende devono essere adottati sistemi di segnalazione; valutazione congiunta RSPP-RLS con cadenza quadrimestrale.</w:t>
            </w:r>
          </w:p>
        </w:tc>
      </w:tr>
      <w:tr>
        <w:tc>
          <w:tcPr>
            <w:tcW w:type="dxa" w:w="3400"/>
            <w:vAlign w:val="top"/>
          </w:tcPr>
          <w:p>
            <w:r>
              <w:t>Analisi post-incidente</w:t>
            </w:r>
          </w:p>
        </w:tc>
        <w:tc>
          <w:tcPr>
            <w:tcW w:type="dxa" w:w="3400"/>
            <w:vAlign w:val="top"/>
          </w:tcPr>
          <w:p>
            <w:r>
              <w:t>Disciplina generale di prevenzione e ruolo RLS.</w:t>
            </w:r>
          </w:p>
        </w:tc>
        <w:tc>
          <w:tcPr>
            <w:tcW w:type="dxa" w:w="3400"/>
            <w:vAlign w:val="top"/>
          </w:tcPr>
          <w:p>
            <w:r>
              <w:t>Prevista analisi post-incidentale da parte del RSPP con coinvolgimento degli RLS e adozione prioritaria di break formativi o altri interventi.</w:t>
            </w:r>
          </w:p>
        </w:tc>
      </w:tr>
      <w:tr>
        <w:tc>
          <w:tcPr>
            <w:tcW w:type="dxa" w:w="3400"/>
            <w:vAlign w:val="top"/>
          </w:tcPr>
          <w:p>
            <w:r>
              <w:t>Appalti</w:t>
            </w:r>
          </w:p>
        </w:tc>
        <w:tc>
          <w:tcPr>
            <w:tcW w:type="dxa" w:w="3400"/>
            <w:vAlign w:val="top"/>
          </w:tcPr>
          <w:p>
            <w:r>
              <w:t>Informazioni e tutele già disciplinate.</w:t>
            </w:r>
          </w:p>
        </w:tc>
        <w:tc>
          <w:tcPr>
            <w:tcW w:type="dxa" w:w="3400"/>
            <w:vAlign w:val="top"/>
          </w:tcPr>
          <w:p>
            <w:r>
              <w:t>Nelle aziende con più di 400 dipendenti informativa alla RSU almeno 2 volte l’anno sui contratti di appalto diretto eseguiti nell’unità produttiva.</w:t>
            </w:r>
          </w:p>
        </w:tc>
      </w:tr>
      <w:tr>
        <w:tc>
          <w:tcPr>
            <w:tcW w:type="dxa" w:w="3400"/>
            <w:vAlign w:val="top"/>
          </w:tcPr>
          <w:p>
            <w:r>
              <w:t>Turnisti</w:t>
            </w:r>
          </w:p>
        </w:tc>
        <w:tc>
          <w:tcPr>
            <w:tcW w:type="dxa" w:w="3400"/>
            <w:vAlign w:val="top"/>
          </w:tcPr>
          <w:p>
            <w:r>
              <w:t>Permessi previsti in relazione ai regimi di turnazione.</w:t>
            </w:r>
          </w:p>
        </w:tc>
        <w:tc>
          <w:tcPr>
            <w:tcW w:type="dxa" w:w="3400"/>
            <w:vAlign w:val="top"/>
          </w:tcPr>
          <w:p>
            <w:r>
              <w:t>Dal 2027 ulteriori 4 ore per alcuni sistemi a 18+ turni con notte; dal 2028 ulteriori 4 ore per sistemi a 21 turni con notte.</w:t>
            </w:r>
          </w:p>
        </w:tc>
      </w:tr>
    </w:tbl>
    <w:p>
      <w:pPr>
        <w:pStyle w:val="Heading1"/>
      </w:pPr>
      <w:r>
        <w:t>4. Regola operativa per le pratiche MyRSU</w:t>
      </w:r>
    </w:p>
    <w:p>
      <w:r>
        <w:rPr>
          <w:b/>
        </w:rPr>
        <w:t xml:space="preserve">Da questo momento, per ogni pratica, il riferimento sarà il testo coordinato: </w:t>
      </w:r>
      <w:r>
        <w:t>CCNL completo 5 febbraio 2021 + modifiche del 22 novembre 2025.</w:t>
      </w:r>
    </w:p>
    <w:p>
      <w:r>
        <w:rPr>
          <w:b/>
        </w:rPr>
        <w:t xml:space="preserve">Per ogni argomento verranno distinti: </w:t>
      </w:r>
      <w:r>
        <w:t>testo rimasto invariato; testo modificato; testo aggiunto; testo soppresso; decorrenza della modifica; eventuali obblighi di informazione, confronto o consultazione della RSU/RLS.</w:t>
      </w:r>
    </w:p>
    <w:p>
      <w:pPr>
        <w:pStyle w:val="Heading1"/>
      </w:pPr>
      <w:r>
        <w:t>5. Stato effettivo del lavoro</w:t>
      </w:r>
    </w:p>
    <w:p>
      <w:r>
        <w:rPr>
          <w:b/>
        </w:rPr>
        <w:t xml:space="preserve">Completato: </w:t>
      </w:r>
      <w:r>
        <w:t>lettura integrale del rinnovo 2025, individuazione delle principali aree modificate e confronto mirato con il testo completo 2021 sulle materie già centrali per le pratiche RSU/RLS.</w:t>
      </w:r>
    </w:p>
    <w:p>
      <w:r>
        <w:rPr>
          <w:b/>
        </w:rPr>
        <w:t xml:space="preserve">Non ancora completato: </w:t>
      </w:r>
      <w:r>
        <w:t>la riscrittura materiale delle 288 pagine del CCNL in un unico documento consolidato articolo per articolo. Questa mappa è quindi lo stato reale del lavoro già svolto, non un falso “testo unico” già terminato.</w:t>
      </w:r>
    </w:p>
    <w:p/>
    <w:p>
      <w:pPr>
        <w:jc w:val="center"/>
      </w:pPr>
      <w:r>
        <w:rPr>
          <w:i/>
          <w:sz w:val="18"/>
        </w:rPr>
        <w:t>Documento di lavoro interno – MyRSU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