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PDR Sitem 2026–2029 – Proposta standard</w:t>
      </w:r>
    </w:p>
    <w:p>
      <w:pPr>
        <w:jc w:val="center"/>
      </w:pPr>
      <w:r>
        <w:rPr>
          <w:b/>
          <w:color w:val="1F4E79"/>
        </w:rPr>
        <w:t>Premio obiettivo € 1.500 – massimo € 1.800 – presenza limitata al 15%</w:t>
      </w:r>
    </w:p>
    <w:p>
      <w:r>
        <w:t>Documento di lavoro per discussione in assemblea e negoziazione. Valori da validare sui dati ufficiali aziendali.</w:t>
      </w:r>
    </w:p>
    <w:p>
      <w:pPr>
        <w:pStyle w:val="Heading1"/>
      </w:pPr>
      <w:r>
        <w:t>Obiettivo</w:t>
      </w:r>
    </w:p>
    <w:p>
      <w:r>
        <w:t>Costruire un premio comprensibile, progressivo e controllabile, basato soprattutto su risultati collettivi. Il correttivo presenza non moltiplica né riduce le altre quote.</w:t>
      </w:r>
    </w:p>
    <w:p>
      <w:pPr>
        <w:pStyle w:val="Heading1"/>
      </w:pPr>
      <w:r>
        <w:t>Struttura del premio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550"/>
          </w:tcPr>
          <w:p>
            <w:r>
              <w:rPr>
                <w:b/>
              </w:rPr>
              <w:t>Peso</w:t>
            </w:r>
          </w:p>
        </w:tc>
        <w:tc>
          <w:tcPr>
            <w:tcW w:type="dxa" w:w="2550"/>
          </w:tcPr>
          <w:p>
            <w:r>
              <w:rPr>
                <w:b/>
              </w:rPr>
              <w:t>Quota su € 1.500</w:t>
            </w:r>
          </w:p>
        </w:tc>
        <w:tc>
          <w:tcPr>
            <w:tcW w:type="dxa" w:w="2550"/>
          </w:tcPr>
          <w:p>
            <w:r>
              <w:rPr>
                <w:b/>
              </w:rPr>
              <w:t>Misura proposta</w:t>
            </w:r>
          </w:p>
        </w:tc>
      </w:tr>
      <w:tr>
        <w:tc>
          <w:tcPr>
            <w:tcW w:type="dxa" w:w="2550"/>
          </w:tcPr>
          <w:p>
            <w:r>
              <w:t>Efficienza produttiva</w:t>
            </w:r>
          </w:p>
        </w:tc>
        <w:tc>
          <w:tcPr>
            <w:tcW w:type="dxa" w:w="2550"/>
          </w:tcPr>
          <w:p>
            <w:r>
              <w:t>25%</w:t>
            </w:r>
          </w:p>
        </w:tc>
        <w:tc>
          <w:tcPr>
            <w:tcW w:type="dxa" w:w="2550"/>
          </w:tcPr>
          <w:p>
            <w:r>
              <w:t>€ 375</w:t>
            </w:r>
          </w:p>
        </w:tc>
        <w:tc>
          <w:tcPr>
            <w:tcW w:type="dxa" w:w="2550"/>
          </w:tcPr>
          <w:p>
            <w:r>
              <w:t>Produzione buona / ore effettivamente lavorate, per reparto</w:t>
            </w:r>
          </w:p>
        </w:tc>
      </w:tr>
      <w:tr>
        <w:tc>
          <w:tcPr>
            <w:tcW w:type="dxa" w:w="2550"/>
          </w:tcPr>
          <w:p>
            <w:r>
              <w:t>Qualità</w:t>
            </w:r>
          </w:p>
        </w:tc>
        <w:tc>
          <w:tcPr>
            <w:tcW w:type="dxa" w:w="2550"/>
          </w:tcPr>
          <w:p>
            <w:r>
              <w:t>20%</w:t>
            </w:r>
          </w:p>
        </w:tc>
        <w:tc>
          <w:tcPr>
            <w:tcW w:type="dxa" w:w="2550"/>
          </w:tcPr>
          <w:p>
            <w:r>
              <w:t>€ 300</w:t>
            </w:r>
          </w:p>
        </w:tc>
        <w:tc>
          <w:tcPr>
            <w:tcW w:type="dxa" w:w="2550"/>
          </w:tcPr>
          <w:p>
            <w:r>
              <w:t>Scarti, rilavorazioni e reclami, separati per causa</w:t>
            </w:r>
          </w:p>
        </w:tc>
      </w:tr>
      <w:tr>
        <w:tc>
          <w:tcPr>
            <w:tcW w:type="dxa" w:w="2550"/>
          </w:tcPr>
          <w:p>
            <w:r>
              <w:t>Consegne</w:t>
            </w:r>
          </w:p>
        </w:tc>
        <w:tc>
          <w:tcPr>
            <w:tcW w:type="dxa" w:w="2550"/>
          </w:tcPr>
          <w:p>
            <w:r>
              <w:t>15%</w:t>
            </w:r>
          </w:p>
        </w:tc>
        <w:tc>
          <w:tcPr>
            <w:tcW w:type="dxa" w:w="2550"/>
          </w:tcPr>
          <w:p>
            <w:r>
              <w:t>€ 225</w:t>
            </w:r>
          </w:p>
        </w:tc>
        <w:tc>
          <w:tcPr>
            <w:tcW w:type="dxa" w:w="2550"/>
          </w:tcPr>
          <w:p>
            <w:r>
              <w:t>Ordini consegnati entro la data richiesta / ordini consegnati</w:t>
            </w:r>
          </w:p>
        </w:tc>
      </w:tr>
      <w:tr>
        <w:tc>
          <w:tcPr>
            <w:tcW w:type="dxa" w:w="2550"/>
          </w:tcPr>
          <w:p>
            <w:r>
              <w:t>Fermi governabili</w:t>
            </w:r>
          </w:p>
        </w:tc>
        <w:tc>
          <w:tcPr>
            <w:tcW w:type="dxa" w:w="2550"/>
          </w:tcPr>
          <w:p>
            <w:r>
              <w:t>10%</w:t>
            </w:r>
          </w:p>
        </w:tc>
        <w:tc>
          <w:tcPr>
            <w:tcW w:type="dxa" w:w="2550"/>
          </w:tcPr>
          <w:p>
            <w:r>
              <w:t>€ 150</w:t>
            </w:r>
          </w:p>
        </w:tc>
        <w:tc>
          <w:tcPr>
            <w:tcW w:type="dxa" w:w="2550"/>
          </w:tcPr>
          <w:p>
            <w:r>
              <w:t>Riduzione dei soli fermi su cui l'organizzazione può intervenire</w:t>
            </w:r>
          </w:p>
        </w:tc>
      </w:tr>
      <w:tr>
        <w:tc>
          <w:tcPr>
            <w:tcW w:type="dxa" w:w="2550"/>
          </w:tcPr>
          <w:p>
            <w:r>
              <w:t>Risultato aziendale</w:t>
            </w:r>
          </w:p>
        </w:tc>
        <w:tc>
          <w:tcPr>
            <w:tcW w:type="dxa" w:w="2550"/>
          </w:tcPr>
          <w:p>
            <w:r>
              <w:t>15%</w:t>
            </w:r>
          </w:p>
        </w:tc>
        <w:tc>
          <w:tcPr>
            <w:tcW w:type="dxa" w:w="2550"/>
          </w:tcPr>
          <w:p>
            <w:r>
              <w:t>€ 225</w:t>
            </w:r>
          </w:p>
        </w:tc>
        <w:tc>
          <w:tcPr>
            <w:tcW w:type="dxa" w:w="2550"/>
          </w:tcPr>
          <w:p>
            <w:r>
              <w:t>Margine operativo o risultato concordato, con dati trimestrali</w:t>
            </w:r>
          </w:p>
        </w:tc>
      </w:tr>
      <w:tr>
        <w:tc>
          <w:tcPr>
            <w:tcW w:type="dxa" w:w="2550"/>
          </w:tcPr>
          <w:p>
            <w:r>
              <w:t>Presenza individuale</w:t>
            </w:r>
          </w:p>
        </w:tc>
        <w:tc>
          <w:tcPr>
            <w:tcW w:type="dxa" w:w="2550"/>
          </w:tcPr>
          <w:p>
            <w:r>
              <w:t>15%</w:t>
            </w:r>
          </w:p>
        </w:tc>
        <w:tc>
          <w:tcPr>
            <w:tcW w:type="dxa" w:w="2550"/>
          </w:tcPr>
          <w:p>
            <w:r>
              <w:t>€ 225</w:t>
            </w:r>
          </w:p>
        </w:tc>
        <w:tc>
          <w:tcPr>
            <w:tcW w:type="dxa" w:w="2550"/>
          </w:tcPr>
          <w:p>
            <w:r>
              <w:t>Scaglioni sulle sole assenze espressamente ammesse dall'accordo</w:t>
            </w:r>
          </w:p>
        </w:tc>
      </w:tr>
    </w:tbl>
    <w:p>
      <w:pPr>
        <w:pStyle w:val="Heading1"/>
      </w:pPr>
      <w:r>
        <w:t>Regola di calcolo</w:t>
      </w:r>
    </w:p>
    <w:p>
      <w:r>
        <w:t>Premio individuale = somma delle sei quote maturate. Ogni quota vale: € 1.500 × peso × coefficiente di risultato. Coefficiente massimo 1,20; premio massimo € 1.800.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Risultato rispetto al target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Coefficiente quota</w:t>
            </w:r>
          </w:p>
        </w:tc>
      </w:tr>
      <w:tr>
        <w:tc>
          <w:tcPr>
            <w:tcW w:type="dxa" w:w="5100"/>
          </w:tcPr>
          <w:p>
            <w:r>
              <w:t>Sotto la soglia minima concordata</w:t>
            </w:r>
          </w:p>
        </w:tc>
        <w:tc>
          <w:tcPr>
            <w:tcW w:type="dxa" w:w="5100"/>
          </w:tcPr>
          <w:p>
            <w:r>
              <w:t>0,00</w:t>
            </w:r>
          </w:p>
        </w:tc>
      </w:tr>
      <w:tr>
        <w:tc>
          <w:tcPr>
            <w:tcW w:type="dxa" w:w="5100"/>
          </w:tcPr>
          <w:p>
            <w:r>
              <w:t>Soglia minima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Target</w:t>
            </w:r>
          </w:p>
        </w:tc>
        <w:tc>
          <w:tcPr>
            <w:tcW w:type="dxa" w:w="5100"/>
          </w:tcPr>
          <w:p>
            <w:r>
              <w:t>1,00</w:t>
            </w:r>
          </w:p>
        </w:tc>
      </w:tr>
      <w:tr>
        <w:tc>
          <w:tcPr>
            <w:tcW w:type="dxa" w:w="5100"/>
          </w:tcPr>
          <w:p>
            <w:r>
              <w:t>Superamento massimo</w:t>
            </w:r>
          </w:p>
        </w:tc>
        <w:tc>
          <w:tcPr>
            <w:tcW w:type="dxa" w:w="5100"/>
          </w:tcPr>
          <w:p>
            <w:r>
              <w:t>1,20</w:t>
            </w:r>
          </w:p>
        </w:tc>
      </w:tr>
    </w:tbl>
    <w:p>
      <w:pPr>
        <w:pStyle w:val="Heading1"/>
      </w:pPr>
      <w:r>
        <w:t>Presenza: proposta equilibrata</w:t>
      </w:r>
    </w:p>
    <w:p>
      <w:r>
        <w:t>Il correttivo riguarda esclusivamente la quota di € 225. Non riduce efficienza, qualità, consegne, fermi o risultato aziendale già maturati.</w:t>
      </w:r>
    </w:p>
    <w:p>
      <w:pPr>
        <w:pStyle w:val="ListBullet"/>
      </w:pPr>
      <w:r>
        <w:t>Escludere almeno: infortuni, maternità/paternità, permessi legge 104, donazione sangue, ricoveri e terapie salvavita, permessi sindacali, ferie e PAR autorizzati.</w:t>
      </w:r>
    </w:p>
    <w:p>
      <w:pPr>
        <w:pStyle w:val="ListBullet"/>
      </w:pPr>
      <w:r>
        <w:t>Definire in modo chiuso quali giornate contano, evitando formule generiche.</w:t>
      </w:r>
    </w:p>
    <w:p>
      <w:pPr>
        <w:pStyle w:val="ListBullet"/>
      </w:pPr>
      <w:r>
        <w:t>Applicare proporzione per part-time e mesi effettivamente lavorati.</w:t>
      </w:r>
    </w:p>
    <w:p>
      <w:pPr>
        <w:pStyle w:val="Heading1"/>
      </w:pPr>
      <w:r>
        <w:t>Dati aziendali disponibili</w:t>
      </w:r>
    </w:p>
    <w:p>
      <w:r>
        <w:t>Le fotografie disponibili consentono solo una lettura approssimativa. Prima della firma devono essere acquisiti i prospetti originali mensili, le regole di estrazione e i valori consuntivi certificati.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Indicatore</w:t>
            </w:r>
          </w:p>
        </w:tc>
        <w:tc>
          <w:tcPr>
            <w:tcW w:type="dxa" w:w="3400"/>
          </w:tcPr>
          <w:p>
            <w:r>
              <w:rPr>
                <w:b/>
              </w:rPr>
              <w:t>Gen–lug / gen–giu 2026</w:t>
            </w:r>
          </w:p>
        </w:tc>
        <w:tc>
          <w:tcPr>
            <w:tcW w:type="dxa" w:w="3400"/>
          </w:tcPr>
          <w:p>
            <w:r>
              <w:rPr>
                <w:b/>
              </w:rPr>
              <w:t>Lettura operativa</w:t>
            </w:r>
          </w:p>
        </w:tc>
      </w:tr>
      <w:tr>
        <w:tc>
          <w:tcPr>
            <w:tcW w:type="dxa" w:w="3400"/>
          </w:tcPr>
          <w:p>
            <w:r>
              <w:t>Consegne puntuali</w:t>
            </w:r>
          </w:p>
        </w:tc>
        <w:tc>
          <w:tcPr>
            <w:tcW w:type="dxa" w:w="3400"/>
          </w:tcPr>
          <w:p>
            <w:r>
              <w:t>79%, 78%, 68%, 71%, 64%, 61%, 67%</w:t>
            </w:r>
          </w:p>
        </w:tc>
        <w:tc>
          <w:tcPr>
            <w:tcW w:type="dxa" w:w="3400"/>
          </w:tcPr>
          <w:p>
            <w:r>
              <w:t>Media gennaio–luglio circa 69,7%, sotto il target 80%</w:t>
            </w:r>
          </w:p>
        </w:tc>
      </w:tr>
      <w:tr>
        <w:tc>
          <w:tcPr>
            <w:tcW w:type="dxa" w:w="3400"/>
          </w:tcPr>
          <w:p>
            <w:r>
              <w:t>Proiezione consegne</w:t>
            </w:r>
          </w:p>
        </w:tc>
        <w:tc>
          <w:tcPr>
            <w:tcW w:type="dxa" w:w="3400"/>
          </w:tcPr>
          <w:p>
            <w:r>
              <w:t>Circa 67–70% annuo</w:t>
            </w:r>
          </w:p>
        </w:tc>
        <w:tc>
          <w:tcPr>
            <w:tcW w:type="dxa" w:w="3400"/>
          </w:tcPr>
          <w:p>
            <w:r>
              <w:t>Per chiudere all'80% servirebbe circa 94,4% medio da agosto a dicembre</w:t>
            </w:r>
          </w:p>
        </w:tc>
      </w:tr>
      <w:tr>
        <w:tc>
          <w:tcPr>
            <w:tcW w:type="dxa" w:w="3400"/>
          </w:tcPr>
          <w:p>
            <w:r>
              <w:t>Produzione pressofusione</w:t>
            </w:r>
          </w:p>
        </w:tc>
        <w:tc>
          <w:tcPr>
            <w:tcW w:type="dxa" w:w="3400"/>
          </w:tcPr>
          <w:p>
            <w:r>
              <w:t>Circa 1,293 milioni kg</w:t>
            </w:r>
          </w:p>
        </w:tc>
        <w:tc>
          <w:tcPr>
            <w:tcW w:type="dxa" w:w="3400"/>
          </w:tcPr>
          <w:p>
            <w:r>
              <w:t>Proiezione annua indicativa circa 2,587 milioni kg</w:t>
            </w:r>
          </w:p>
        </w:tc>
      </w:tr>
      <w:tr>
        <w:tc>
          <w:tcPr>
            <w:tcW w:type="dxa" w:w="3400"/>
          </w:tcPr>
          <w:p>
            <w:r>
              <w:t>Ore lavorate</w:t>
            </w:r>
          </w:p>
        </w:tc>
        <w:tc>
          <w:tcPr>
            <w:tcW w:type="dxa" w:w="3400"/>
          </w:tcPr>
          <w:p>
            <w:r>
              <w:t>Circa 23.723 ore</w:t>
            </w:r>
          </w:p>
        </w:tc>
        <w:tc>
          <w:tcPr>
            <w:tcW w:type="dxa" w:w="3400"/>
          </w:tcPr>
          <w:p>
            <w:r>
              <w:t>Proiezione annua indicativa circa 47.446 ore</w:t>
            </w:r>
          </w:p>
        </w:tc>
      </w:tr>
      <w:tr>
        <w:tc>
          <w:tcPr>
            <w:tcW w:type="dxa" w:w="3400"/>
          </w:tcPr>
          <w:p>
            <w:r>
              <w:t>Produttività</w:t>
            </w:r>
          </w:p>
        </w:tc>
        <w:tc>
          <w:tcPr>
            <w:tcW w:type="dxa" w:w="3400"/>
          </w:tcPr>
          <w:p>
            <w:r>
              <w:t>Circa 54,5 kg/ora</w:t>
            </w:r>
          </w:p>
        </w:tc>
        <w:tc>
          <w:tcPr>
            <w:tcW w:type="dxa" w:w="3400"/>
          </w:tcPr>
          <w:p>
            <w:r>
              <w:t>Apparentemente stabile; dato da confermare</w:t>
            </w:r>
          </w:p>
        </w:tc>
      </w:tr>
      <w:tr>
        <w:tc>
          <w:tcPr>
            <w:tcW w:type="dxa" w:w="3400"/>
          </w:tcPr>
          <w:p>
            <w:r>
              <w:t>Fermi macchina</w:t>
            </w:r>
          </w:p>
        </w:tc>
        <w:tc>
          <w:tcPr>
            <w:tcW w:type="dxa" w:w="3400"/>
          </w:tcPr>
          <w:p>
            <w:r>
              <w:t>Struttura prevalente; poi attrezzature e cambi stampo</w:t>
            </w:r>
          </w:p>
        </w:tc>
        <w:tc>
          <w:tcPr>
            <w:tcW w:type="dxa" w:w="3400"/>
          </w:tcPr>
          <w:p>
            <w:r>
              <w:t>Separare cause organizzative/tecniche da responsabilità dei lavoratori</w:t>
            </w:r>
          </w:p>
        </w:tc>
      </w:tr>
    </w:tbl>
    <w:p>
      <w:r>
        <w:t>Prima indicazione: il peggioramento delle consegne non può essere attribuito automaticamente alla produttività individuale. Occorre misurare carichi, materiali, manutenzioni, attrezzature, cambi stampo e programmazione.</w:t>
      </w:r>
    </w:p>
    <w:p>
      <w:pPr>
        <w:pStyle w:val="Heading1"/>
      </w:pPr>
      <w:r>
        <w:t>Garanzie comuni richieste</w:t>
      </w:r>
    </w:p>
    <w:p>
      <w:pPr>
        <w:pStyle w:val="ListBullet"/>
      </w:pPr>
      <w:r>
        <w:t>Formula scritta, verificabile e riproducibile con un esempio numerico allegato all'accordo.</w:t>
      </w:r>
    </w:p>
    <w:p>
      <w:pPr>
        <w:pStyle w:val="ListBullet"/>
      </w:pPr>
      <w:r>
        <w:t>Dati comunicati ogni mese; verifica paritetica almeno trimestrale con RSU.</w:t>
      </w:r>
    </w:p>
    <w:p>
      <w:pPr>
        <w:pStyle w:val="ListBullet"/>
      </w:pPr>
      <w:r>
        <w:t>Neutralizzazione degli eventi non governabili dai lavoratori: carenza ordini o materiali, guasti strutturali, fermate decise dall'azienda, prove cliente e forza maggiore.</w:t>
      </w:r>
    </w:p>
    <w:p>
      <w:pPr>
        <w:pStyle w:val="ListBullet"/>
      </w:pPr>
      <w:r>
        <w:t>Nessun indicatore deve azzerare l'intero premio: ciascun KPI incide soltanto sulla propria quota.</w:t>
      </w:r>
    </w:p>
    <w:p>
      <w:pPr>
        <w:pStyle w:val="ListBullet"/>
      </w:pPr>
      <w:r>
        <w:t>Baseline omogenee e non modificabili unilateralmente; rettifiche solo con verbale condiviso.</w:t>
      </w:r>
    </w:p>
    <w:p>
      <w:pPr>
        <w:pStyle w:val="ListBullet"/>
      </w:pPr>
      <w:r>
        <w:t>Conguaglio finale documentato e diritto della RSU di verificare fonti, estrazioni e calcoli.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