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PDR Sitem 2026–2029 – Proposta con Gain Sharing</w:t>
      </w:r>
    </w:p>
    <w:p>
      <w:pPr>
        <w:jc w:val="center"/>
      </w:pPr>
      <w:r>
        <w:rPr>
          <w:b/>
          <w:color w:val="1F4E79"/>
        </w:rPr>
        <w:t>Quota performance € 1.050 + quota miglioramento € 450 – massimo totale € 1.800</w:t>
      </w:r>
    </w:p>
    <w:p>
      <w:r>
        <w:t>Documento di lavoro per discussione in assemblea e negoziazione. Valori da validare sui dati ufficiali aziendali.</w:t>
      </w:r>
    </w:p>
    <w:p>
      <w:pPr>
        <w:pStyle w:val="Heading1"/>
      </w:pPr>
      <w:r>
        <w:t>Logica</w:t>
      </w:r>
    </w:p>
    <w:p>
      <w:r>
        <w:t>Una parte del premio remunera i risultati ordinari; una seconda parte restituisce ai lavoratori una quota del beneficio economico aggiuntivo realmente prodotto e verificato.</w:t>
      </w:r>
    </w:p>
    <w:p>
      <w:pPr>
        <w:pStyle w:val="Heading1"/>
      </w:pPr>
      <w:r>
        <w:t>Quota A –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</w:rPr>
              <w:t>KPI</w:t>
            </w:r>
          </w:p>
        </w:tc>
        <w:tc>
          <w:tcPr>
            <w:tcW w:type="dxa" w:w="3400"/>
          </w:tcPr>
          <w:p>
            <w:r>
              <w:rPr>
                <w:b/>
              </w:rPr>
              <w:t>Peso sulla quota A</w:t>
            </w:r>
          </w:p>
        </w:tc>
        <w:tc>
          <w:tcPr>
            <w:tcW w:type="dxa" w:w="3400"/>
          </w:tcPr>
          <w:p>
            <w:r>
              <w:rPr>
                <w:b/>
              </w:rPr>
              <w:t>Quota target</w:t>
            </w:r>
          </w:p>
        </w:tc>
      </w:tr>
      <w:tr>
        <w:tc>
          <w:tcPr>
            <w:tcW w:type="dxa" w:w="3400"/>
          </w:tcPr>
          <w:p>
            <w:r>
              <w:t>Efficienza produttiva</w:t>
            </w:r>
          </w:p>
        </w:tc>
        <w:tc>
          <w:tcPr>
            <w:tcW w:type="dxa" w:w="3400"/>
          </w:tcPr>
          <w:p>
            <w:r>
              <w:t>50%</w:t>
            </w:r>
          </w:p>
        </w:tc>
        <w:tc>
          <w:tcPr>
            <w:tcW w:type="dxa" w:w="3400"/>
          </w:tcPr>
          <w:p>
            <w:r>
              <w:t>€ 525</w:t>
            </w:r>
          </w:p>
        </w:tc>
      </w:tr>
      <w:tr>
        <w:tc>
          <w:tcPr>
            <w:tcW w:type="dxa" w:w="3400"/>
          </w:tcPr>
          <w:p>
            <w:r>
              <w:t>Qualità e scarti</w:t>
            </w:r>
          </w:p>
        </w:tc>
        <w:tc>
          <w:tcPr>
            <w:tcW w:type="dxa" w:w="3400"/>
          </w:tcPr>
          <w:p>
            <w:r>
              <w:t>30%</w:t>
            </w:r>
          </w:p>
        </w:tc>
        <w:tc>
          <w:tcPr>
            <w:tcW w:type="dxa" w:w="3400"/>
          </w:tcPr>
          <w:p>
            <w:r>
              <w:t>€ 315</w:t>
            </w:r>
          </w:p>
        </w:tc>
      </w:tr>
      <w:tr>
        <w:tc>
          <w:tcPr>
            <w:tcW w:type="dxa" w:w="3400"/>
          </w:tcPr>
          <w:p>
            <w:r>
              <w:t>Fermi governabili</w:t>
            </w:r>
          </w:p>
        </w:tc>
        <w:tc>
          <w:tcPr>
            <w:tcW w:type="dxa" w:w="3400"/>
          </w:tcPr>
          <w:p>
            <w:r>
              <w:t>20%</w:t>
            </w:r>
          </w:p>
        </w:tc>
        <w:tc>
          <w:tcPr>
            <w:tcW w:type="dxa" w:w="3400"/>
          </w:tcPr>
          <w:p>
            <w:r>
              <w:t>€ 210</w:t>
            </w:r>
          </w:p>
        </w:tc>
      </w:tr>
    </w:tbl>
    <w:p>
      <w:r>
        <w:t>Quota A target: € 1.050; massimo con coefficiente 1,20: € 1.260.</w:t>
      </w:r>
    </w:p>
    <w:p>
      <w:pPr>
        <w:pStyle w:val="Heading1"/>
      </w:pPr>
      <w:r>
        <w:t>Quota B – Gain Sharing</w:t>
      </w:r>
    </w:p>
    <w:p>
      <w:r>
        <w:t>Quota individuale = beneficio economico netto verificato × 25% / numero equivalente dei lavoratori aventi diritto, con tetto individuale di € 540.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Fonte del beneficio</w:t>
            </w:r>
          </w:p>
        </w:tc>
        <w:tc>
          <w:tcPr>
            <w:tcW w:type="dxa" w:w="5100"/>
          </w:tcPr>
          <w:p>
            <w:r>
              <w:rPr>
                <w:b/>
              </w:rPr>
              <w:t>Metodo di valorizzazione</w:t>
            </w:r>
          </w:p>
        </w:tc>
      </w:tr>
      <w:tr>
        <w:tc>
          <w:tcPr>
            <w:tcW w:type="dxa" w:w="5100"/>
          </w:tcPr>
          <w:p>
            <w:r>
              <w:t>Riduzione scarti</w:t>
            </w:r>
          </w:p>
        </w:tc>
        <w:tc>
          <w:tcPr>
            <w:tcW w:type="dxa" w:w="5100"/>
          </w:tcPr>
          <w:p>
            <w:r>
              <w:t>Kg o pezzi evitati × costo standard concordato</w:t>
            </w:r>
          </w:p>
        </w:tc>
      </w:tr>
      <w:tr>
        <w:tc>
          <w:tcPr>
            <w:tcW w:type="dxa" w:w="5100"/>
          </w:tcPr>
          <w:p>
            <w:r>
              <w:t>Riduzione rilavorazioni</w:t>
            </w:r>
          </w:p>
        </w:tc>
        <w:tc>
          <w:tcPr>
            <w:tcW w:type="dxa" w:w="5100"/>
          </w:tcPr>
          <w:p>
            <w:r>
              <w:t>Ore evitate × costo standard concordato</w:t>
            </w:r>
          </w:p>
        </w:tc>
      </w:tr>
      <w:tr>
        <w:tc>
          <w:tcPr>
            <w:tcW w:type="dxa" w:w="5100"/>
          </w:tcPr>
          <w:p>
            <w:r>
              <w:t>Riduzione fermi</w:t>
            </w:r>
          </w:p>
        </w:tc>
        <w:tc>
          <w:tcPr>
            <w:tcW w:type="dxa" w:w="5100"/>
          </w:tcPr>
          <w:p>
            <w:r>
              <w:t>Ore produttive recuperate × margine standard, esclusi guasti/fermate non governabili</w:t>
            </w:r>
          </w:p>
        </w:tc>
      </w:tr>
      <w:tr>
        <w:tc>
          <w:tcPr>
            <w:tcW w:type="dxa" w:w="5100"/>
          </w:tcPr>
          <w:p>
            <w:r>
              <w:t>Riduzione consumi</w:t>
            </w:r>
          </w:p>
        </w:tc>
        <w:tc>
          <w:tcPr>
            <w:tcW w:type="dxa" w:w="5100"/>
          </w:tcPr>
          <w:p>
            <w:r>
              <w:t>Differenza normalizzata per kg buoni × prezzo medio verificato</w:t>
            </w:r>
          </w:p>
        </w:tc>
      </w:tr>
      <w:tr>
        <w:tc>
          <w:tcPr>
            <w:tcW w:type="dxa" w:w="5100"/>
          </w:tcPr>
          <w:p>
            <w:r>
              <w:t>Migliore resa</w:t>
            </w:r>
          </w:p>
        </w:tc>
        <w:tc>
          <w:tcPr>
            <w:tcW w:type="dxa" w:w="5100"/>
          </w:tcPr>
          <w:p>
            <w:r>
              <w:t>Incremento output buono a parità di ore e mix, valorizzato con margine concordato</w:t>
            </w:r>
          </w:p>
        </w:tc>
      </w:tr>
    </w:tbl>
    <w:p>
      <w:pPr>
        <w:pStyle w:val="Heading1"/>
      </w:pPr>
      <w:r>
        <w:t>Esempio semplice</w:t>
      </w:r>
    </w:p>
    <w:p>
      <w:r>
        <w:t>Beneficio netto verificato € 240.000; quota lavoratori 25% = € 60.000. Con 120 equivalenti a tempo pieno: € 500 ciascuno. Se la quota A vale € 1.120, il premio totale è € 1.620.</w:t>
      </w:r>
    </w:p>
    <w:p>
      <w:pPr>
        <w:pStyle w:val="Heading1"/>
      </w:pPr>
      <w:r>
        <w:t>Condizioni indispensabili</w:t>
      </w:r>
    </w:p>
    <w:p>
      <w:pPr>
        <w:pStyle w:val="ListBullet"/>
      </w:pPr>
      <w:r>
        <w:t>Baseline: media omogenea degli ultimi 12 mesi o periodo condiviso, corretta per volumi e mix produttivo.</w:t>
      </w:r>
    </w:p>
    <w:p>
      <w:pPr>
        <w:pStyle w:val="ListBullet"/>
      </w:pPr>
      <w:r>
        <w:t>Nessun doppio conteggio dello stesso risparmio in più indicatori.</w:t>
      </w:r>
    </w:p>
    <w:p>
      <w:pPr>
        <w:pStyle w:val="ListBullet"/>
      </w:pPr>
      <w:r>
        <w:t>Deduzione documentata degli eventuali costi sostenuti per ottenere il miglioramento.</w:t>
      </w:r>
    </w:p>
    <w:p>
      <w:pPr>
        <w:pStyle w:val="ListBullet"/>
      </w:pPr>
      <w:r>
        <w:t>Validazione paritetica del beneficio prima del pagamento.</w:t>
      </w:r>
    </w:p>
    <w:p>
      <w:pPr>
        <w:pStyle w:val="ListBullet"/>
      </w:pPr>
      <w:r>
        <w:t>Se il beneficio non è dimostrabile, resta comunque liquidabile la quota A maturata.</w:t>
      </w:r>
    </w:p>
    <w:p>
      <w:pPr>
        <w:pStyle w:val="Heading1"/>
      </w:pPr>
      <w:r>
        <w:t>Dati aziendali disponibili</w:t>
      </w:r>
    </w:p>
    <w:p>
      <w:r>
        <w:t>Le fotografie disponibili consentono solo una lettura approssimativa. Prima della firma devono essere acquisiti i prospetti originali mensili, le regole di estrazione e i valori consuntivi certificati.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</w:rPr>
              <w:t>Indicatore</w:t>
            </w:r>
          </w:p>
        </w:tc>
        <w:tc>
          <w:tcPr>
            <w:tcW w:type="dxa" w:w="3400"/>
          </w:tcPr>
          <w:p>
            <w:r>
              <w:rPr>
                <w:b/>
              </w:rPr>
              <w:t>Gen–lug / gen–giu 2026</w:t>
            </w:r>
          </w:p>
        </w:tc>
        <w:tc>
          <w:tcPr>
            <w:tcW w:type="dxa" w:w="3400"/>
          </w:tcPr>
          <w:p>
            <w:r>
              <w:rPr>
                <w:b/>
              </w:rPr>
              <w:t>Lettura operativa</w:t>
            </w:r>
          </w:p>
        </w:tc>
      </w:tr>
      <w:tr>
        <w:tc>
          <w:tcPr>
            <w:tcW w:type="dxa" w:w="3400"/>
          </w:tcPr>
          <w:p>
            <w:r>
              <w:t>Consegne puntuali</w:t>
            </w:r>
          </w:p>
        </w:tc>
        <w:tc>
          <w:tcPr>
            <w:tcW w:type="dxa" w:w="3400"/>
          </w:tcPr>
          <w:p>
            <w:r>
              <w:t>79%, 78%, 68%, 71%, 64%, 61%, 67%</w:t>
            </w:r>
          </w:p>
        </w:tc>
        <w:tc>
          <w:tcPr>
            <w:tcW w:type="dxa" w:w="3400"/>
          </w:tcPr>
          <w:p>
            <w:r>
              <w:t>Media gennaio–luglio circa 69,7%, sotto il target 80%</w:t>
            </w:r>
          </w:p>
        </w:tc>
      </w:tr>
      <w:tr>
        <w:tc>
          <w:tcPr>
            <w:tcW w:type="dxa" w:w="3400"/>
          </w:tcPr>
          <w:p>
            <w:r>
              <w:t>Proiezione consegne</w:t>
            </w:r>
          </w:p>
        </w:tc>
        <w:tc>
          <w:tcPr>
            <w:tcW w:type="dxa" w:w="3400"/>
          </w:tcPr>
          <w:p>
            <w:r>
              <w:t>Circa 67–70% annuo</w:t>
            </w:r>
          </w:p>
        </w:tc>
        <w:tc>
          <w:tcPr>
            <w:tcW w:type="dxa" w:w="3400"/>
          </w:tcPr>
          <w:p>
            <w:r>
              <w:t>Per chiudere all'80% servirebbe circa 94,4% medio da agosto a dicembre</w:t>
            </w:r>
          </w:p>
        </w:tc>
      </w:tr>
      <w:tr>
        <w:tc>
          <w:tcPr>
            <w:tcW w:type="dxa" w:w="3400"/>
          </w:tcPr>
          <w:p>
            <w:r>
              <w:t>Produzione pressofusione</w:t>
            </w:r>
          </w:p>
        </w:tc>
        <w:tc>
          <w:tcPr>
            <w:tcW w:type="dxa" w:w="3400"/>
          </w:tcPr>
          <w:p>
            <w:r>
              <w:t>Circa 1,293 milioni kg</w:t>
            </w:r>
          </w:p>
        </w:tc>
        <w:tc>
          <w:tcPr>
            <w:tcW w:type="dxa" w:w="3400"/>
          </w:tcPr>
          <w:p>
            <w:r>
              <w:t>Proiezione annua indicativa circa 2,587 milioni kg</w:t>
            </w:r>
          </w:p>
        </w:tc>
      </w:tr>
      <w:tr>
        <w:tc>
          <w:tcPr>
            <w:tcW w:type="dxa" w:w="3400"/>
          </w:tcPr>
          <w:p>
            <w:r>
              <w:t>Ore lavorate</w:t>
            </w:r>
          </w:p>
        </w:tc>
        <w:tc>
          <w:tcPr>
            <w:tcW w:type="dxa" w:w="3400"/>
          </w:tcPr>
          <w:p>
            <w:r>
              <w:t>Circa 23.723 ore</w:t>
            </w:r>
          </w:p>
        </w:tc>
        <w:tc>
          <w:tcPr>
            <w:tcW w:type="dxa" w:w="3400"/>
          </w:tcPr>
          <w:p>
            <w:r>
              <w:t>Proiezione annua indicativa circa 47.446 ore</w:t>
            </w:r>
          </w:p>
        </w:tc>
      </w:tr>
      <w:tr>
        <w:tc>
          <w:tcPr>
            <w:tcW w:type="dxa" w:w="3400"/>
          </w:tcPr>
          <w:p>
            <w:r>
              <w:t>Produttività</w:t>
            </w:r>
          </w:p>
        </w:tc>
        <w:tc>
          <w:tcPr>
            <w:tcW w:type="dxa" w:w="3400"/>
          </w:tcPr>
          <w:p>
            <w:r>
              <w:t>Circa 54,5 kg/ora</w:t>
            </w:r>
          </w:p>
        </w:tc>
        <w:tc>
          <w:tcPr>
            <w:tcW w:type="dxa" w:w="3400"/>
          </w:tcPr>
          <w:p>
            <w:r>
              <w:t>Apparentemente stabile; dato da confermare</w:t>
            </w:r>
          </w:p>
        </w:tc>
      </w:tr>
      <w:tr>
        <w:tc>
          <w:tcPr>
            <w:tcW w:type="dxa" w:w="3400"/>
          </w:tcPr>
          <w:p>
            <w:r>
              <w:t>Fermi macchina</w:t>
            </w:r>
          </w:p>
        </w:tc>
        <w:tc>
          <w:tcPr>
            <w:tcW w:type="dxa" w:w="3400"/>
          </w:tcPr>
          <w:p>
            <w:r>
              <w:t>Struttura prevalente; poi attrezzature e cambi stampo</w:t>
            </w:r>
          </w:p>
        </w:tc>
        <w:tc>
          <w:tcPr>
            <w:tcW w:type="dxa" w:w="3400"/>
          </w:tcPr>
          <w:p>
            <w:r>
              <w:t>Separare cause organizzative/tecniche da responsabilità dei lavoratori</w:t>
            </w:r>
          </w:p>
        </w:tc>
      </w:tr>
    </w:tbl>
    <w:p>
      <w:r>
        <w:t>Prima indicazione: il peggioramento delle consegne non può essere attribuito automaticamente alla produttività individuale. Occorre misurare carichi, materiali, manutenzioni, attrezzature, cambi stampo e programmazione.</w:t>
      </w:r>
    </w:p>
    <w:p>
      <w:pPr>
        <w:pStyle w:val="Heading1"/>
      </w:pPr>
      <w:r>
        <w:t>Garanzie comuni richieste</w:t>
      </w:r>
    </w:p>
    <w:p>
      <w:pPr>
        <w:pStyle w:val="ListBullet"/>
      </w:pPr>
      <w:r>
        <w:t>Formula scritta, verificabile e riproducibile con un esempio numerico allegato all'accordo.</w:t>
      </w:r>
    </w:p>
    <w:p>
      <w:pPr>
        <w:pStyle w:val="ListBullet"/>
      </w:pPr>
      <w:r>
        <w:t>Dati comunicati ogni mese; verifica paritetica almeno trimestrale con RSU.</w:t>
      </w:r>
    </w:p>
    <w:p>
      <w:pPr>
        <w:pStyle w:val="ListBullet"/>
      </w:pPr>
      <w:r>
        <w:t>Neutralizzazione degli eventi non governabili dai lavoratori: carenza ordini o materiali, guasti strutturali, fermate decise dall'azienda, prove cliente e forza maggiore.</w:t>
      </w:r>
    </w:p>
    <w:p>
      <w:pPr>
        <w:pStyle w:val="ListBullet"/>
      </w:pPr>
      <w:r>
        <w:t>Nessun indicatore deve azzerare l'intero premio: ciascun KPI incide soltanto sulla propria quota.</w:t>
      </w:r>
    </w:p>
    <w:p>
      <w:pPr>
        <w:pStyle w:val="ListBullet"/>
      </w:pPr>
      <w:r>
        <w:t>Baseline omogenee e non modificabili unilateralmente; rettifiche solo con verbale condiviso.</w:t>
      </w:r>
    </w:p>
    <w:p>
      <w:pPr>
        <w:pStyle w:val="ListBullet"/>
      </w:pPr>
      <w:r>
        <w:t>Conguaglio finale documentato e diritto della RSU di verificare fonti, estrazioni e calcoli.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