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PDR Sitem 2026–2029 – Benchmark metalmeccanico</w:t>
      </w:r>
    </w:p>
    <w:p>
      <w:pPr>
        <w:jc w:val="center"/>
      </w:pPr>
      <w:r>
        <w:rPr>
          <w:b/>
          <w:color w:val="1F4E79"/>
        </w:rPr>
        <w:t>Modello ispirato a prassi esterne assimilabili, con priorità alla struttura tipo Magneti Marelli</w:t>
      </w:r>
    </w:p>
    <w:p>
      <w:r>
        <w:t>Documento di lavoro per discussione in assemblea e negoziazione. Valori da validare sui dati ufficiali aziendali.</w:t>
      </w:r>
    </w:p>
    <w:p>
      <w:pPr>
        <w:pStyle w:val="Heading1"/>
      </w:pPr>
      <w:r>
        <w:t>Avvertenza</w:t>
      </w:r>
    </w:p>
    <w:p>
      <w:r>
        <w:t>Il benchmark serve per costruire una proposta negoziale, non per copiare accordi storici. Formule, pesi e valori devono essere adattati a Sitem e verificati sulle fonti originali.</w:t>
      </w:r>
    </w:p>
    <w:p>
      <w:pPr>
        <w:pStyle w:val="Heading1"/>
      </w:pPr>
      <w:r>
        <w:t>Impostazione proposta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5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550"/>
          </w:tcPr>
          <w:p>
            <w:r>
              <w:rPr>
                <w:b/>
              </w:rPr>
              <w:t>KPI Sitem suggerito</w:t>
            </w:r>
          </w:p>
        </w:tc>
        <w:tc>
          <w:tcPr>
            <w:tcW w:type="dxa" w:w="2550"/>
          </w:tcPr>
          <w:p>
            <w:r>
              <w:rPr>
                <w:b/>
              </w:rPr>
              <w:t>Perché è utile</w:t>
            </w:r>
          </w:p>
        </w:tc>
      </w:tr>
      <w:tr>
        <w:tc>
          <w:tcPr>
            <w:tcW w:type="dxa" w:w="2550"/>
          </w:tcPr>
          <w:p>
            <w:r>
              <w:t>Efficienza / costo diretto</w:t>
            </w:r>
          </w:p>
        </w:tc>
        <w:tc>
          <w:tcPr>
            <w:tcW w:type="dxa" w:w="2550"/>
          </w:tcPr>
          <w:p>
            <w:r>
              <w:t>25%</w:t>
            </w:r>
          </w:p>
        </w:tc>
        <w:tc>
          <w:tcPr>
            <w:tcW w:type="dxa" w:w="2550"/>
          </w:tcPr>
          <w:p>
            <w:r>
              <w:t>Kg buoni per ora lavorata, normalizzati per mix</w:t>
            </w:r>
          </w:p>
        </w:tc>
        <w:tc>
          <w:tcPr>
            <w:tcW w:type="dxa" w:w="2550"/>
          </w:tcPr>
          <w:p>
            <w:r>
              <w:t>Premia il risultato industriale senza confondere ore lavorate e fermi</w:t>
            </w:r>
          </w:p>
        </w:tc>
      </w:tr>
      <w:tr>
        <w:tc>
          <w:tcPr>
            <w:tcW w:type="dxa" w:w="2550"/>
          </w:tcPr>
          <w:p>
            <w:r>
              <w:t>Scarti e non qualità</w:t>
            </w:r>
          </w:p>
        </w:tc>
        <w:tc>
          <w:tcPr>
            <w:tcW w:type="dxa" w:w="2550"/>
          </w:tcPr>
          <w:p>
            <w:r>
              <w:t>25%</w:t>
            </w:r>
          </w:p>
        </w:tc>
        <w:tc>
          <w:tcPr>
            <w:tcW w:type="dxa" w:w="2550"/>
          </w:tcPr>
          <w:p>
            <w:r>
              <w:t>Costo scarti + rilavorazioni / valore prodotto</w:t>
            </w:r>
          </w:p>
        </w:tc>
        <w:tc>
          <w:tcPr>
            <w:tcW w:type="dxa" w:w="2550"/>
          </w:tcPr>
          <w:p>
            <w:r>
              <w:t>Rende economico e leggibile il tema qualità</w:t>
            </w:r>
          </w:p>
        </w:tc>
      </w:tr>
      <w:tr>
        <w:tc>
          <w:tcPr>
            <w:tcW w:type="dxa" w:w="2550"/>
          </w:tcPr>
          <w:p>
            <w:r>
              <w:t>Qualità e servizio</w:t>
            </w:r>
          </w:p>
        </w:tc>
        <w:tc>
          <w:tcPr>
            <w:tcW w:type="dxa" w:w="2550"/>
          </w:tcPr>
          <w:p>
            <w:r>
              <w:t>25%</w:t>
            </w:r>
          </w:p>
        </w:tc>
        <w:tc>
          <w:tcPr>
            <w:tcW w:type="dxa" w:w="2550"/>
          </w:tcPr>
          <w:p>
            <w:r>
              <w:t>15% reclami/PPM + 10% consegne puntuali</w:t>
            </w:r>
          </w:p>
        </w:tc>
        <w:tc>
          <w:tcPr>
            <w:tcW w:type="dxa" w:w="2550"/>
          </w:tcPr>
          <w:p>
            <w:r>
              <w:t>Bilancia cliente e puntualità</w:t>
            </w:r>
          </w:p>
        </w:tc>
      </w:tr>
      <w:tr>
        <w:tc>
          <w:tcPr>
            <w:tcW w:type="dxa" w:w="2550"/>
          </w:tcPr>
          <w:p>
            <w:r>
              <w:t>Risultato economico</w:t>
            </w:r>
          </w:p>
        </w:tc>
        <w:tc>
          <w:tcPr>
            <w:tcW w:type="dxa" w:w="2550"/>
          </w:tcPr>
          <w:p>
            <w:r>
              <w:t>25%</w:t>
            </w:r>
          </w:p>
        </w:tc>
        <w:tc>
          <w:tcPr>
            <w:tcW w:type="dxa" w:w="2550"/>
          </w:tcPr>
          <w:p>
            <w:r>
              <w:t>Margine operativo rispetto a budget condiviso</w:t>
            </w:r>
          </w:p>
        </w:tc>
        <w:tc>
          <w:tcPr>
            <w:tcW w:type="dxa" w:w="2550"/>
          </w:tcPr>
          <w:p>
            <w:r>
              <w:t>Collega il premio alla sostenibilità aziendale</w:t>
            </w:r>
          </w:p>
        </w:tc>
      </w:tr>
    </w:tbl>
    <w:p>
      <w:pPr>
        <w:pStyle w:val="Heading1"/>
      </w:pPr>
      <w:r>
        <w:t>Curva di maturazione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Prestazione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Sotto soglia</w:t>
            </w:r>
          </w:p>
        </w:tc>
        <w:tc>
          <w:tcPr>
            <w:tcW w:type="dxa" w:w="5100"/>
          </w:tcPr>
          <w:p>
            <w:r>
              <w:t>0,00</w:t>
            </w:r>
          </w:p>
        </w:tc>
      </w:tr>
      <w:tr>
        <w:tc>
          <w:tcPr>
            <w:tcW w:type="dxa" w:w="5100"/>
          </w:tcPr>
          <w:p>
            <w:r>
              <w:t>Soglia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Intermedio</w:t>
            </w:r>
          </w:p>
        </w:tc>
        <w:tc>
          <w:tcPr>
            <w:tcW w:type="dxa" w:w="5100"/>
          </w:tcPr>
          <w:p>
            <w:r>
              <w:t>0,75</w:t>
            </w:r>
          </w:p>
        </w:tc>
      </w:tr>
      <w:tr>
        <w:tc>
          <w:tcPr>
            <w:tcW w:type="dxa" w:w="5100"/>
          </w:tcPr>
          <w:p>
            <w:r>
              <w:t>Target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  <w:tr>
        <w:tc>
          <w:tcPr>
            <w:tcW w:type="dxa" w:w="5100"/>
          </w:tcPr>
          <w:p>
            <w:r>
              <w:t>Eccellenza</w:t>
            </w:r>
          </w:p>
        </w:tc>
        <w:tc>
          <w:tcPr>
            <w:tcW w:type="dxa" w:w="5100"/>
          </w:tcPr>
          <w:p>
            <w:r>
              <w:t>1,20</w:t>
            </w:r>
          </w:p>
        </w:tc>
      </w:tr>
    </w:tbl>
    <w:p>
      <w:r>
        <w:t>Premio = € 1.500 × somma dei pesi moltiplicati per i coefficienti. Massimo € 1.800. Nessuna area annulla le altre.</w:t>
      </w:r>
    </w:p>
    <w:p>
      <w:pPr>
        <w:pStyle w:val="Heading1"/>
      </w:pPr>
      <w:r>
        <w:t>Elementi da riprendere dai migliori benchmark</w:t>
      </w:r>
    </w:p>
    <w:p>
      <w:pPr>
        <w:pStyle w:val="ListBullet"/>
      </w:pPr>
      <w:r>
        <w:t>Pochi indicatori, definiti con unità di misura e fonte certa.</w:t>
      </w:r>
    </w:p>
    <w:p>
      <w:pPr>
        <w:pStyle w:val="ListBullet"/>
      </w:pPr>
      <w:r>
        <w:t>Risultati collettivi e non valutazioni discrezionali del singolo.</w:t>
      </w:r>
    </w:p>
    <w:p>
      <w:pPr>
        <w:pStyle w:val="ListBullet"/>
      </w:pPr>
      <w:r>
        <w:t>Curve progressive, senza salti eccessivi tra uno scaglione e l'altro.</w:t>
      </w:r>
    </w:p>
    <w:p>
      <w:pPr>
        <w:pStyle w:val="ListBullet"/>
      </w:pPr>
      <w:r>
        <w:t>Comunicazione periodica con tabella target, consuntivo, scostamento e proiezione.</w:t>
      </w:r>
    </w:p>
    <w:p>
      <w:pPr>
        <w:pStyle w:val="ListBullet"/>
      </w:pPr>
      <w:r>
        <w:t>Comitato paritetico capace di verificare dati e azioni correttive durante l'anno.</w:t>
      </w:r>
    </w:p>
    <w:p>
      <w:pPr>
        <w:pStyle w:val="Heading1"/>
      </w:pPr>
      <w:r>
        <w:t>Dati aziendali disponibili</w:t>
      </w:r>
    </w:p>
    <w:p>
      <w:r>
        <w:t>Le fotografie disponibili consentono solo una lettura approssimativa. Prima della firma devono essere acquisiti i prospetti originali mensili, le regole di estrazione e i valori consuntivi certificati.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Gen–lug / gen–giu 2026</w:t>
            </w:r>
          </w:p>
        </w:tc>
        <w:tc>
          <w:tcPr>
            <w:tcW w:type="dxa" w:w="3400"/>
          </w:tcPr>
          <w:p>
            <w:r>
              <w:rPr>
                <w:b/>
              </w:rPr>
              <w:t>Lettura operativa</w:t>
            </w:r>
          </w:p>
        </w:tc>
      </w:tr>
      <w:tr>
        <w:tc>
          <w:tcPr>
            <w:tcW w:type="dxa" w:w="3400"/>
          </w:tcPr>
          <w:p>
            <w:r>
              <w:t>Consegne puntuali</w:t>
            </w:r>
          </w:p>
        </w:tc>
        <w:tc>
          <w:tcPr>
            <w:tcW w:type="dxa" w:w="3400"/>
          </w:tcPr>
          <w:p>
            <w:r>
              <w:t>79%, 78%, 68%, 71%, 64%, 61%, 67%</w:t>
            </w:r>
          </w:p>
        </w:tc>
        <w:tc>
          <w:tcPr>
            <w:tcW w:type="dxa" w:w="3400"/>
          </w:tcPr>
          <w:p>
            <w:r>
              <w:t>Media gennaio–luglio circa 69,7%, sotto il target 80%</w:t>
            </w:r>
          </w:p>
        </w:tc>
      </w:tr>
      <w:tr>
        <w:tc>
          <w:tcPr>
            <w:tcW w:type="dxa" w:w="3400"/>
          </w:tcPr>
          <w:p>
            <w:r>
              <w:t>Proiezione consegne</w:t>
            </w:r>
          </w:p>
        </w:tc>
        <w:tc>
          <w:tcPr>
            <w:tcW w:type="dxa" w:w="3400"/>
          </w:tcPr>
          <w:p>
            <w:r>
              <w:t>Circa 67–70% annuo</w:t>
            </w:r>
          </w:p>
        </w:tc>
        <w:tc>
          <w:tcPr>
            <w:tcW w:type="dxa" w:w="3400"/>
          </w:tcPr>
          <w:p>
            <w:r>
              <w:t>Per chiudere all'80% servirebbe circa 94,4% medio da agosto a dicembre</w:t>
            </w:r>
          </w:p>
        </w:tc>
      </w:tr>
      <w:tr>
        <w:tc>
          <w:tcPr>
            <w:tcW w:type="dxa" w:w="3400"/>
          </w:tcPr>
          <w:p>
            <w:r>
              <w:t>Produzione pressofusione</w:t>
            </w:r>
          </w:p>
        </w:tc>
        <w:tc>
          <w:tcPr>
            <w:tcW w:type="dxa" w:w="3400"/>
          </w:tcPr>
          <w:p>
            <w:r>
              <w:t>Circa 1,293 milioni kg</w:t>
            </w:r>
          </w:p>
        </w:tc>
        <w:tc>
          <w:tcPr>
            <w:tcW w:type="dxa" w:w="3400"/>
          </w:tcPr>
          <w:p>
            <w:r>
              <w:t>Proiezione annua indicativa circa 2,587 milioni kg</w:t>
            </w:r>
          </w:p>
        </w:tc>
      </w:tr>
      <w:tr>
        <w:tc>
          <w:tcPr>
            <w:tcW w:type="dxa" w:w="3400"/>
          </w:tcPr>
          <w:p>
            <w:r>
              <w:t>Ore lavorate</w:t>
            </w:r>
          </w:p>
        </w:tc>
        <w:tc>
          <w:tcPr>
            <w:tcW w:type="dxa" w:w="3400"/>
          </w:tcPr>
          <w:p>
            <w:r>
              <w:t>Circa 23.723 ore</w:t>
            </w:r>
          </w:p>
        </w:tc>
        <w:tc>
          <w:tcPr>
            <w:tcW w:type="dxa" w:w="3400"/>
          </w:tcPr>
          <w:p>
            <w:r>
              <w:t>Proiezione annua indicativa circa 47.446 ore</w:t>
            </w:r>
          </w:p>
        </w:tc>
      </w:tr>
      <w:tr>
        <w:tc>
          <w:tcPr>
            <w:tcW w:type="dxa" w:w="3400"/>
          </w:tcPr>
          <w:p>
            <w:r>
              <w:t>Produttività</w:t>
            </w:r>
          </w:p>
        </w:tc>
        <w:tc>
          <w:tcPr>
            <w:tcW w:type="dxa" w:w="3400"/>
          </w:tcPr>
          <w:p>
            <w:r>
              <w:t>Circa 54,5 kg/ora</w:t>
            </w:r>
          </w:p>
        </w:tc>
        <w:tc>
          <w:tcPr>
            <w:tcW w:type="dxa" w:w="3400"/>
          </w:tcPr>
          <w:p>
            <w:r>
              <w:t>Apparentemente stabile; dato da confermare</w:t>
            </w:r>
          </w:p>
        </w:tc>
      </w:tr>
      <w:tr>
        <w:tc>
          <w:tcPr>
            <w:tcW w:type="dxa" w:w="3400"/>
          </w:tcPr>
          <w:p>
            <w:r>
              <w:t>Fermi macchina</w:t>
            </w:r>
          </w:p>
        </w:tc>
        <w:tc>
          <w:tcPr>
            <w:tcW w:type="dxa" w:w="3400"/>
          </w:tcPr>
          <w:p>
            <w:r>
              <w:t>Struttura prevalente; poi attrezzature e cambi stampo</w:t>
            </w:r>
          </w:p>
        </w:tc>
        <w:tc>
          <w:tcPr>
            <w:tcW w:type="dxa" w:w="3400"/>
          </w:tcPr>
          <w:p>
            <w:r>
              <w:t>Separare cause organizzative/tecniche da responsabilità dei lavoratori</w:t>
            </w:r>
          </w:p>
        </w:tc>
      </w:tr>
    </w:tbl>
    <w:p>
      <w:r>
        <w:t>Prima indicazione: il peggioramento delle consegne non può essere attribuito automaticamente alla produttività individuale. Occorre misurare carichi, materiali, manutenzioni, attrezzature, cambi stampo e programmazione.</w:t>
      </w:r>
    </w:p>
    <w:p>
      <w:pPr>
        <w:pStyle w:val="Heading1"/>
      </w:pPr>
      <w:r>
        <w:t>Lettura per l'assemblea</w:t>
      </w:r>
    </w:p>
    <w:p>
      <w:r>
        <w:t>Con i dati fotografati, consegne e fermi sono i punti più delicati. La proposta deve impedire che ritardi generati da guasti, materiali, attrezzature o programmazione ricadano automaticamente sul premio dei lavoratori.</w:t>
      </w:r>
    </w:p>
    <w:p>
      <w:pPr>
        <w:pStyle w:val="Heading1"/>
      </w:pPr>
      <w:r>
        <w:t>Garanzie comuni richieste</w:t>
      </w:r>
    </w:p>
    <w:p>
      <w:pPr>
        <w:pStyle w:val="ListBullet"/>
      </w:pPr>
      <w:r>
        <w:t>Formula scritta, verificabile e riproducibile con un esempio numerico allegato all'accordo.</w:t>
      </w:r>
    </w:p>
    <w:p>
      <w:pPr>
        <w:pStyle w:val="ListBullet"/>
      </w:pPr>
      <w:r>
        <w:t>Dati comunicati ogni mese; verifica paritetica almeno trimestrale con RSU.</w:t>
      </w:r>
    </w:p>
    <w:p>
      <w:pPr>
        <w:pStyle w:val="ListBullet"/>
      </w:pPr>
      <w:r>
        <w:t>Neutralizzazione degli eventi non governabili dai lavoratori: carenza ordini o materiali, guasti strutturali, fermate decise dall'azienda, prove cliente e forza maggiore.</w:t>
      </w:r>
    </w:p>
    <w:p>
      <w:pPr>
        <w:pStyle w:val="ListBullet"/>
      </w:pPr>
      <w:r>
        <w:t>Nessun indicatore deve azzerare l'intero premio: ciascun KPI incide soltanto sulla propria quota.</w:t>
      </w:r>
    </w:p>
    <w:p>
      <w:pPr>
        <w:pStyle w:val="ListBullet"/>
      </w:pPr>
      <w:r>
        <w:t>Baseline omogenee e non modificabili unilateralmente; rettifiche solo con verbale condiviso.</w:t>
      </w:r>
    </w:p>
    <w:p>
      <w:pPr>
        <w:pStyle w:val="ListBullet"/>
      </w:pPr>
      <w:r>
        <w:t>Conguaglio finale documentato e diritto della RSU di verificare fonti, estrazioni e calcoli.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