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Modello finanziario e amministrativo</w:t>
      </w:r>
    </w:p>
    <w:p>
      <w:pPr>
        <w:jc w:val="center"/>
      </w:pPr>
      <w:r>
        <w:rPr>
          <w:b/>
          <w:color w:val="1F4E79"/>
        </w:rPr>
        <w:t>Indicatori industriali integrati da dati economici comunicabili mensilmente e trimestralmente</w:t>
      </w:r>
    </w:p>
    <w:p>
      <w:r>
        <w:t>Documento di lavoro per discussione in assemblea e negoziazione. Valori da validare sui dati ufficiali aziendali.</w:t>
      </w:r>
    </w:p>
    <w:p>
      <w:pPr>
        <w:pStyle w:val="Heading1"/>
      </w:pPr>
      <w:r>
        <w:t>Struttura 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Frequenza</w:t>
            </w:r>
          </w:p>
        </w:tc>
        <w:tc>
          <w:tcPr>
            <w:tcW w:type="dxa" w:w="2550"/>
          </w:tcPr>
          <w:p>
            <w:r>
              <w:rPr>
                <w:b/>
              </w:rPr>
              <w:t>Definizione sintetica</w:t>
            </w:r>
          </w:p>
        </w:tc>
      </w:tr>
      <w:tr>
        <w:tc>
          <w:tcPr>
            <w:tcW w:type="dxa" w:w="2550"/>
          </w:tcPr>
          <w:p>
            <w:r>
              <w:t>Efficienza produttiva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  <w:tc>
          <w:tcPr>
            <w:tcW w:type="dxa" w:w="2550"/>
          </w:tcPr>
          <w:p>
            <w:r>
              <w:t>Kg buoni / ore effettivamente lavorate</w:t>
            </w:r>
          </w:p>
        </w:tc>
      </w:tr>
      <w:tr>
        <w:tc>
          <w:tcPr>
            <w:tcW w:type="dxa" w:w="2550"/>
          </w:tcPr>
          <w:p>
            <w:r>
              <w:t>Qualità</w:t>
            </w:r>
          </w:p>
        </w:tc>
        <w:tc>
          <w:tcPr>
            <w:tcW w:type="dxa" w:w="2550"/>
          </w:tcPr>
          <w:p>
            <w:r>
              <w:t>20%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  <w:tc>
          <w:tcPr>
            <w:tcW w:type="dxa" w:w="2550"/>
          </w:tcPr>
          <w:p>
            <w:r>
              <w:t>Costo scarti e rilavorazioni / valore prodotto</w:t>
            </w:r>
          </w:p>
        </w:tc>
      </w:tr>
      <w:tr>
        <w:tc>
          <w:tcPr>
            <w:tcW w:type="dxa" w:w="2550"/>
          </w:tcPr>
          <w:p>
            <w:r>
              <w:t>Consegne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  <w:tc>
          <w:tcPr>
            <w:tcW w:type="dxa" w:w="2550"/>
          </w:tcPr>
          <w:p>
            <w:r>
              <w:t>Consegne puntuali / consegne totali</w:t>
            </w:r>
          </w:p>
        </w:tc>
      </w:tr>
      <w:tr>
        <w:tc>
          <w:tcPr>
            <w:tcW w:type="dxa" w:w="2550"/>
          </w:tcPr>
          <w:p>
            <w:r>
              <w:t>Fermi governabili</w:t>
            </w:r>
          </w:p>
        </w:tc>
        <w:tc>
          <w:tcPr>
            <w:tcW w:type="dxa" w:w="2550"/>
          </w:tcPr>
          <w:p>
            <w:r>
              <w:t>10%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  <w:tc>
          <w:tcPr>
            <w:tcW w:type="dxa" w:w="2550"/>
          </w:tcPr>
          <w:p>
            <w:r>
              <w:t>Ore di fermo attribuibili alle cause concordate</w:t>
            </w:r>
          </w:p>
        </w:tc>
      </w:tr>
      <w:tr>
        <w:tc>
          <w:tcPr>
            <w:tcW w:type="dxa" w:w="2550"/>
          </w:tcPr>
          <w:p>
            <w:r>
              <w:t>Margine EBITDA/MOL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Trimestrale</w:t>
            </w:r>
          </w:p>
        </w:tc>
        <w:tc>
          <w:tcPr>
            <w:tcW w:type="dxa" w:w="2550"/>
          </w:tcPr>
          <w:p>
            <w:r>
              <w:t>EBITDA o MOL / ricavi netti</w:t>
            </w:r>
          </w:p>
        </w:tc>
      </w:tr>
      <w:tr>
        <w:tc>
          <w:tcPr>
            <w:tcW w:type="dxa" w:w="2550"/>
          </w:tcPr>
          <w:p>
            <w:r>
              <w:t>Capitale circolante / incassi</w:t>
            </w:r>
          </w:p>
        </w:tc>
        <w:tc>
          <w:tcPr>
            <w:tcW w:type="dxa" w:w="2550"/>
          </w:tcPr>
          <w:p>
            <w:r>
              <w:t>10%</w:t>
            </w:r>
          </w:p>
        </w:tc>
        <w:tc>
          <w:tcPr>
            <w:tcW w:type="dxa" w:w="2550"/>
          </w:tcPr>
          <w:p>
            <w:r>
              <w:t>Mensile e trimestrale</w:t>
            </w:r>
          </w:p>
        </w:tc>
        <w:tc>
          <w:tcPr>
            <w:tcW w:type="dxa" w:w="2550"/>
          </w:tcPr>
          <w:p>
            <w:r>
              <w:t>Crediti scaduti oltre 90 giorni / crediti commerciali totali</w:t>
            </w:r>
          </w:p>
        </w:tc>
      </w:tr>
      <w:tr>
        <w:tc>
          <w:tcPr>
            <w:tcW w:type="dxa" w:w="2550"/>
          </w:tcPr>
          <w:p>
            <w:r>
              <w:t>Presenza individuale</w:t>
            </w:r>
          </w:p>
        </w:tc>
        <w:tc>
          <w:tcPr>
            <w:tcW w:type="dxa" w:w="2550"/>
          </w:tcPr>
          <w:p>
            <w:r>
              <w:t>5%</w:t>
            </w:r>
          </w:p>
        </w:tc>
        <w:tc>
          <w:tcPr>
            <w:tcW w:type="dxa" w:w="2550"/>
          </w:tcPr>
          <w:p>
            <w:r>
              <w:t>Annuale</w:t>
            </w:r>
          </w:p>
        </w:tc>
        <w:tc>
          <w:tcPr>
            <w:tcW w:type="dxa" w:w="2550"/>
          </w:tcPr>
          <w:p>
            <w:r>
              <w:t>Quota separata, con esclusioni protette</w:t>
            </w:r>
          </w:p>
        </w:tc>
      </w:tr>
    </w:tbl>
    <w:p>
      <w:pPr>
        <w:pStyle w:val="Heading1"/>
      </w:pPr>
      <w:r>
        <w:t>KPI finanziario 1 – Margine EBITDA/MOL</w:t>
      </w:r>
    </w:p>
    <w:p>
      <w:r>
        <w:t>Misura quanta gestione operativa resta sui ricavi prima di interessi, imposte e componenti non operative. Formula: EBITDA o MOL / ricavi netti × 100. Target e soglia devono derivare dal budget condiviso, senza modifiche a esercizio iniziato.</w:t>
      </w:r>
    </w:p>
    <w:p>
      <w:pPr>
        <w:pStyle w:val="Heading1"/>
      </w:pPr>
      <w:r>
        <w:t>KPI finanziario 2 – Qualità degli incassi</w:t>
      </w:r>
    </w:p>
    <w:p>
      <w:r>
        <w:t>Formula semplice: crediti commerciali scaduti da oltre 90 giorni / crediti commerciali totali × 100. Più il valore scende, migliore è la liquidità. La quota deve essere neutralizzata per insolvenze eccezionali o clienti imposti non gestibili dai lavoratori.</w:t>
      </w:r>
    </w:p>
    <w:p>
      <w:pPr>
        <w:pStyle w:val="Heading1"/>
      </w:pPr>
      <w:r>
        <w:t>KPI amministrativo opzionale – Costo della non qualità</w:t>
      </w:r>
    </w:p>
    <w:p>
      <w:r>
        <w:t>Formula: costi documentati di scarti, rilavorazioni, resi e reclami / ricavi o valore della produzione × 100. È leggibile mensilmente e collega fabbrica, qualità e amministrazione.</w:t>
      </w:r>
    </w:p>
    <w:p>
      <w:pPr>
        <w:pStyle w:val="Heading1"/>
      </w:pPr>
      <w:r>
        <w:t>Cruscotto da consegnare alla RSU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Contenuto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Valore approvato a inizio anno</w:t>
            </w:r>
          </w:p>
        </w:tc>
      </w:tr>
      <w:tr>
        <w:tc>
          <w:tcPr>
            <w:tcW w:type="dxa" w:w="5100"/>
          </w:tcPr>
          <w:p>
            <w:r>
              <w:t>Consuntivo mese/trimestre</w:t>
            </w:r>
          </w:p>
        </w:tc>
        <w:tc>
          <w:tcPr>
            <w:tcW w:type="dxa" w:w="5100"/>
          </w:tcPr>
          <w:p>
            <w:r>
              <w:t>Valore estratto dal sistema ufficiale</w:t>
            </w:r>
          </w:p>
        </w:tc>
      </w:tr>
      <w:tr>
        <w:tc>
          <w:tcPr>
            <w:tcW w:type="dxa" w:w="5100"/>
          </w:tcPr>
          <w:p>
            <w:r>
              <w:t>Progressivo</w:t>
            </w:r>
          </w:p>
        </w:tc>
        <w:tc>
          <w:tcPr>
            <w:tcW w:type="dxa" w:w="5100"/>
          </w:tcPr>
          <w:p>
            <w:r>
              <w:t>Risultato cumulato dall'inizio dell'anno</w:t>
            </w:r>
          </w:p>
        </w:tc>
      </w:tr>
      <w:tr>
        <w:tc>
          <w:tcPr>
            <w:tcW w:type="dxa" w:w="5100"/>
          </w:tcPr>
          <w:p>
            <w:r>
              <w:t>Scostamento</w:t>
            </w:r>
          </w:p>
        </w:tc>
        <w:tc>
          <w:tcPr>
            <w:tcW w:type="dxa" w:w="5100"/>
          </w:tcPr>
          <w:p>
            <w:r>
              <w:t>Differenza rispetto al target</w:t>
            </w:r>
          </w:p>
        </w:tc>
      </w:tr>
      <w:tr>
        <w:tc>
          <w:tcPr>
            <w:tcW w:type="dxa" w:w="5100"/>
          </w:tcPr>
          <w:p>
            <w:r>
              <w:t>Quota PDR maturata</w:t>
            </w:r>
          </w:p>
        </w:tc>
        <w:tc>
          <w:tcPr>
            <w:tcW w:type="dxa" w:w="5100"/>
          </w:tcPr>
          <w:p>
            <w:r>
              <w:t>Euro maturati per il singolo KPI</w:t>
            </w:r>
          </w:p>
        </w:tc>
      </w:tr>
      <w:tr>
        <w:tc>
          <w:tcPr>
            <w:tcW w:type="dxa" w:w="5100"/>
          </w:tcPr>
          <w:p>
            <w:r>
              <w:t>Eventi neutralizzati</w:t>
            </w:r>
          </w:p>
        </w:tc>
        <w:tc>
          <w:tcPr>
            <w:tcW w:type="dxa" w:w="5100"/>
          </w:tcPr>
          <w:p>
            <w:r>
              <w:t>Elenco e impatto numerico degli eventi esclusi</w:t>
            </w:r>
          </w:p>
        </w:tc>
      </w:tr>
    </w:tbl>
    <w:p>
      <w:pPr>
        <w:pStyle w:val="Heading1"/>
      </w:pPr>
      <w:r>
        <w:t>Regola economica</w:t>
      </w:r>
    </w:p>
    <w:p>
      <w:r>
        <w:t>Premio target € 1.500; massimo € 1.800. Ogni KPI matura autonomamente tra 0 e 120% della propria quota. I KPI finanziari pesano complessivamente il 25% e non sono condizioni di accesso all'intero premio.</w:t>
      </w:r>
    </w:p>
    <w:p>
      <w:pPr>
        <w:pStyle w:val="Heading1"/>
      </w:pPr>
      <w:r>
        <w:t>Dati aziendali disponibili</w:t>
      </w:r>
    </w:p>
    <w:p>
      <w:r>
        <w:t>Le fotografie disponibili consentono solo una lettura approssimativa. Prima della firma devono essere acquisiti i prospetti originali mensili, le regole di estrazione e i valori consuntivi certificati.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Gen–lug / gen–giu 2026</w:t>
            </w:r>
          </w:p>
        </w:tc>
        <w:tc>
          <w:tcPr>
            <w:tcW w:type="dxa" w:w="3400"/>
          </w:tcPr>
          <w:p>
            <w:r>
              <w:rPr>
                <w:b/>
              </w:rPr>
              <w:t>Lettura operativa</w:t>
            </w:r>
          </w:p>
        </w:tc>
      </w:tr>
      <w:tr>
        <w:tc>
          <w:tcPr>
            <w:tcW w:type="dxa" w:w="3400"/>
          </w:tcPr>
          <w:p>
            <w:r>
              <w:t>Consegne puntuali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gennaio–luglio circa 69,7%, sotto il target 80%</w:t>
            </w:r>
          </w:p>
        </w:tc>
      </w:tr>
      <w:tr>
        <w:tc>
          <w:tcPr>
            <w:tcW w:type="dxa" w:w="3400"/>
          </w:tcPr>
          <w:p>
            <w:r>
              <w:t>Proiezione consegne</w:t>
            </w:r>
          </w:p>
        </w:tc>
        <w:tc>
          <w:tcPr>
            <w:tcW w:type="dxa" w:w="3400"/>
          </w:tcPr>
          <w:p>
            <w:r>
              <w:t>Circa 67–70% annuo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indicativa circa 2,587 milioni kg</w:t>
            </w:r>
          </w:p>
        </w:tc>
      </w:tr>
      <w:tr>
        <w:tc>
          <w:tcPr>
            <w:tcW w:type="dxa" w:w="3400"/>
          </w:tcPr>
          <w:p>
            <w:r>
              <w:t>Ore lavorate</w:t>
            </w:r>
          </w:p>
        </w:tc>
        <w:tc>
          <w:tcPr>
            <w:tcW w:type="dxa" w:w="3400"/>
          </w:tcPr>
          <w:p>
            <w:r>
              <w:t>Circa 23.723 ore</w:t>
            </w:r>
          </w:p>
        </w:tc>
        <w:tc>
          <w:tcPr>
            <w:tcW w:type="dxa" w:w="3400"/>
          </w:tcPr>
          <w:p>
            <w:r>
              <w:t>Proiezione annua indicativa circa 47.446 ore</w:t>
            </w:r>
          </w:p>
        </w:tc>
      </w:tr>
      <w:tr>
        <w:tc>
          <w:tcPr>
            <w:tcW w:type="dxa" w:w="3400"/>
          </w:tcPr>
          <w:p>
            <w:r>
              <w:t>Produttività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Apparentemente stabile; dato da confermare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Struttura prevalente; poi attrezzature e cambi stampo</w:t>
            </w:r>
          </w:p>
        </w:tc>
        <w:tc>
          <w:tcPr>
            <w:tcW w:type="dxa" w:w="3400"/>
          </w:tcPr>
          <w:p>
            <w:r>
              <w:t>Separare cause organizzative/tecniche da responsabilità dei lavoratori</w:t>
            </w:r>
          </w:p>
        </w:tc>
      </w:tr>
    </w:tbl>
    <w:p>
      <w:r>
        <w:t>Prima indicazione: il peggioramento delle consegne non può essere attribuito automaticamente alla produttività individuale. Occorre misurare carichi, materiali, manutenzioni, attrezzature, cambi stampo e programmazione.</w:t>
      </w:r>
    </w:p>
    <w:p>
      <w:pPr>
        <w:pStyle w:val="Heading1"/>
      </w:pPr>
      <w:r>
        <w:t>Garanzie comuni richieste</w:t>
      </w:r>
    </w:p>
    <w:p>
      <w:pPr>
        <w:pStyle w:val="ListBullet"/>
      </w:pPr>
      <w:r>
        <w:t>Formula scritta, verificabile e riproducibile con un esempio numerico allegato all'accordo.</w:t>
      </w:r>
    </w:p>
    <w:p>
      <w:pPr>
        <w:pStyle w:val="ListBullet"/>
      </w:pPr>
      <w:r>
        <w:t>Dati comunicati ogni mese; verifica paritetica almeno trimestrale con RSU.</w:t>
      </w:r>
    </w:p>
    <w:p>
      <w:pPr>
        <w:pStyle w:val="ListBullet"/>
      </w:pPr>
      <w:r>
        <w:t>Neutralizzazione degli eventi non governabili dai lavoratori: carenza ordini o materiali, guasti strutturali, fermate decise dall'azienda, prove cliente e forza maggiore.</w:t>
      </w:r>
    </w:p>
    <w:p>
      <w:pPr>
        <w:pStyle w:val="ListBullet"/>
      </w:pPr>
      <w:r>
        <w:t>Nessun indicatore deve azzerare l'intero premio: ciascun KPI incide soltanto sulla propria quota.</w:t>
      </w:r>
    </w:p>
    <w:p>
      <w:pPr>
        <w:pStyle w:val="ListBullet"/>
      </w:pPr>
      <w:r>
        <w:t>Baseline omogenee e non modificabili unilateralmente; rettifiche solo con verbale condiviso.</w:t>
      </w:r>
    </w:p>
    <w:p>
      <w:pPr>
        <w:pStyle w:val="ListBullet"/>
      </w:pPr>
      <w:r>
        <w:t>Conguaglio finale documentato e diritto della RSU di verificare fonti, estrazioni e calcoli.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