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PDR ? Benchmark metalmeccanici comparati</w:t>
      </w:r>
    </w:p>
    <w:p>
      <w:pPr>
        <w:jc w:val="center"/>
      </w:pPr>
      <w:r>
        <w:rPr>
          <w:b/>
        </w:rPr>
        <w:t>Casi studio storici / benchmark contrattuali</w:t>
      </w:r>
    </w:p>
    <w:p>
      <w:pPr>
        <w:jc w:val="center"/>
      </w:pPr>
      <w:r>
        <w:t>Fonte principale: ADAPT University Press, e-Book n. 59/2016</w:t>
      </w:r>
    </w:p>
    <w:p>
      <w:pPr>
        <w:jc w:val="center"/>
      </w:pPr>
      <w:r>
        <w:rPr>
          <w:b/>
        </w:rPr>
        <w:t>Gli accordi descritti non sono presentati come vigenti oggi.</w:t>
      </w:r>
    </w:p>
    <w:p>
      <w:pPr>
        <w:pStyle w:val="Heading1"/>
      </w:pPr>
      <w:r>
        <w:t>1. CORCOS INDUSTRIALE</w:t>
      </w:r>
    </w:p>
    <w:p>
      <w:pPr>
        <w:pStyle w:val="Heading2"/>
      </w:pPr>
      <w:r>
        <w:t>PAESE</w:t>
      </w:r>
    </w:p>
    <w:p>
      <w:pPr>
        <w:spacing w:after="80" w:line="252" w:lineRule="auto"/>
      </w:pPr>
      <w:r>
        <w:t>Italia</w:t>
      </w:r>
    </w:p>
    <w:p>
      <w:pPr>
        <w:pStyle w:val="Heading2"/>
      </w:pPr>
      <w:r>
        <w:t>VIGENZA ANALIZZATA</w:t>
      </w:r>
    </w:p>
    <w:p>
      <w:pPr>
        <w:spacing w:after="80" w:line="252" w:lineRule="auto"/>
      </w:pPr>
      <w:r>
        <w:t>2011–2013</w:t>
      </w:r>
    </w:p>
    <w:p>
      <w:pPr>
        <w:pStyle w:val="Heading2"/>
      </w:pPr>
      <w:r>
        <w:t>STRUTTURA</w:t>
      </w:r>
    </w:p>
    <w:p>
      <w:pPr>
        <w:pStyle w:val="Heading2"/>
      </w:pPr>
      <w:r>
        <w:t>PDR basato su 4 parametri</w:t>
      </w:r>
    </w:p>
    <w:p>
      <w:pPr>
        <w:pStyle w:val="ListBullet"/>
      </w:pPr>
      <w:r>
        <w:t>efficienza</w:t>
      </w:r>
    </w:p>
    <w:p>
      <w:pPr>
        <w:pStyle w:val="ListBullet"/>
      </w:pPr>
      <w:r>
        <w:t>produttività</w:t>
      </w:r>
    </w:p>
    <w:p>
      <w:pPr>
        <w:pStyle w:val="ListBullet"/>
      </w:pPr>
      <w:r>
        <w:t>qualità</w:t>
      </w:r>
    </w:p>
    <w:p>
      <w:pPr>
        <w:pStyle w:val="ListBullet"/>
      </w:pPr>
      <w:r>
        <w:t>assenteismo individuale</w:t>
      </w:r>
    </w:p>
    <w:p>
      <w:pPr>
        <w:pStyle w:val="Heading2"/>
      </w:pPr>
      <w:r>
        <w:t>EFFICIENZA</w:t>
      </w:r>
    </w:p>
    <w:p>
      <w:pPr>
        <w:pStyle w:val="Heading2"/>
      </w:pPr>
      <w:r>
        <w:t>Composta da tre sotto-indici</w:t>
      </w:r>
    </w:p>
    <w:p>
      <w:pPr>
        <w:spacing w:after="80" w:line="252" w:lineRule="auto"/>
      </w:pPr>
      <w:r>
        <w:t>1. disponibilità</w:t>
      </w:r>
    </w:p>
    <w:p>
      <w:pPr>
        <w:spacing w:after="80" w:line="252" w:lineRule="auto"/>
      </w:pPr>
      <w:r>
        <w:t>= tempo effettivo di lavoro / tempo disponibile</w:t>
      </w:r>
    </w:p>
    <w:p>
      <w:pPr>
        <w:spacing w:after="80" w:line="252" w:lineRule="auto"/>
      </w:pPr>
      <w:r>
        <w:t>2. prestazione</w:t>
      </w:r>
    </w:p>
    <w:p>
      <w:pPr>
        <w:spacing w:after="80" w:line="252" w:lineRule="auto"/>
      </w:pPr>
      <w:r>
        <w:t>= pezzi prodotti / tempo effettivo di lavoro</w:t>
      </w:r>
    </w:p>
    <w:p>
      <w:pPr>
        <w:spacing w:after="80" w:line="252" w:lineRule="auto"/>
      </w:pPr>
      <w:r>
        <w:t>3. qualità di produzione</w:t>
      </w:r>
    </w:p>
    <w:p>
      <w:pPr>
        <w:spacing w:after="80" w:line="252" w:lineRule="auto"/>
      </w:pPr>
      <w:r>
        <w:t>= pezzi buoni / pezzi totali</w:t>
      </w:r>
    </w:p>
    <w:p>
      <w:pPr>
        <w:pStyle w:val="Heading2"/>
      </w:pPr>
      <w:r>
        <w:t>PRODUTTIVITÀ</w:t>
      </w:r>
    </w:p>
    <w:p>
      <w:pPr>
        <w:spacing w:after="80" w:line="252" w:lineRule="auto"/>
      </w:pPr>
      <w:r>
        <w:t>pezzi indice prodotti / ore lavorate</w:t>
      </w:r>
    </w:p>
    <w:p>
      <w:pPr>
        <w:pStyle w:val="Heading2"/>
      </w:pPr>
      <w:r>
        <w:t>MECCANISMO</w:t>
      </w:r>
    </w:p>
    <w:p>
      <w:pPr>
        <w:pStyle w:val="ListBullet"/>
      </w:pPr>
      <w:r>
        <w:t>100% al raggiungimento del target</w:t>
      </w:r>
    </w:p>
    <w:p>
      <w:pPr>
        <w:pStyle w:val="ListBullet"/>
      </w:pPr>
      <w:r>
        <w:t>riduzione del premio del 10% per ogni 0,5 punti percentuali sotto obiettivo</w:t>
      </w:r>
    </w:p>
    <w:p>
      <w:pPr>
        <w:pStyle w:val="Heading2"/>
      </w:pPr>
      <w:r>
        <w:t>QUALITÀ</w:t>
      </w:r>
    </w:p>
    <w:p>
      <w:pPr>
        <w:spacing w:after="80" w:line="252" w:lineRule="auto"/>
      </w:pPr>
      <w:r>
        <w:t>reclami cliente giustificati / pezzi venduti</w:t>
      </w:r>
    </w:p>
    <w:p>
      <w:pPr>
        <w:pStyle w:val="Heading2"/>
      </w:pPr>
      <w:r>
        <w:t>MECCANISMO QUALITÀ</w:t>
      </w:r>
    </w:p>
    <w:p>
      <w:pPr>
        <w:pStyle w:val="ListBullet"/>
      </w:pPr>
      <w:r>
        <w:t>100% se target raggiunto/superato</w:t>
      </w:r>
    </w:p>
    <w:p>
      <w:pPr>
        <w:pStyle w:val="ListBullet"/>
      </w:pPr>
      <w:r>
        <w:t>50% fino a uno scostamento massimo del 10%</w:t>
      </w:r>
    </w:p>
    <w:p>
      <w:pPr>
        <w:pStyle w:val="Heading2"/>
      </w:pPr>
      <w:r>
        <w:t>ASSENTEISMO</w:t>
      </w:r>
    </w:p>
    <w:p>
      <w:pPr>
        <w:spacing w:after="80" w:line="252" w:lineRule="auto"/>
      </w:pPr>
      <w:r>
        <w:t>esclusivamente individuale</w:t>
      </w:r>
    </w:p>
    <w:p>
      <w:pPr>
        <w:spacing w:after="80" w:line="252" w:lineRule="auto"/>
      </w:pPr>
      <w:r>
        <w:t>Il premio matura per quadrimestre.</w:t>
      </w:r>
    </w:p>
    <w:p>
      <w:pPr>
        <w:pStyle w:val="Heading2"/>
      </w:pPr>
      <w:r>
        <w:t>La quota diminuisce con</w:t>
      </w:r>
    </w:p>
    <w:p>
      <w:pPr>
        <w:pStyle w:val="ListBullet"/>
      </w:pPr>
      <w:r>
        <w:t>numero di giorni di assenza</w:t>
      </w:r>
    </w:p>
    <w:p>
      <w:pPr>
        <w:pStyle w:val="ListBullet"/>
      </w:pPr>
      <w:r>
        <w:t>numero di eventi di assenza</w:t>
      </w:r>
    </w:p>
    <w:p>
      <w:pPr>
        <w:spacing w:after="80" w:line="252" w:lineRule="auto"/>
      </w:pPr>
      <w:r>
        <w:t>Sono previste esclusioni per alcune assenze tutelate.</w:t>
      </w:r>
    </w:p>
    <w:p>
      <w:pPr>
        <w:pStyle w:val="Heading3"/>
      </w:pPr>
      <w:r>
        <w:t>PUNTO UTILE PER SITEM:</w:t>
      </w:r>
    </w:p>
    <w:p>
      <w:pPr>
        <w:pStyle w:val="Heading2"/>
      </w:pPr>
      <w:r>
        <w:t>È molto interessante perché</w:t>
      </w:r>
    </w:p>
    <w:p>
      <w:pPr>
        <w:pStyle w:val="ListBullet"/>
      </w:pPr>
      <w:r>
        <w:t>separa efficienza, produttività e qualità</w:t>
      </w:r>
    </w:p>
    <w:p>
      <w:pPr>
        <w:pStyle w:val="ListBullet"/>
      </w:pPr>
      <w:r>
        <w:t>usa la presenza a livello individuale</w:t>
      </w:r>
    </w:p>
    <w:p>
      <w:pPr>
        <w:pStyle w:val="ListBullet"/>
      </w:pPr>
      <w:r>
        <w:t>non trasforma l’assenteismo in KPI collettivo</w:t>
      </w:r>
    </w:p>
    <w:p>
      <w:pPr>
        <w:pStyle w:val="ListBullet"/>
      </w:pPr>
      <w:r>
        <w:t>neutralizza alcune fermate nel calcolo della disponibilità</w:t>
      </w:r>
    </w:p>
    <w:p>
      <w:pPr>
        <w:pStyle w:val="Heading2"/>
      </w:pPr>
      <w:r>
        <w:t>IMPORTO MASSIMO STORICO</w:t>
      </w:r>
    </w:p>
    <w:p>
      <w:pPr>
        <w:pStyle w:val="ListBullet"/>
      </w:pPr>
      <w:r>
        <w:t>2011: € 850</w:t>
      </w:r>
    </w:p>
    <w:p>
      <w:pPr>
        <w:pStyle w:val="ListBullet"/>
      </w:pPr>
      <w:r>
        <w:t>2012: € 900</w:t>
      </w:r>
    </w:p>
    <w:p>
      <w:pPr>
        <w:pStyle w:val="ListBullet"/>
      </w:pPr>
      <w:r>
        <w:t>2013: € 1.000</w:t>
      </w:r>
    </w:p>
    <w:p>
      <w:pPr>
        <w:pStyle w:val="Heading1"/>
      </w:pPr>
      <w:r>
        <w:t>2. EXIDE TECHNOLOGIES</w:t>
      </w:r>
    </w:p>
    <w:p>
      <w:pPr>
        <w:pStyle w:val="Heading2"/>
      </w:pPr>
      <w:r>
        <w:t>PAESE</w:t>
      </w:r>
    </w:p>
    <w:p>
      <w:pPr>
        <w:spacing w:after="80" w:line="252" w:lineRule="auto"/>
      </w:pPr>
      <w:r>
        <w:t>Italia</w:t>
      </w:r>
    </w:p>
    <w:p>
      <w:pPr>
        <w:pStyle w:val="Heading2"/>
      </w:pPr>
      <w:r>
        <w:t>VIGENZA ANALIZZATA</w:t>
      </w:r>
    </w:p>
    <w:p>
      <w:pPr>
        <w:spacing w:after="80" w:line="252" w:lineRule="auto"/>
      </w:pPr>
      <w:r>
        <w:t>2013–2016</w:t>
      </w:r>
    </w:p>
    <w:p>
      <w:pPr>
        <w:pStyle w:val="Heading2"/>
      </w:pPr>
      <w:r>
        <w:t>STRUTTURA</w:t>
      </w:r>
    </w:p>
    <w:p>
      <w:pPr>
        <w:pStyle w:val="Heading2"/>
      </w:pPr>
      <w:r>
        <w:t>Premio composto da</w:t>
      </w:r>
    </w:p>
    <w:p>
      <w:pPr>
        <w:pStyle w:val="ListBullet"/>
      </w:pPr>
      <w:r>
        <w:t>quota fissa</w:t>
      </w:r>
    </w:p>
    <w:p>
      <w:pPr>
        <w:pStyle w:val="ListBullet"/>
      </w:pPr>
      <w:r>
        <w:t>quota variabile</w:t>
      </w:r>
    </w:p>
    <w:p>
      <w:pPr>
        <w:pStyle w:val="Heading2"/>
      </w:pPr>
      <w:r>
        <w:t>KPI VARIABILI</w:t>
      </w:r>
    </w:p>
    <w:p>
      <w:pPr>
        <w:spacing w:after="80" w:line="252" w:lineRule="auto"/>
      </w:pPr>
      <w:r>
        <w:t>1. produttività</w:t>
      </w:r>
    </w:p>
    <w:p>
      <w:pPr>
        <w:spacing w:after="80" w:line="252" w:lineRule="auto"/>
      </w:pPr>
      <w:r>
        <w:t>2. scarti</w:t>
      </w:r>
    </w:p>
    <w:p>
      <w:pPr>
        <w:spacing w:after="80" w:line="252" w:lineRule="auto"/>
      </w:pPr>
      <w:r>
        <w:t>3. tempo cambio tipo</w:t>
      </w:r>
    </w:p>
    <w:p>
      <w:pPr>
        <w:pStyle w:val="Heading2"/>
      </w:pPr>
      <w:r>
        <w:t>PRODUTTIVITÀ</w:t>
      </w:r>
    </w:p>
    <w:p>
      <w:pPr>
        <w:spacing w:after="80" w:line="252" w:lineRule="auto"/>
      </w:pPr>
      <w:r>
        <w:t>obiettivi definiti annualmente sulla base del budget</w:t>
      </w:r>
    </w:p>
    <w:p>
      <w:pPr>
        <w:pStyle w:val="Heading2"/>
      </w:pPr>
      <w:r>
        <w:t>SCARTI</w:t>
      </w:r>
    </w:p>
    <w:p>
      <w:pPr>
        <w:spacing w:after="80" w:line="252" w:lineRule="auto"/>
      </w:pPr>
      <w:r>
        <w:t>obiettivi annuali di riduzione scarti</w:t>
      </w:r>
    </w:p>
    <w:p>
      <w:pPr>
        <w:pStyle w:val="Heading2"/>
      </w:pPr>
      <w:r>
        <w:t>TEMPO CAMBIO TIPO</w:t>
      </w:r>
    </w:p>
    <w:p>
      <w:pPr>
        <w:spacing w:after="80" w:line="252" w:lineRule="auto"/>
      </w:pPr>
      <w:r>
        <w:t>tempo in minuti necessario per passare da una tipologia di batteria a un'altra</w:t>
      </w:r>
    </w:p>
    <w:p>
      <w:pPr>
        <w:pStyle w:val="Heading2"/>
      </w:pPr>
      <w:r>
        <w:t>VERIFICA</w:t>
      </w:r>
    </w:p>
    <w:p>
      <w:pPr>
        <w:spacing w:after="80" w:line="252" w:lineRule="auto"/>
      </w:pPr>
      <w:r>
        <w:t>obiettivi verificati trimestralmente</w:t>
      </w:r>
    </w:p>
    <w:p>
      <w:pPr>
        <w:pStyle w:val="Heading2"/>
      </w:pPr>
      <w:r>
        <w:t>MECCANISMO</w:t>
      </w:r>
    </w:p>
    <w:p>
      <w:pPr>
        <w:spacing w:after="80" w:line="252" w:lineRule="auto"/>
      </w:pPr>
      <w:r>
        <w:t>premio crescente al miglioramento dei KPI</w:t>
      </w:r>
    </w:p>
    <w:p>
      <w:pPr>
        <w:pStyle w:val="Heading2"/>
      </w:pPr>
      <w:r>
        <w:t>CARATTERISTICA</w:t>
      </w:r>
    </w:p>
    <w:p>
      <w:pPr>
        <w:spacing w:after="80" w:line="252" w:lineRule="auto"/>
      </w:pPr>
      <w:r>
        <w:t>misurazione collettiva</w:t>
      </w:r>
    </w:p>
    <w:p>
      <w:pPr>
        <w:pStyle w:val="Heading3"/>
      </w:pPr>
      <w:r>
        <w:t>PUNTO UTILE PER SITEM:</w:t>
      </w:r>
    </w:p>
    <w:p>
      <w:pPr>
        <w:pStyle w:val="Heading2"/>
      </w:pPr>
      <w:r>
        <w:t>Benchmark molto interessante per</w:t>
      </w:r>
    </w:p>
    <w:p>
      <w:pPr>
        <w:pStyle w:val="ListBullet"/>
      </w:pPr>
      <w:r>
        <w:t>produzione seriale</w:t>
      </w:r>
    </w:p>
    <w:p>
      <w:pPr>
        <w:pStyle w:val="ListBullet"/>
      </w:pPr>
      <w:r>
        <w:t>scarti</w:t>
      </w:r>
    </w:p>
    <w:p>
      <w:pPr>
        <w:pStyle w:val="ListBullet"/>
      </w:pPr>
      <w:r>
        <w:t>attrezzaggi/cambi produzione</w:t>
      </w:r>
    </w:p>
    <w:p>
      <w:pPr>
        <w:pStyle w:val="ListBullet"/>
      </w:pPr>
      <w:r>
        <w:t>revisione trimestrale</w:t>
      </w:r>
    </w:p>
    <w:p>
      <w:pPr>
        <w:pStyle w:val="ListBullet"/>
      </w:pPr>
      <w:r>
        <w:t>eliminazione di KPI finanziari dominanti</w:t>
      </w:r>
    </w:p>
    <w:p>
      <w:pPr>
        <w:pStyle w:val="Heading2"/>
      </w:pPr>
      <w:r>
        <w:t>Possibile trasposizione SITEM</w:t>
      </w:r>
    </w:p>
    <w:p>
      <w:pPr>
        <w:spacing w:after="80" w:line="252" w:lineRule="auto"/>
      </w:pPr>
      <w:r>
        <w:t>"tempo cambio tipo" -&gt;</w:t>
      </w:r>
    </w:p>
    <w:p>
      <w:pPr>
        <w:spacing w:after="80" w:line="252" w:lineRule="auto"/>
      </w:pPr>
      <w:r>
        <w:t>tempo cambio stampo / cambio attrezzaggio / cambio produzione</w:t>
      </w:r>
    </w:p>
    <w:p>
      <w:pPr>
        <w:pStyle w:val="Heading1"/>
      </w:pPr>
      <w:r>
        <w:t>3. FERRARI</w:t>
      </w:r>
    </w:p>
    <w:p>
      <w:pPr>
        <w:pStyle w:val="Heading2"/>
      </w:pPr>
      <w:r>
        <w:t>PAESE</w:t>
      </w:r>
    </w:p>
    <w:p>
      <w:pPr>
        <w:spacing w:after="80" w:line="252" w:lineRule="auto"/>
      </w:pPr>
      <w:r>
        <w:t>Italia</w:t>
      </w:r>
    </w:p>
    <w:p>
      <w:pPr>
        <w:pStyle w:val="Heading2"/>
      </w:pPr>
      <w:r>
        <w:t>VIGENZA ANALIZZATA</w:t>
      </w:r>
    </w:p>
    <w:p>
      <w:pPr>
        <w:spacing w:after="80" w:line="252" w:lineRule="auto"/>
      </w:pPr>
      <w:r>
        <w:t>2012–2014</w:t>
      </w:r>
    </w:p>
    <w:p>
      <w:pPr>
        <w:pStyle w:val="Heading2"/>
      </w:pPr>
      <w:r>
        <w:t>DENOMINAZIONE</w:t>
      </w:r>
    </w:p>
    <w:p>
      <w:pPr>
        <w:spacing w:after="80" w:line="252" w:lineRule="auto"/>
      </w:pPr>
      <w:r>
        <w:t>Premio di competitività</w:t>
      </w:r>
    </w:p>
    <w:p>
      <w:pPr>
        <w:pStyle w:val="Heading2"/>
      </w:pPr>
      <w:r>
        <w:t>KPI</w:t>
      </w:r>
    </w:p>
    <w:p>
      <w:pPr>
        <w:spacing w:after="80" w:line="252" w:lineRule="auto"/>
      </w:pPr>
      <w:r>
        <w:t>1. volumi di attività fatturata</w:t>
      </w:r>
    </w:p>
    <w:p>
      <w:pPr>
        <w:spacing w:after="80" w:line="252" w:lineRule="auto"/>
      </w:pPr>
      <w:r>
        <w:t>2. risultato economico</w:t>
      </w:r>
    </w:p>
    <w:p>
      <w:pPr>
        <w:spacing w:after="80" w:line="252" w:lineRule="auto"/>
      </w:pPr>
      <w:r>
        <w:t>3. qualità e affidabilità prodotto</w:t>
      </w:r>
    </w:p>
    <w:p>
      <w:pPr>
        <w:pStyle w:val="Heading2"/>
      </w:pPr>
      <w:r>
        <w:t>VOLUMI</w:t>
      </w:r>
    </w:p>
    <w:p>
      <w:pPr>
        <w:spacing w:after="80" w:line="252" w:lineRule="auto"/>
      </w:pPr>
      <w:r>
        <w:t>numero vetture consegnate alla rete</w:t>
      </w:r>
    </w:p>
    <w:p>
      <w:pPr>
        <w:pStyle w:val="Heading2"/>
      </w:pPr>
      <w:r>
        <w:t>ECONOMICO</w:t>
      </w:r>
    </w:p>
    <w:p>
      <w:pPr>
        <w:spacing w:after="80" w:line="252" w:lineRule="auto"/>
      </w:pPr>
      <w:r>
        <w:t>risultato operativo della gestione ordinaria</w:t>
      </w:r>
    </w:p>
    <w:p>
      <w:pPr>
        <w:pStyle w:val="Heading2"/>
      </w:pPr>
      <w:r>
        <w:t>QUALITÀ</w:t>
      </w:r>
    </w:p>
    <w:p>
      <w:pPr>
        <w:pStyle w:val="Heading2"/>
      </w:pPr>
      <w:r>
        <w:t>composta da</w:t>
      </w:r>
    </w:p>
    <w:p>
      <w:pPr>
        <w:pStyle w:val="ListBullet"/>
      </w:pPr>
      <w:r>
        <w:t>50% ICP – Initial Customer Perception</w:t>
      </w:r>
    </w:p>
    <w:p>
      <w:pPr>
        <w:pStyle w:val="ListBullet"/>
      </w:pPr>
      <w:r>
        <w:t>50% R100 – anomalie di garanzia / affidabilità</w:t>
      </w:r>
    </w:p>
    <w:p>
      <w:pPr>
        <w:pStyle w:val="Heading2"/>
      </w:pPr>
      <w:r>
        <w:t>CONDIZIONI MINIME</w:t>
      </w:r>
    </w:p>
    <w:p>
      <w:pPr>
        <w:pStyle w:val="ListBullet"/>
      </w:pPr>
      <w:r>
        <w:t>almeno 6.200 vetture consegnate</w:t>
      </w:r>
    </w:p>
    <w:p>
      <w:pPr>
        <w:pStyle w:val="ListBullet"/>
      </w:pPr>
      <w:r>
        <w:t>ROS almeno 10%</w:t>
      </w:r>
    </w:p>
    <w:p>
      <w:pPr>
        <w:pStyle w:val="Heading2"/>
      </w:pPr>
      <w:r>
        <w:t>QUALITÀ COME MOLTIPLICATORE</w:t>
      </w:r>
    </w:p>
    <w:p>
      <w:pPr>
        <w:pStyle w:val="ListBullet"/>
      </w:pPr>
      <w:r>
        <w:t>sotto 90% target -&gt; 0,90</w:t>
      </w:r>
    </w:p>
    <w:p>
      <w:pPr>
        <w:pStyle w:val="ListBullet"/>
      </w:pPr>
      <w:r>
        <w:t>tra 90% e 110% -&gt; valore proporzionale</w:t>
      </w:r>
    </w:p>
    <w:p>
      <w:pPr>
        <w:pStyle w:val="ListBullet"/>
      </w:pPr>
      <w:r>
        <w:t>oltre 110% -&gt; massimo 1,10</w:t>
      </w:r>
    </w:p>
    <w:p>
      <w:pPr>
        <w:pStyle w:val="Heading2"/>
      </w:pPr>
      <w:r>
        <w:t>PRESENZA</w:t>
      </w:r>
    </w:p>
    <w:p>
      <w:pPr>
        <w:spacing w:after="80" w:line="252" w:lineRule="auto"/>
      </w:pPr>
      <w:r>
        <w:t>correttivo individuale successivo</w:t>
      </w:r>
    </w:p>
    <w:p>
      <w:pPr>
        <w:pStyle w:val="ListBullet"/>
      </w:pPr>
      <w:r>
        <w:t>nessuna assenza -&gt; premio elevato al 105%</w:t>
      </w:r>
    </w:p>
    <w:p>
      <w:pPr>
        <w:pStyle w:val="ListBullet"/>
      </w:pPr>
      <w:r>
        <w:t>aumento delle ore di assenza -&gt; progressiva riduzione</w:t>
      </w:r>
    </w:p>
    <w:p>
      <w:pPr>
        <w:spacing w:after="80" w:line="252" w:lineRule="auto"/>
      </w:pPr>
      <w:r>
        <w:t>Sono escluse alcune assenze tutelate.</w:t>
      </w:r>
    </w:p>
    <w:p>
      <w:pPr>
        <w:pStyle w:val="Heading2"/>
      </w:pPr>
      <w:r>
        <w:t>IMPORTO</w:t>
      </w:r>
    </w:p>
    <w:p>
      <w:pPr>
        <w:spacing w:after="80" w:line="252" w:lineRule="auto"/>
      </w:pPr>
      <w:r>
        <w:t>il sistema storico poteva raggiungere importi superiori a € 4.000 complessivi;</w:t>
      </w:r>
    </w:p>
    <w:p>
      <w:pPr>
        <w:spacing w:after="80" w:line="252" w:lineRule="auto"/>
      </w:pPr>
      <w:r>
        <w:t>una parte della struttura arrivava fino a circa € 2.300 prima dei correttivi.</w:t>
      </w:r>
    </w:p>
    <w:p>
      <w:pPr>
        <w:pStyle w:val="Heading3"/>
      </w:pPr>
      <w:r>
        <w:t>PUNTO UTILE PER SITEM:</w:t>
      </w:r>
    </w:p>
    <w:p>
      <w:pPr>
        <w:pStyle w:val="Heading2"/>
      </w:pPr>
      <w:r>
        <w:t>Interessante per</w:t>
      </w:r>
    </w:p>
    <w:p>
      <w:pPr>
        <w:pStyle w:val="ListBullet"/>
      </w:pPr>
      <w:r>
        <w:t>separazione risultato aziendale / qualità / presenza individuale</w:t>
      </w:r>
    </w:p>
    <w:p>
      <w:pPr>
        <w:pStyle w:val="Heading2"/>
      </w:pPr>
      <w:r>
        <w:t>CRITICITÀ PER SITEM</w:t>
      </w:r>
    </w:p>
    <w:p>
      <w:pPr>
        <w:spacing w:after="80" w:line="252" w:lineRule="auto"/>
      </w:pPr>
      <w:r>
        <w:t>Il modello a moltiplicatori è proprio ciò che nella proposta SITEM stiamo cercando di evitare.</w:t>
      </w:r>
    </w:p>
    <w:p>
      <w:pPr>
        <w:pStyle w:val="Heading1"/>
      </w:pPr>
      <w:r>
        <w:t>4. PRODOTTI BAUMANN</w:t>
      </w:r>
    </w:p>
    <w:p>
      <w:pPr>
        <w:pStyle w:val="Heading2"/>
      </w:pPr>
      <w:r>
        <w:t>PAESE</w:t>
      </w:r>
    </w:p>
    <w:p>
      <w:pPr>
        <w:spacing w:after="80" w:line="252" w:lineRule="auto"/>
      </w:pPr>
      <w:r>
        <w:t>Italia</w:t>
      </w:r>
    </w:p>
    <w:p>
      <w:pPr>
        <w:pStyle w:val="Heading2"/>
      </w:pPr>
      <w:r>
        <w:t>VIGENZA ANALIZZATA</w:t>
      </w:r>
    </w:p>
    <w:p>
      <w:pPr>
        <w:spacing w:after="80" w:line="252" w:lineRule="auto"/>
      </w:pPr>
      <w:r>
        <w:t>2010–2012</w:t>
      </w:r>
    </w:p>
    <w:p>
      <w:pPr>
        <w:pStyle w:val="Heading2"/>
      </w:pPr>
      <w:r>
        <w:t>KPI</w:t>
      </w:r>
    </w:p>
    <w:p>
      <w:pPr>
        <w:spacing w:after="80" w:line="252" w:lineRule="auto"/>
      </w:pPr>
      <w:r>
        <w:t>1. qualità</w:t>
      </w:r>
    </w:p>
    <w:p>
      <w:pPr>
        <w:spacing w:after="80" w:line="252" w:lineRule="auto"/>
      </w:pPr>
      <w:r>
        <w:t>2. redditività</w:t>
      </w:r>
    </w:p>
    <w:p>
      <w:pPr>
        <w:spacing w:after="80" w:line="252" w:lineRule="auto"/>
      </w:pPr>
      <w:r>
        <w:t>3. efficienza</w:t>
      </w:r>
    </w:p>
    <w:p>
      <w:pPr>
        <w:pStyle w:val="Heading2"/>
      </w:pPr>
      <w:r>
        <w:t>QUALITÀ</w:t>
      </w:r>
    </w:p>
    <w:p>
      <w:pPr>
        <w:spacing w:after="80" w:line="252" w:lineRule="auto"/>
      </w:pPr>
      <w:r>
        <w:t>numero di richieste di azione correttiva "maggiori" dell'ente di certificazione</w:t>
      </w:r>
    </w:p>
    <w:p>
      <w:pPr>
        <w:pStyle w:val="Heading2"/>
      </w:pPr>
      <w:r>
        <w:t>Esempio storico</w:t>
      </w:r>
    </w:p>
    <w:p>
      <w:pPr>
        <w:pStyle w:val="ListBullet"/>
      </w:pPr>
      <w:r>
        <w:t>0 richieste -&gt; € 340</w:t>
      </w:r>
    </w:p>
    <w:p>
      <w:pPr>
        <w:pStyle w:val="ListBullet"/>
      </w:pPr>
      <w:r>
        <w:t>1 richiesta -&gt; € 170</w:t>
      </w:r>
    </w:p>
    <w:p>
      <w:pPr>
        <w:pStyle w:val="ListBullet"/>
      </w:pPr>
      <w:r>
        <w:t>oltre 1 -&gt; € 0</w:t>
      </w:r>
    </w:p>
    <w:p>
      <w:pPr>
        <w:pStyle w:val="Heading2"/>
      </w:pPr>
      <w:r>
        <w:t>REDDITIVITÀ</w:t>
      </w:r>
    </w:p>
    <w:p>
      <w:pPr>
        <w:spacing w:after="80" w:line="252" w:lineRule="auto"/>
      </w:pPr>
      <w:r>
        <w:t>EBIT</w:t>
      </w:r>
    </w:p>
    <w:p>
      <w:pPr>
        <w:pStyle w:val="Heading2"/>
      </w:pPr>
      <w:r>
        <w:t>Soglia minima</w:t>
      </w:r>
    </w:p>
    <w:p>
      <w:pPr>
        <w:spacing w:after="80" w:line="252" w:lineRule="auto"/>
      </w:pPr>
      <w:r>
        <w:t>EBIT &gt;= 3%</w:t>
      </w:r>
    </w:p>
    <w:p>
      <w:pPr>
        <w:pStyle w:val="Heading2"/>
      </w:pPr>
      <w:r>
        <w:t>EFFICIENZA</w:t>
      </w:r>
    </w:p>
    <w:p>
      <w:pPr>
        <w:pStyle w:val="Heading2"/>
      </w:pPr>
      <w:r>
        <w:t>rapporto tra</w:t>
      </w:r>
    </w:p>
    <w:p>
      <w:pPr>
        <w:spacing w:after="80" w:line="252" w:lineRule="auto"/>
      </w:pPr>
      <w:r>
        <w:t>(produzione al netto della materia prima)</w:t>
      </w:r>
    </w:p>
    <w:p>
      <w:pPr>
        <w:spacing w:after="80" w:line="252" w:lineRule="auto"/>
      </w:pPr>
      <w:r>
        <w:t>/</w:t>
      </w:r>
    </w:p>
    <w:p>
      <w:pPr>
        <w:spacing w:after="80" w:line="252" w:lineRule="auto"/>
      </w:pPr>
      <w:r>
        <w:t>costo del lavoro</w:t>
      </w:r>
    </w:p>
    <w:p>
      <w:pPr>
        <w:pStyle w:val="Heading2"/>
      </w:pPr>
      <w:r>
        <w:t>La produzione comprende</w:t>
      </w:r>
    </w:p>
    <w:p>
      <w:pPr>
        <w:pStyle w:val="ListBullet"/>
      </w:pPr>
      <w:r>
        <w:t>fatturato</w:t>
      </w:r>
    </w:p>
    <w:p>
      <w:pPr>
        <w:pStyle w:val="ListBullet"/>
      </w:pPr>
      <w:r>
        <w:t>variazioni magazzino prodotti finiti/semilavorati</w:t>
      </w:r>
    </w:p>
    <w:p>
      <w:pPr>
        <w:pStyle w:val="ListBullet"/>
      </w:pPr>
      <w:r>
        <w:t>rettifiche</w:t>
      </w:r>
    </w:p>
    <w:p>
      <w:pPr>
        <w:pStyle w:val="ListBullet"/>
      </w:pPr>
      <w:r>
        <w:t>altri elementi produttivi</w:t>
      </w:r>
    </w:p>
    <w:p>
      <w:pPr>
        <w:pStyle w:val="Heading2"/>
      </w:pPr>
      <w:r>
        <w:t>Il costo del lavoro comprende</w:t>
      </w:r>
    </w:p>
    <w:p>
      <w:pPr>
        <w:pStyle w:val="ListBullet"/>
      </w:pPr>
      <w:r>
        <w:t>retribuzioni</w:t>
      </w:r>
    </w:p>
    <w:p>
      <w:pPr>
        <w:pStyle w:val="ListBullet"/>
      </w:pPr>
      <w:r>
        <w:t>contributi</w:t>
      </w:r>
    </w:p>
    <w:p>
      <w:pPr>
        <w:pStyle w:val="ListBullet"/>
      </w:pPr>
      <w:r>
        <w:t>TFR</w:t>
      </w:r>
    </w:p>
    <w:p>
      <w:pPr>
        <w:pStyle w:val="ListBullet"/>
      </w:pPr>
      <w:r>
        <w:t>costi accessori personale</w:t>
      </w:r>
    </w:p>
    <w:p>
      <w:pPr>
        <w:pStyle w:val="Heading3"/>
      </w:pPr>
      <w:r>
        <w:t>PUNTO UTILE PER SITEM:</w:t>
      </w:r>
    </w:p>
    <w:p>
      <w:pPr>
        <w:spacing w:after="80" w:line="252" w:lineRule="auto"/>
      </w:pPr>
      <w:r>
        <w:t>Interessante perché lega l'efficienza al valore creato rispetto al costo del lavoro.</w:t>
      </w:r>
    </w:p>
    <w:p>
      <w:pPr>
        <w:pStyle w:val="Heading2"/>
      </w:pPr>
      <w:r>
        <w:t>CRITICITÀ</w:t>
      </w:r>
    </w:p>
    <w:p>
      <w:pPr>
        <w:spacing w:after="80" w:line="252" w:lineRule="auto"/>
      </w:pPr>
      <w:r>
        <w:t>Per SITEM può risultare troppo contabile e poco leggibile agli operatori.</w:t>
      </w:r>
    </w:p>
    <w:p>
      <w:pPr>
        <w:pStyle w:val="Heading1"/>
      </w:pPr>
      <w:r>
        <w:t>5. SAME DEUTZ-FAHR ITALIA</w:t>
      </w:r>
    </w:p>
    <w:p>
      <w:pPr>
        <w:pStyle w:val="Heading2"/>
      </w:pPr>
      <w:r>
        <w:t>PAESE</w:t>
      </w:r>
    </w:p>
    <w:p>
      <w:pPr>
        <w:spacing w:after="80" w:line="252" w:lineRule="auto"/>
      </w:pPr>
      <w:r>
        <w:t>Italia</w:t>
      </w:r>
    </w:p>
    <w:p>
      <w:pPr>
        <w:pStyle w:val="Heading2"/>
      </w:pPr>
      <w:r>
        <w:t>VIGENZA ANALIZZATA</w:t>
      </w:r>
    </w:p>
    <w:p>
      <w:pPr>
        <w:spacing w:after="80" w:line="252" w:lineRule="auto"/>
      </w:pPr>
      <w:r>
        <w:t>2011–2013</w:t>
      </w:r>
    </w:p>
    <w:p>
      <w:pPr>
        <w:pStyle w:val="Heading2"/>
      </w:pPr>
      <w:r>
        <w:t>STRUTTURA</w:t>
      </w:r>
    </w:p>
    <w:p>
      <w:pPr>
        <w:pStyle w:val="Heading2"/>
      </w:pPr>
      <w:r>
        <w:t>6 parametri raggruppati in</w:t>
      </w:r>
    </w:p>
    <w:p>
      <w:pPr>
        <w:pStyle w:val="ListBullet"/>
      </w:pPr>
      <w:r>
        <w:t>indicatori industriali</w:t>
      </w:r>
    </w:p>
    <w:p>
      <w:pPr>
        <w:pStyle w:val="ListBullet"/>
      </w:pPr>
      <w:r>
        <w:t>continuità lavorativa</w:t>
      </w:r>
    </w:p>
    <w:p>
      <w:pPr>
        <w:pStyle w:val="ListBullet"/>
      </w:pPr>
      <w:r>
        <w:t>redditività</w:t>
      </w:r>
    </w:p>
    <w:p>
      <w:pPr>
        <w:pStyle w:val="Heading2"/>
      </w:pPr>
      <w:r>
        <w:t>INDICATORI INDUSTRIALI</w:t>
      </w:r>
    </w:p>
    <w:p>
      <w:pPr>
        <w:pStyle w:val="Heading1"/>
      </w:pPr>
      <w:r>
        <w:t>1. MAGAZZINO / TRATTORI INCOMPLETI</w:t>
      </w:r>
    </w:p>
    <w:p>
      <w:pPr>
        <w:spacing w:after="80" w:line="252" w:lineRule="auto"/>
      </w:pPr>
      <w:r>
        <w:t>stock di trattori incompleti rapportato ai giorni prodotti</w:t>
      </w:r>
    </w:p>
    <w:p>
      <w:pPr>
        <w:spacing w:after="80" w:line="252" w:lineRule="auto"/>
      </w:pPr>
      <w:r>
        <w:t>Sono escluse determinate anomalie non imputabili normalmente alla produzione.</w:t>
      </w:r>
    </w:p>
    <w:p>
      <w:pPr>
        <w:pStyle w:val="Heading1"/>
      </w:pPr>
      <w:r>
        <w:t>2. QUALITÀ USCENTE</w:t>
      </w:r>
    </w:p>
    <w:p>
      <w:pPr>
        <w:spacing w:after="80" w:line="252" w:lineRule="auto"/>
      </w:pPr>
      <w:r>
        <w:t>difettosità verificata tramite audit mensile su campione casuale di trattori finiti</w:t>
      </w:r>
    </w:p>
    <w:p>
      <w:pPr>
        <w:spacing w:after="80" w:line="252" w:lineRule="auto"/>
      </w:pPr>
      <w:r>
        <w:t>Gli audit vengono sottoposti a Commissione Paritetica Qualità.</w:t>
      </w:r>
    </w:p>
    <w:p>
      <w:pPr>
        <w:pStyle w:val="Heading1"/>
      </w:pPr>
      <w:r>
        <w:t>3. DELIBERE DI FLUSSO</w:t>
      </w:r>
    </w:p>
    <w:p>
      <w:pPr>
        <w:spacing w:after="80" w:line="252" w:lineRule="auto"/>
      </w:pPr>
      <w:r>
        <w:t>trattori completati correttamente secondo la cadenza giornaliera</w:t>
      </w:r>
    </w:p>
    <w:p>
      <w:pPr>
        <w:pStyle w:val="Heading1"/>
      </w:pPr>
      <w:r>
        <w:t>4. AUDIT DI SICUREZZA</w:t>
      </w:r>
    </w:p>
    <w:p>
      <w:pPr>
        <w:spacing w:after="80" w:line="252" w:lineRule="auto"/>
      </w:pPr>
      <w:r>
        <w:t>check list sicurezza con punteggio mensile</w:t>
      </w:r>
    </w:p>
    <w:p>
      <w:pPr>
        <w:spacing w:after="80" w:line="252" w:lineRule="auto"/>
      </w:pPr>
      <w:r>
        <w:t>Il modello storico considerava anche l'indice di frequenza infortuni.</w:t>
      </w:r>
    </w:p>
    <w:p>
      <w:pPr>
        <w:pStyle w:val="Heading2"/>
      </w:pPr>
      <w:r>
        <w:t>CONTINUITÀ LAVORATIVA</w:t>
      </w:r>
    </w:p>
    <w:p>
      <w:pPr>
        <w:spacing w:after="80" w:line="252" w:lineRule="auto"/>
      </w:pPr>
      <w:r>
        <w:t>presenza individuale, con particolare valorizzazione di lunedì e venerdì</w:t>
      </w:r>
    </w:p>
    <w:p>
      <w:pPr>
        <w:pStyle w:val="Heading2"/>
      </w:pPr>
      <w:r>
        <w:t>REDDITIVITÀ</w:t>
      </w:r>
    </w:p>
    <w:p>
      <w:pPr>
        <w:spacing w:after="80" w:line="252" w:lineRule="auto"/>
      </w:pPr>
      <w:r>
        <w:t>EBITDA</w:t>
      </w:r>
    </w:p>
    <w:p>
      <w:pPr>
        <w:pStyle w:val="Heading2"/>
      </w:pPr>
      <w:r>
        <w:t>Soglia storica</w:t>
      </w:r>
    </w:p>
    <w:p>
      <w:pPr>
        <w:pStyle w:val="ListBullet"/>
      </w:pPr>
      <w:r>
        <w:t>piena maturazione da EBITDA &gt;= 7%</w:t>
      </w:r>
    </w:p>
    <w:p>
      <w:pPr>
        <w:pStyle w:val="ListBullet"/>
      </w:pPr>
      <w:r>
        <w:t>tra 6,3% e 6,99% previsto piccolo acconto</w:t>
      </w:r>
    </w:p>
    <w:p>
      <w:pPr>
        <w:pStyle w:val="Heading3"/>
      </w:pPr>
      <w:r>
        <w:t>PUNTO UTILE PER SITEM:</w:t>
      </w:r>
    </w:p>
    <w:p>
      <w:pPr>
        <w:pStyle w:val="Heading2"/>
      </w:pPr>
      <w:r>
        <w:t>Molto interessante per</w:t>
      </w:r>
    </w:p>
    <w:p>
      <w:pPr>
        <w:pStyle w:val="ListBullet"/>
      </w:pPr>
      <w:r>
        <w:t>indicatori industriali concreti</w:t>
      </w:r>
    </w:p>
    <w:p>
      <w:pPr>
        <w:pStyle w:val="ListBullet"/>
      </w:pPr>
      <w:r>
        <w:t>qualità verificata</w:t>
      </w:r>
    </w:p>
    <w:p>
      <w:pPr>
        <w:pStyle w:val="ListBullet"/>
      </w:pPr>
      <w:r>
        <w:t>completamento del flusso produttivo</w:t>
      </w:r>
    </w:p>
    <w:p>
      <w:pPr>
        <w:pStyle w:val="ListBullet"/>
      </w:pPr>
      <w:r>
        <w:t>presenza individuale</w:t>
      </w:r>
    </w:p>
    <w:p>
      <w:pPr>
        <w:pStyle w:val="ListBullet"/>
      </w:pPr>
      <w:r>
        <w:t>redditività separata</w:t>
      </w:r>
    </w:p>
    <w:p>
      <w:pPr>
        <w:pStyle w:val="Heading3"/>
      </w:pPr>
      <w:r>
        <w:t>ATTENZIONE:</w:t>
      </w:r>
    </w:p>
    <w:p>
      <w:pPr>
        <w:spacing w:after="80" w:line="252" w:lineRule="auto"/>
      </w:pPr>
      <w:r>
        <w:t>Non replicare il numero di infortuni come KPI sicurezza nel nuovo PDR SITEM.</w:t>
      </w:r>
    </w:p>
    <w:p>
      <w:pPr>
        <w:spacing w:after="80" w:line="252" w:lineRule="auto"/>
      </w:pPr>
      <w:r>
        <w:t>Preferire indicatori preventivi.</w:t>
      </w:r>
    </w:p>
    <w:p>
      <w:pPr>
        <w:pStyle w:val="Heading1"/>
      </w:pPr>
      <w:r>
        <w:t>6. TENARISDALMINE</w:t>
      </w:r>
    </w:p>
    <w:p>
      <w:pPr>
        <w:pStyle w:val="Heading2"/>
      </w:pPr>
      <w:r>
        <w:t>PAESE</w:t>
      </w:r>
    </w:p>
    <w:p>
      <w:pPr>
        <w:spacing w:after="80" w:line="252" w:lineRule="auto"/>
      </w:pPr>
      <w:r>
        <w:t>Italia</w:t>
      </w:r>
    </w:p>
    <w:p>
      <w:pPr>
        <w:pStyle w:val="Heading2"/>
      </w:pPr>
      <w:r>
        <w:t>VIGENZA ANALIZZATA</w:t>
      </w:r>
    </w:p>
    <w:p>
      <w:pPr>
        <w:spacing w:after="80" w:line="252" w:lineRule="auto"/>
      </w:pPr>
      <w:r>
        <w:t>2012–2014</w:t>
      </w:r>
    </w:p>
    <w:p>
      <w:pPr>
        <w:pStyle w:val="Heading2"/>
      </w:pPr>
      <w:r>
        <w:t>STRUTTURA</w:t>
      </w:r>
    </w:p>
    <w:p>
      <w:pPr>
        <w:pStyle w:val="Heading2"/>
      </w:pPr>
      <w:r>
        <w:t>Sistema composto da 5 premi distinti</w:t>
      </w:r>
    </w:p>
    <w:p>
      <w:pPr>
        <w:spacing w:after="80" w:line="252" w:lineRule="auto"/>
      </w:pPr>
      <w:r>
        <w:t>1. PQP – qualità e produttività del processo</w:t>
      </w:r>
    </w:p>
    <w:p>
      <w:pPr>
        <w:spacing w:after="80" w:line="252" w:lineRule="auto"/>
      </w:pPr>
      <w:r>
        <w:t>2. PRA – redditività aziendale</w:t>
      </w:r>
    </w:p>
    <w:p>
      <w:pPr>
        <w:spacing w:after="80" w:line="252" w:lineRule="auto"/>
      </w:pPr>
      <w:r>
        <w:t>3. professionalità</w:t>
      </w:r>
    </w:p>
    <w:p>
      <w:pPr>
        <w:spacing w:after="80" w:line="252" w:lineRule="auto"/>
      </w:pPr>
      <w:r>
        <w:t>4. PPS – prevenzione sicurezza</w:t>
      </w:r>
    </w:p>
    <w:p>
      <w:pPr>
        <w:spacing w:after="80" w:line="252" w:lineRule="auto"/>
      </w:pPr>
      <w:r>
        <w:t>5. assiduità</w:t>
      </w:r>
    </w:p>
    <w:p>
      <w:pPr>
        <w:pStyle w:val="Heading2"/>
      </w:pPr>
      <w:r>
        <w:t>PQP</w:t>
      </w:r>
    </w:p>
    <w:p>
      <w:pPr>
        <w:pStyle w:val="Heading2"/>
      </w:pPr>
      <w:r>
        <w:t>QUALITÀ</w:t>
      </w:r>
    </w:p>
    <w:p>
      <w:pPr>
        <w:spacing w:after="80" w:line="252" w:lineRule="auto"/>
      </w:pPr>
      <w:r>
        <w:t>rapporto tra standard assegnato e consuntivo</w:t>
      </w:r>
    </w:p>
    <w:p>
      <w:pPr>
        <w:pStyle w:val="Heading2"/>
      </w:pPr>
      <w:r>
        <w:t>PRODUTTIVITÀ</w:t>
      </w:r>
    </w:p>
    <w:p>
      <w:pPr>
        <w:spacing w:after="80" w:line="252" w:lineRule="auto"/>
      </w:pPr>
      <w:r>
        <w:t>tempo possibile assegnato / tempo consuntivo</w:t>
      </w:r>
    </w:p>
    <w:p>
      <w:pPr>
        <w:pStyle w:val="Heading2"/>
      </w:pPr>
      <w:r>
        <w:t>PAYOUT</w:t>
      </w:r>
    </w:p>
    <w:p>
      <w:pPr>
        <w:pStyle w:val="ListBullet"/>
      </w:pPr>
      <w:r>
        <w:t>indice equivalente = 1 -&gt; 100%</w:t>
      </w:r>
    </w:p>
    <w:p>
      <w:pPr>
        <w:pStyle w:val="ListBullet"/>
      </w:pPr>
      <w:r>
        <w:t>sopra 1 -&gt; fino al 130%</w:t>
      </w:r>
    </w:p>
    <w:p>
      <w:pPr>
        <w:pStyle w:val="ListBullet"/>
      </w:pPr>
      <w:r>
        <w:t>previste fasce inferiori se determinati valori minimi sono comunque raggiunti</w:t>
      </w:r>
    </w:p>
    <w:p>
      <w:pPr>
        <w:pStyle w:val="Heading2"/>
      </w:pPr>
      <w:r>
        <w:t>PRA</w:t>
      </w:r>
    </w:p>
    <w:p>
      <w:pPr>
        <w:spacing w:after="80" w:line="252" w:lineRule="auto"/>
      </w:pPr>
      <w:r>
        <w:t>basato sul risultato ante imposte (RAI), depurato secondo le regole contrattuali</w:t>
      </w:r>
    </w:p>
    <w:p>
      <w:pPr>
        <w:pStyle w:val="Heading2"/>
      </w:pPr>
      <w:r>
        <w:t>PROFESSIONALITÀ</w:t>
      </w:r>
    </w:p>
    <w:p>
      <w:pPr>
        <w:spacing w:after="80" w:line="252" w:lineRule="auto"/>
      </w:pPr>
      <w:r>
        <w:t>valutazione individuale tramite schede</w:t>
      </w:r>
    </w:p>
    <w:p>
      <w:pPr>
        <w:pStyle w:val="Heading2"/>
      </w:pPr>
      <w:r>
        <w:t>comprende</w:t>
      </w:r>
    </w:p>
    <w:p>
      <w:pPr>
        <w:pStyle w:val="ListBullet"/>
      </w:pPr>
      <w:r>
        <w:t>competenze</w:t>
      </w:r>
    </w:p>
    <w:p>
      <w:pPr>
        <w:pStyle w:val="ListBullet"/>
      </w:pPr>
      <w:r>
        <w:t>conoscenze</w:t>
      </w:r>
    </w:p>
    <w:p>
      <w:pPr>
        <w:pStyle w:val="ListBullet"/>
      </w:pPr>
      <w:r>
        <w:t>capacità relazionali</w:t>
      </w:r>
    </w:p>
    <w:p>
      <w:pPr>
        <w:pStyle w:val="ListBullet"/>
      </w:pPr>
      <w:r>
        <w:t>risultati</w:t>
      </w:r>
    </w:p>
    <w:p>
      <w:pPr>
        <w:pStyle w:val="ListBullet"/>
      </w:pPr>
      <w:r>
        <w:t>livello professionale espresso</w:t>
      </w:r>
    </w:p>
    <w:p>
      <w:pPr>
        <w:pStyle w:val="Heading2"/>
      </w:pPr>
      <w:r>
        <w:t>PPS – PREMIO PREVENZIONE SICUREZZA</w:t>
      </w:r>
    </w:p>
    <w:p>
      <w:pPr>
        <w:pStyle w:val="Heading2"/>
      </w:pPr>
      <w:r>
        <w:t>6 indicatori</w:t>
      </w:r>
    </w:p>
    <w:p>
      <w:pPr>
        <w:spacing w:after="80" w:line="252" w:lineRule="auto"/>
      </w:pPr>
      <w:r>
        <w:t>1. ordine e pulizia</w:t>
      </w:r>
    </w:p>
    <w:p>
      <w:pPr>
        <w:spacing w:after="80" w:line="252" w:lineRule="auto"/>
      </w:pPr>
      <w:r>
        <w:t>2. segnalazioni anomalie e incidenti</w:t>
      </w:r>
    </w:p>
    <w:p>
      <w:pPr>
        <w:spacing w:after="80" w:line="252" w:lineRule="auto"/>
      </w:pPr>
      <w:r>
        <w:t>3. ispezioni CT e tecnici</w:t>
      </w:r>
    </w:p>
    <w:p>
      <w:pPr>
        <w:spacing w:after="80" w:line="252" w:lineRule="auto"/>
      </w:pPr>
      <w:r>
        <w:t>4. lavori aperti e scaduti</w:t>
      </w:r>
    </w:p>
    <w:p>
      <w:pPr>
        <w:spacing w:after="80" w:line="252" w:lineRule="auto"/>
      </w:pPr>
      <w:r>
        <w:t>5. analisi dei rischi</w:t>
      </w:r>
    </w:p>
    <w:p>
      <w:pPr>
        <w:spacing w:after="80" w:line="252" w:lineRule="auto"/>
      </w:pPr>
      <w:r>
        <w:t>6. formazione sicurezza</w:t>
      </w:r>
    </w:p>
    <w:p>
      <w:pPr>
        <w:pStyle w:val="Heading2"/>
      </w:pPr>
      <w:r>
        <w:t>Punteggio massimo</w:t>
      </w:r>
    </w:p>
    <w:p>
      <w:pPr>
        <w:spacing w:after="80" w:line="252" w:lineRule="auto"/>
      </w:pPr>
      <w:r>
        <w:t>100</w:t>
      </w:r>
    </w:p>
    <w:p>
      <w:pPr>
        <w:pStyle w:val="Heading2"/>
      </w:pPr>
      <w:r>
        <w:t>Soglia minima</w:t>
      </w:r>
    </w:p>
    <w:p>
      <w:pPr>
        <w:spacing w:after="80" w:line="252" w:lineRule="auto"/>
      </w:pPr>
      <w:r>
        <w:t>70</w:t>
      </w:r>
    </w:p>
    <w:p>
      <w:pPr>
        <w:pStyle w:val="Heading2"/>
      </w:pPr>
      <w:r>
        <w:t>ASSIDUITÀ</w:t>
      </w:r>
    </w:p>
    <w:p>
      <w:pPr>
        <w:spacing w:after="80" w:line="252" w:lineRule="auto"/>
      </w:pPr>
      <w:r>
        <w:t>premio separato</w:t>
      </w:r>
    </w:p>
    <w:p>
      <w:pPr>
        <w:pStyle w:val="Heading3"/>
      </w:pPr>
      <w:r>
        <w:t>PUNTO UTILE PER SITEM:</w:t>
      </w:r>
    </w:p>
    <w:p>
      <w:pPr>
        <w:spacing w:after="80" w:line="252" w:lineRule="auto"/>
      </w:pPr>
      <w:r>
        <w:t>È uno dei benchmark più interessanti in assoluto.</w:t>
      </w:r>
    </w:p>
    <w:p>
      <w:pPr>
        <w:pStyle w:val="Heading2"/>
      </w:pPr>
      <w:r>
        <w:t>Da valutare per SITEM</w:t>
      </w:r>
    </w:p>
    <w:p>
      <w:pPr>
        <w:pStyle w:val="ListBullet"/>
      </w:pPr>
      <w:r>
        <w:t>separazione tra KPI industriali</w:t>
      </w:r>
    </w:p>
    <w:p>
      <w:pPr>
        <w:pStyle w:val="ListBullet"/>
      </w:pPr>
      <w:r>
        <w:t>competenze</w:t>
      </w:r>
    </w:p>
    <w:p>
      <w:pPr>
        <w:pStyle w:val="ListBullet"/>
      </w:pPr>
      <w:r>
        <w:t>sicurezza preventiva</w:t>
      </w:r>
    </w:p>
    <w:p>
      <w:pPr>
        <w:pStyle w:val="ListBullet"/>
      </w:pPr>
      <w:r>
        <w:t>presenza individuale</w:t>
      </w:r>
    </w:p>
    <w:p>
      <w:pPr>
        <w:pStyle w:val="ListBullet"/>
      </w:pPr>
      <w:r>
        <w:t>redditività</w:t>
      </w:r>
    </w:p>
    <w:p>
      <w:pPr>
        <w:spacing w:after="80" w:line="252" w:lineRule="auto"/>
      </w:pPr>
      <w:r>
        <w:t>È concettualmente molto vicino alla struttura PDR che stiamo costruendo.</w:t>
      </w:r>
    </w:p>
    <w:p>
      <w:pPr>
        <w:pStyle w:val="Heading1"/>
      </w:pPr>
      <w:r>
        <w:t>7. BOSCH SISTEMAS DE FRENADO</w:t>
      </w:r>
    </w:p>
    <w:p>
      <w:pPr>
        <w:pStyle w:val="Heading2"/>
      </w:pPr>
      <w:r>
        <w:t>PAESE</w:t>
      </w:r>
    </w:p>
    <w:p>
      <w:pPr>
        <w:spacing w:after="80" w:line="252" w:lineRule="auto"/>
      </w:pPr>
      <w:r>
        <w:t>Spagna</w:t>
      </w:r>
    </w:p>
    <w:p>
      <w:pPr>
        <w:pStyle w:val="Heading2"/>
      </w:pPr>
      <w:r>
        <w:t>VIGENZA ANALIZZATA</w:t>
      </w:r>
    </w:p>
    <w:p>
      <w:pPr>
        <w:spacing w:after="80" w:line="252" w:lineRule="auto"/>
      </w:pPr>
      <w:r>
        <w:t>2012–2015</w:t>
      </w:r>
    </w:p>
    <w:p>
      <w:pPr>
        <w:pStyle w:val="Heading2"/>
      </w:pPr>
      <w:r>
        <w:t>PARAMETRO PRINCIPALE</w:t>
      </w:r>
    </w:p>
    <w:p>
      <w:pPr>
        <w:spacing w:after="80" w:line="252" w:lineRule="auto"/>
      </w:pPr>
      <w:r>
        <w:t>assenteismo individuale</w:t>
      </w:r>
    </w:p>
    <w:p>
      <w:pPr>
        <w:pStyle w:val="Heading2"/>
      </w:pPr>
      <w:r>
        <w:t>MECCANISMO</w:t>
      </w:r>
    </w:p>
    <w:p>
      <w:pPr>
        <w:spacing w:after="80" w:line="252" w:lineRule="auto"/>
      </w:pPr>
      <w:r>
        <w:t>l'assenteismo riduce il premio di produttività.</w:t>
      </w:r>
    </w:p>
    <w:p>
      <w:pPr>
        <w:spacing w:after="80" w:line="252" w:lineRule="auto"/>
      </w:pPr>
      <w:r>
        <w:t>Calcolo trimestrale individuale.</w:t>
      </w:r>
    </w:p>
    <w:p>
      <w:pPr>
        <w:pStyle w:val="Heading2"/>
      </w:pPr>
      <w:r>
        <w:t>FASCE</w:t>
      </w:r>
    </w:p>
    <w:p>
      <w:pPr>
        <w:pStyle w:val="ListBullet"/>
      </w:pPr>
      <w:r>
        <w:t>assenteismo 0–2% -&gt; 100% premio</w:t>
      </w:r>
    </w:p>
    <w:p>
      <w:pPr>
        <w:pStyle w:val="ListBullet"/>
      </w:pPr>
      <w:r>
        <w:t>2–3% -&gt; 80%</w:t>
      </w:r>
    </w:p>
    <w:p>
      <w:pPr>
        <w:pStyle w:val="ListBullet"/>
      </w:pPr>
      <w:r>
        <w:t>3–3,5% -&gt; 50%</w:t>
      </w:r>
    </w:p>
    <w:p>
      <w:pPr>
        <w:pStyle w:val="ListBullet"/>
      </w:pPr>
      <w:r>
        <w:t>oltre 3,5% -&gt; 0%</w:t>
      </w:r>
    </w:p>
    <w:p>
      <w:pPr>
        <w:pStyle w:val="Heading2"/>
      </w:pPr>
      <w:r>
        <w:t>MECCANISMO REDISTRIBUTIVO</w:t>
      </w:r>
    </w:p>
    <w:p>
      <w:pPr>
        <w:spacing w:after="80" w:line="252" w:lineRule="auto"/>
      </w:pPr>
      <w:r>
        <w:t>la quota non erogata ai lavoratori delle fasce inferiori confluisce in un fondo redistribuito ai lavoratori della fascia migliore.</w:t>
      </w:r>
    </w:p>
    <w:p>
      <w:pPr>
        <w:spacing w:after="80" w:line="252" w:lineRule="auto"/>
      </w:pPr>
      <w:r>
        <w:t>Sono previste regole specifiche sulle assenze considerate e sui recuperi.</w:t>
      </w:r>
    </w:p>
    <w:p>
      <w:pPr>
        <w:pStyle w:val="Heading3"/>
      </w:pPr>
      <w:r>
        <w:t>PUNTO UTILE PER SITEM:</w:t>
      </w:r>
    </w:p>
    <w:p>
      <w:pPr>
        <w:pStyle w:val="Heading2"/>
      </w:pPr>
      <w:r>
        <w:t>Conferma che la presenza può essere valutata</w:t>
      </w:r>
    </w:p>
    <w:p>
      <w:pPr>
        <w:pStyle w:val="ListBullet"/>
      </w:pPr>
      <w:r>
        <w:t>individualmente</w:t>
      </w:r>
    </w:p>
    <w:p>
      <w:pPr>
        <w:pStyle w:val="ListBullet"/>
      </w:pPr>
      <w:r>
        <w:t>separatamente dalla performance collettiva</w:t>
      </w:r>
    </w:p>
    <w:p>
      <w:pPr>
        <w:pStyle w:val="Heading2"/>
      </w:pPr>
      <w:r>
        <w:t>CRITICITÀ</w:t>
      </w:r>
    </w:p>
    <w:p>
      <w:pPr>
        <w:spacing w:after="80" w:line="252" w:lineRule="auto"/>
      </w:pPr>
      <w:r>
        <w:t>Meccanismo molto aggressivo.</w:t>
      </w:r>
    </w:p>
    <w:p>
      <w:pPr>
        <w:spacing w:after="80" w:line="252" w:lineRule="auto"/>
      </w:pPr>
      <w:r>
        <w:t>Per SITEM non adottare l'azzeramento totale del PDR a causa della sola presenza.</w:t>
      </w:r>
    </w:p>
    <w:p>
      <w:pPr>
        <w:pStyle w:val="Heading1"/>
      </w:pPr>
      <w:r>
        <w:t>8. GERDAU ACEROS ESPECIALES EUROPA</w:t>
      </w:r>
    </w:p>
    <w:p>
      <w:pPr>
        <w:pStyle w:val="Heading2"/>
      </w:pPr>
      <w:r>
        <w:t>PAESE</w:t>
      </w:r>
    </w:p>
    <w:p>
      <w:pPr>
        <w:spacing w:after="80" w:line="252" w:lineRule="auto"/>
      </w:pPr>
      <w:r>
        <w:t>Spagna</w:t>
      </w:r>
    </w:p>
    <w:p>
      <w:pPr>
        <w:pStyle w:val="Heading2"/>
      </w:pPr>
      <w:r>
        <w:t>VIGENZA ANALIZZATA</w:t>
      </w:r>
    </w:p>
    <w:p>
      <w:pPr>
        <w:spacing w:after="80" w:line="252" w:lineRule="auto"/>
      </w:pPr>
      <w:r>
        <w:t>2013–2016</w:t>
      </w:r>
    </w:p>
    <w:p>
      <w:pPr>
        <w:pStyle w:val="Heading2"/>
      </w:pPr>
      <w:r>
        <w:t>TIPOLOGIA</w:t>
      </w:r>
    </w:p>
    <w:p>
      <w:pPr>
        <w:spacing w:after="80" w:line="252" w:lineRule="auto"/>
      </w:pPr>
      <w:r>
        <w:t>Premio di salvaguardia.</w:t>
      </w:r>
    </w:p>
    <w:p>
      <w:pPr>
        <w:pStyle w:val="Heading2"/>
      </w:pPr>
      <w:r>
        <w:t>Non è un classico PDR aggiuntivo</w:t>
      </w:r>
    </w:p>
    <w:p>
      <w:pPr>
        <w:spacing w:after="80" w:line="252" w:lineRule="auto"/>
      </w:pPr>
      <w:r>
        <w:t>una quota della retribuzione viene resa variabile.</w:t>
      </w:r>
    </w:p>
    <w:p>
      <w:pPr>
        <w:pStyle w:val="Heading2"/>
      </w:pPr>
      <w:r>
        <w:t>QUOTA VARIABILE STORICA</w:t>
      </w:r>
    </w:p>
    <w:p>
      <w:pPr>
        <w:pStyle w:val="ListBullet"/>
      </w:pPr>
      <w:r>
        <w:t>2013: 5%</w:t>
      </w:r>
    </w:p>
    <w:p>
      <w:pPr>
        <w:pStyle w:val="ListBullet"/>
      </w:pPr>
      <w:r>
        <w:t>2014: 5,5%</w:t>
      </w:r>
    </w:p>
    <w:p>
      <w:pPr>
        <w:pStyle w:val="ListBullet"/>
      </w:pPr>
      <w:r>
        <w:t>2015: 6%</w:t>
      </w:r>
    </w:p>
    <w:p>
      <w:pPr>
        <w:pStyle w:val="ListBullet"/>
      </w:pPr>
      <w:r>
        <w:t>2016: 7%</w:t>
      </w:r>
    </w:p>
    <w:p>
      <w:pPr>
        <w:pStyle w:val="Heading2"/>
      </w:pPr>
      <w:r>
        <w:t>CONDIZIONE GENERALE</w:t>
      </w:r>
    </w:p>
    <w:p>
      <w:pPr>
        <w:spacing w:after="80" w:line="252" w:lineRule="auto"/>
      </w:pPr>
      <w:r>
        <w:t>risultato netto aziendale positivo, salvo eccezione iniziale prevista dall'accordo</w:t>
      </w:r>
    </w:p>
    <w:p>
      <w:pPr>
        <w:pStyle w:val="Heading2"/>
      </w:pPr>
      <w:r>
        <w:t>KPI</w:t>
      </w:r>
    </w:p>
    <w:p>
      <w:pPr>
        <w:pStyle w:val="ListBullet"/>
      </w:pPr>
      <w:r>
        <w:t>produttività</w:t>
      </w:r>
    </w:p>
    <w:p>
      <w:pPr>
        <w:pStyle w:val="ListBullet"/>
      </w:pPr>
      <w:r>
        <w:t>sicurezza</w:t>
      </w:r>
    </w:p>
    <w:p>
      <w:pPr>
        <w:pStyle w:val="ListBullet"/>
      </w:pPr>
      <w:r>
        <w:t>assenteismo</w:t>
      </w:r>
    </w:p>
    <w:p>
      <w:pPr>
        <w:pStyle w:val="ListBullet"/>
      </w:pPr>
      <w:r>
        <w:t>clima sul lavoro</w:t>
      </w:r>
    </w:p>
    <w:p>
      <w:pPr>
        <w:pStyle w:val="Heading2"/>
      </w:pPr>
      <w:r>
        <w:t>Per ogni indicatore</w:t>
      </w:r>
    </w:p>
    <w:p>
      <w:pPr>
        <w:pStyle w:val="ListBullet"/>
      </w:pPr>
      <w:r>
        <w:t>livello minimo = 50%</w:t>
      </w:r>
    </w:p>
    <w:p>
      <w:pPr>
        <w:pStyle w:val="ListBullet"/>
      </w:pPr>
      <w:r>
        <w:t>target = 100%</w:t>
      </w:r>
    </w:p>
    <w:p>
      <w:pPr>
        <w:pStyle w:val="ListBullet"/>
      </w:pPr>
      <w:r>
        <w:t>massimo = 130%</w:t>
      </w:r>
    </w:p>
    <w:p>
      <w:pPr>
        <w:spacing w:after="80" w:line="252" w:lineRule="auto"/>
      </w:pPr>
      <w:r>
        <w:t>I KPI hanno pesi differenti.</w:t>
      </w:r>
    </w:p>
    <w:p>
      <w:pPr>
        <w:pStyle w:val="Heading2"/>
      </w:pPr>
      <w:r>
        <w:t>PAGAMENTO</w:t>
      </w:r>
    </w:p>
    <w:p>
      <w:pPr>
        <w:spacing w:after="80" w:line="252" w:lineRule="auto"/>
      </w:pPr>
      <w:r>
        <w:t>trimestrale/proporzionale</w:t>
      </w:r>
    </w:p>
    <w:p>
      <w:pPr>
        <w:pStyle w:val="Heading3"/>
      </w:pPr>
      <w:r>
        <w:t>PUNTO UTILE PER SITEM:</w:t>
      </w:r>
    </w:p>
    <w:p>
      <w:pPr>
        <w:pStyle w:val="Heading2"/>
      </w:pPr>
      <w:r>
        <w:t>Interessante per</w:t>
      </w:r>
    </w:p>
    <w:p>
      <w:pPr>
        <w:pStyle w:val="ListBullet"/>
      </w:pPr>
      <w:r>
        <w:t>presenza di sicurezza e clima organizzativo</w:t>
      </w:r>
    </w:p>
    <w:p>
      <w:pPr>
        <w:pStyle w:val="ListBullet"/>
      </w:pPr>
      <w:r>
        <w:t>fasce 50/100/130</w:t>
      </w:r>
    </w:p>
    <w:p>
      <w:pPr>
        <w:pStyle w:val="ListBullet"/>
      </w:pPr>
      <w:r>
        <w:t>pesi differenziati</w:t>
      </w:r>
    </w:p>
    <w:p>
      <w:pPr>
        <w:pStyle w:val="Heading3"/>
      </w:pPr>
      <w:r>
        <w:t>NON ADATTO DA COPIARE:</w:t>
      </w:r>
    </w:p>
    <w:p>
      <w:pPr>
        <w:spacing w:after="80" w:line="252" w:lineRule="auto"/>
      </w:pPr>
      <w:r>
        <w:t>La logica di "salvaguardia" della retribuzione è diversa dal PDR SITEM.</w:t>
      </w:r>
    </w:p>
    <w:p>
      <w:pPr>
        <w:pStyle w:val="Heading1"/>
      </w:pPr>
      <w:r>
        <w:t>9. GERDAU FORJANOR VILLALBA</w:t>
      </w:r>
    </w:p>
    <w:p>
      <w:pPr>
        <w:pStyle w:val="Heading2"/>
      </w:pPr>
      <w:r>
        <w:t>PAESE</w:t>
      </w:r>
    </w:p>
    <w:p>
      <w:pPr>
        <w:spacing w:after="80" w:line="252" w:lineRule="auto"/>
      </w:pPr>
      <w:r>
        <w:t>Spagna</w:t>
      </w:r>
    </w:p>
    <w:p>
      <w:pPr>
        <w:pStyle w:val="Heading2"/>
      </w:pPr>
      <w:r>
        <w:t>VIGENZA ANALIZZATA</w:t>
      </w:r>
    </w:p>
    <w:p>
      <w:pPr>
        <w:spacing w:after="80" w:line="252" w:lineRule="auto"/>
      </w:pPr>
      <w:r>
        <w:t>2013–2016</w:t>
      </w:r>
    </w:p>
    <w:p>
      <w:pPr>
        <w:pStyle w:val="Heading2"/>
      </w:pPr>
      <w:r>
        <w:t>STRUTTURA</w:t>
      </w:r>
    </w:p>
    <w:p>
      <w:pPr>
        <w:spacing w:after="80" w:line="252" w:lineRule="auto"/>
      </w:pPr>
      <w:r>
        <w:t>Sostanzialmente analoga al modello Gerdau Aceros.</w:t>
      </w:r>
    </w:p>
    <w:p>
      <w:pPr>
        <w:pStyle w:val="Heading2"/>
      </w:pPr>
      <w:r>
        <w:t>TIPOLOGIA</w:t>
      </w:r>
    </w:p>
    <w:p>
      <w:pPr>
        <w:spacing w:after="80" w:line="252" w:lineRule="auto"/>
      </w:pPr>
      <w:r>
        <w:t>premio di salvaguardia</w:t>
      </w:r>
    </w:p>
    <w:p>
      <w:pPr>
        <w:pStyle w:val="Heading2"/>
      </w:pPr>
      <w:r>
        <w:t>QUOTA VARIABILE</w:t>
      </w:r>
    </w:p>
    <w:p>
      <w:pPr>
        <w:spacing w:after="80" w:line="252" w:lineRule="auto"/>
      </w:pPr>
      <w:r>
        <w:t>5% -&gt; 7% nel quadriennio</w:t>
      </w:r>
    </w:p>
    <w:p>
      <w:pPr>
        <w:pStyle w:val="Heading2"/>
      </w:pPr>
      <w:r>
        <w:t>KPI</w:t>
      </w:r>
    </w:p>
    <w:p>
      <w:pPr>
        <w:pStyle w:val="ListBullet"/>
      </w:pPr>
      <w:r>
        <w:t>produttività</w:t>
      </w:r>
    </w:p>
    <w:p>
      <w:pPr>
        <w:pStyle w:val="ListBullet"/>
      </w:pPr>
      <w:r>
        <w:t>sicurezza</w:t>
      </w:r>
    </w:p>
    <w:p>
      <w:pPr>
        <w:pStyle w:val="ListBullet"/>
      </w:pPr>
      <w:r>
        <w:t>assenteismo</w:t>
      </w:r>
    </w:p>
    <w:p>
      <w:pPr>
        <w:pStyle w:val="ListBullet"/>
      </w:pPr>
      <w:r>
        <w:t>clima sul lavoro</w:t>
      </w:r>
    </w:p>
    <w:p>
      <w:pPr>
        <w:pStyle w:val="Heading2"/>
      </w:pPr>
      <w:r>
        <w:t>SOGLIE</w:t>
      </w:r>
    </w:p>
    <w:p>
      <w:pPr>
        <w:pStyle w:val="ListBullet"/>
      </w:pPr>
      <w:r>
        <w:t>minimo 50%</w:t>
      </w:r>
    </w:p>
    <w:p>
      <w:pPr>
        <w:pStyle w:val="ListBullet"/>
      </w:pPr>
      <w:r>
        <w:t>target 100%</w:t>
      </w:r>
    </w:p>
    <w:p>
      <w:pPr>
        <w:pStyle w:val="ListBullet"/>
      </w:pPr>
      <w:r>
        <w:t>massimo 130%</w:t>
      </w:r>
    </w:p>
    <w:p>
      <w:pPr>
        <w:pStyle w:val="Heading2"/>
      </w:pPr>
      <w:r>
        <w:t>PESI</w:t>
      </w:r>
    </w:p>
    <w:p>
      <w:pPr>
        <w:spacing w:after="80" w:line="252" w:lineRule="auto"/>
      </w:pPr>
      <w:r>
        <w:t>differenziati per indicatore</w:t>
      </w:r>
    </w:p>
    <w:p>
      <w:pPr>
        <w:pStyle w:val="Heading3"/>
      </w:pPr>
      <w:r>
        <w:t>PUNTO UTILE PER SITEM:</w:t>
      </w:r>
    </w:p>
    <w:p>
      <w:pPr>
        <w:spacing w:after="80" w:line="252" w:lineRule="auto"/>
      </w:pPr>
      <w:r>
        <w:t>Conferma l'utilizzabilità di una matrice KPI ponderata con soglia, target ed eccellenza.</w:t>
      </w:r>
    </w:p>
    <w:p>
      <w:pPr>
        <w:pStyle w:val="Heading1"/>
      </w:pPr>
      <w:r>
        <w:t>10. IVECO ESPAÑA</w:t>
      </w:r>
    </w:p>
    <w:p>
      <w:pPr>
        <w:pStyle w:val="Heading2"/>
      </w:pPr>
      <w:r>
        <w:t>PAESE</w:t>
      </w:r>
    </w:p>
    <w:p>
      <w:pPr>
        <w:spacing w:after="80" w:line="252" w:lineRule="auto"/>
      </w:pPr>
      <w:r>
        <w:t>Spagna</w:t>
      </w:r>
    </w:p>
    <w:p>
      <w:pPr>
        <w:pStyle w:val="Heading2"/>
      </w:pPr>
      <w:r>
        <w:t>VIGENZA ANALIZZATA</w:t>
      </w:r>
    </w:p>
    <w:p>
      <w:pPr>
        <w:spacing w:after="80" w:line="252" w:lineRule="auto"/>
      </w:pPr>
      <w:r>
        <w:t>2013–2016</w:t>
      </w:r>
    </w:p>
    <w:p>
      <w:pPr>
        <w:pStyle w:val="Heading2"/>
      </w:pPr>
      <w:r>
        <w:t>IMPORTO MASSIMO STORICO</w:t>
      </w:r>
    </w:p>
    <w:p>
      <w:pPr>
        <w:pStyle w:val="ListBullet"/>
      </w:pPr>
      <w:r>
        <w:t>2013: € 800</w:t>
      </w:r>
    </w:p>
    <w:p>
      <w:pPr>
        <w:pStyle w:val="ListBullet"/>
      </w:pPr>
      <w:r>
        <w:t>2014: € 900</w:t>
      </w:r>
    </w:p>
    <w:p>
      <w:pPr>
        <w:pStyle w:val="ListBullet"/>
      </w:pPr>
      <w:r>
        <w:t>2015: € 1.000</w:t>
      </w:r>
    </w:p>
    <w:p>
      <w:pPr>
        <w:pStyle w:val="ListBullet"/>
      </w:pPr>
      <w:r>
        <w:t>2016: € 1.100</w:t>
      </w:r>
    </w:p>
    <w:p>
      <w:pPr>
        <w:pStyle w:val="Heading2"/>
      </w:pPr>
      <w:r>
        <w:t>STRUTTURA</w:t>
      </w:r>
    </w:p>
    <w:p>
      <w:pPr>
        <w:pStyle w:val="Heading2"/>
      </w:pPr>
      <w:r>
        <w:t>integrazione di</w:t>
      </w:r>
    </w:p>
    <w:p>
      <w:pPr>
        <w:pStyle w:val="ListBullet"/>
      </w:pPr>
      <w:r>
        <w:t>risultato collettivo/aziendale</w:t>
      </w:r>
    </w:p>
    <w:p>
      <w:pPr>
        <w:pStyle w:val="ListBullet"/>
      </w:pPr>
      <w:r>
        <w:t>contributo individuale</w:t>
      </w:r>
    </w:p>
    <w:p>
      <w:pPr>
        <w:pStyle w:val="Heading2"/>
      </w:pPr>
      <w:r>
        <w:t>OBIETTIVI</w:t>
      </w:r>
    </w:p>
    <w:p>
      <w:pPr>
        <w:spacing w:after="80" w:line="252" w:lineRule="auto"/>
      </w:pPr>
      <w:r>
        <w:t>definiti all'inizio del periodo.</w:t>
      </w:r>
    </w:p>
    <w:p>
      <w:pPr>
        <w:pStyle w:val="Heading3"/>
      </w:pPr>
      <w:r>
        <w:t>PRINCIPIO PARTICOLARMENTE INTERESSANTE:</w:t>
      </w:r>
    </w:p>
    <w:p>
      <w:pPr>
        <w:spacing w:after="80" w:line="252" w:lineRule="auto"/>
      </w:pPr>
      <w:r>
        <w:t>azienda e rappresentanze devono disporre delle informazioni necessarie a dimostrare che gli obiettivi siano raggiungibili.</w:t>
      </w:r>
    </w:p>
    <w:p>
      <w:pPr>
        <w:spacing w:after="80" w:line="252" w:lineRule="auto"/>
      </w:pPr>
      <w:r>
        <w:t>Lo studio riporta una probabilità attesa di raggiungibilità dell'85% usando le risorse disponibili.</w:t>
      </w:r>
    </w:p>
    <w:p>
      <w:pPr>
        <w:pStyle w:val="Heading2"/>
      </w:pPr>
      <w:r>
        <w:t>FUNZIONAMENTO</w:t>
      </w:r>
    </w:p>
    <w:p>
      <w:pPr>
        <w:spacing w:after="80" w:line="252" w:lineRule="auto"/>
      </w:pPr>
      <w:r>
        <w:t>matrice di obiettivi collettivi con differenti livelli di raggiungimento.</w:t>
      </w:r>
    </w:p>
    <w:p>
      <w:pPr>
        <w:spacing w:after="80" w:line="252" w:lineRule="auto"/>
      </w:pPr>
      <w:r>
        <w:t>Il premio finale viene poi rapportato anche alla presenza/permanenza effettiva del singolo lavoratore.</w:t>
      </w:r>
    </w:p>
    <w:p>
      <w:pPr>
        <w:pStyle w:val="Heading3"/>
      </w:pPr>
      <w:r>
        <w:t>PUNTO UTILE PER SITEM:</w:t>
      </w:r>
    </w:p>
    <w:p>
      <w:pPr>
        <w:pStyle w:val="Heading2"/>
      </w:pPr>
      <w:r>
        <w:t>Molto importante il principio</w:t>
      </w:r>
    </w:p>
    <w:p>
      <w:pPr>
        <w:spacing w:after="80" w:line="252" w:lineRule="auto"/>
      </w:pPr>
      <w:r>
        <w:t>"il KPI deve essere dimostrabilmente raggiungibile con le risorse disponibili".</w:t>
      </w:r>
    </w:p>
    <w:p>
      <w:pPr>
        <w:spacing w:after="80" w:line="252" w:lineRule="auto"/>
      </w:pPr>
      <w:r>
        <w:t>Da inserire nel PDR SITEM come clausola negoziale.</w:t>
      </w:r>
    </w:p>
    <w:p>
      <w:pPr>
        <w:pStyle w:val="Heading1"/>
      </w:pPr>
      <w:r>
        <w:t>11. SEAT</w:t>
      </w:r>
    </w:p>
    <w:p>
      <w:pPr>
        <w:pStyle w:val="Heading2"/>
      </w:pPr>
      <w:r>
        <w:t>PAESE</w:t>
      </w:r>
    </w:p>
    <w:p>
      <w:pPr>
        <w:spacing w:after="80" w:line="252" w:lineRule="auto"/>
      </w:pPr>
      <w:r>
        <w:t>Spagna</w:t>
      </w:r>
    </w:p>
    <w:p>
      <w:pPr>
        <w:pStyle w:val="Heading2"/>
      </w:pPr>
      <w:r>
        <w:t>VIGENZA ANALIZZATA</w:t>
      </w:r>
    </w:p>
    <w:p>
      <w:pPr>
        <w:spacing w:after="80" w:line="252" w:lineRule="auto"/>
      </w:pPr>
      <w:r>
        <w:t>2011–2015</w:t>
      </w:r>
    </w:p>
    <w:p>
      <w:pPr>
        <w:pStyle w:val="Heading2"/>
      </w:pPr>
      <w:r>
        <w:t>MODELLO</w:t>
      </w:r>
    </w:p>
    <w:p>
      <w:pPr>
        <w:spacing w:after="80" w:line="252" w:lineRule="auto"/>
      </w:pPr>
      <w:r>
        <w:t>differenzia gli anni con risultato operativo negativo dagli anni positivi.</w:t>
      </w:r>
    </w:p>
    <w:p>
      <w:pPr>
        <w:spacing w:after="80" w:line="252" w:lineRule="auto"/>
      </w:pPr>
      <w:r>
        <w:t>A) RISULTATO OPERATIVO NEGATIVO</w:t>
      </w:r>
    </w:p>
    <w:p>
      <w:pPr>
        <w:pStyle w:val="Heading2"/>
      </w:pPr>
      <w:r>
        <w:t>Se il RO reale è migliore del RO previsto</w:t>
      </w:r>
    </w:p>
    <w:p>
      <w:pPr>
        <w:spacing w:after="80" w:line="252" w:lineRule="auto"/>
      </w:pPr>
      <w:r>
        <w:t>ogni miglioramento di 25 milioni genera +0,1% sulla retribuzione.</w:t>
      </w:r>
    </w:p>
    <w:p>
      <w:pPr>
        <w:pStyle w:val="Heading2"/>
      </w:pPr>
      <w:r>
        <w:t>Massimo</w:t>
      </w:r>
    </w:p>
    <w:p>
      <w:pPr>
        <w:spacing w:after="80" w:line="252" w:lineRule="auto"/>
      </w:pPr>
      <w:r>
        <w:t>+0,5%</w:t>
      </w:r>
    </w:p>
    <w:p>
      <w:pPr>
        <w:spacing w:after="80" w:line="252" w:lineRule="auto"/>
      </w:pPr>
      <w:r>
        <w:t>B) RISULTATO OPERATIVO POSITIVO</w:t>
      </w:r>
    </w:p>
    <w:p>
      <w:pPr>
        <w:pStyle w:val="Heading2"/>
      </w:pPr>
      <w:r>
        <w:t>PDR massimo storico</w:t>
      </w:r>
    </w:p>
    <w:p>
      <w:pPr>
        <w:spacing w:after="80" w:line="252" w:lineRule="auto"/>
      </w:pPr>
      <w:r>
        <w:t>€ 500</w:t>
      </w:r>
    </w:p>
    <w:p>
      <w:pPr>
        <w:pStyle w:val="Heading2"/>
      </w:pPr>
      <w:r>
        <w:t>PESI</w:t>
      </w:r>
    </w:p>
    <w:p>
      <w:pPr>
        <w:pStyle w:val="ListBullet"/>
      </w:pPr>
      <w:r>
        <w:t>risultato operativo: 30%</w:t>
      </w:r>
    </w:p>
    <w:p>
      <w:pPr>
        <w:pStyle w:val="ListBullet"/>
      </w:pPr>
      <w:r>
        <w:t>produttività: 30%</w:t>
      </w:r>
    </w:p>
    <w:p>
      <w:pPr>
        <w:pStyle w:val="ListBullet"/>
      </w:pPr>
      <w:r>
        <w:t>qualità: 40%</w:t>
      </w:r>
    </w:p>
    <w:p>
      <w:pPr>
        <w:pStyle w:val="Heading2"/>
      </w:pPr>
      <w:r>
        <w:t>PRODUTTIVITÀ</w:t>
      </w:r>
    </w:p>
    <w:p>
      <w:pPr>
        <w:spacing w:after="80" w:line="252" w:lineRule="auto"/>
      </w:pPr>
      <w:r>
        <w:t>autovetture prodotte / lavoratore / anno</w:t>
      </w:r>
    </w:p>
    <w:p>
      <w:pPr>
        <w:pStyle w:val="Heading2"/>
      </w:pPr>
      <w:r>
        <w:t>All'interno della quota produttività</w:t>
      </w:r>
    </w:p>
    <w:p>
      <w:pPr>
        <w:pStyle w:val="ListBullet"/>
      </w:pPr>
      <w:r>
        <w:t>30% raggiungimento obiettivo</w:t>
      </w:r>
    </w:p>
    <w:p>
      <w:pPr>
        <w:pStyle w:val="ListBullet"/>
      </w:pPr>
      <w:r>
        <w:t>70% miglioramento rispetto all'anno precedente</w:t>
      </w:r>
    </w:p>
    <w:p>
      <w:pPr>
        <w:pStyle w:val="Heading2"/>
      </w:pPr>
      <w:r>
        <w:t>QUALITÀ</w:t>
      </w:r>
    </w:p>
    <w:p>
      <w:pPr>
        <w:spacing w:after="80" w:line="252" w:lineRule="auto"/>
      </w:pPr>
      <w:r>
        <w:t>peso 40%</w:t>
      </w:r>
    </w:p>
    <w:p>
      <w:pPr>
        <w:pStyle w:val="Heading2"/>
      </w:pPr>
      <w:r>
        <w:t>All'interno della qualità</w:t>
      </w:r>
    </w:p>
    <w:p>
      <w:pPr>
        <w:pStyle w:val="ListBullet"/>
      </w:pPr>
      <w:r>
        <w:t>30% raggiungimento obiettivo</w:t>
      </w:r>
    </w:p>
    <w:p>
      <w:pPr>
        <w:pStyle w:val="ListBullet"/>
      </w:pPr>
      <w:r>
        <w:t>70% miglioramento rispetto all'anno precedente</w:t>
      </w:r>
    </w:p>
    <w:p>
      <w:pPr>
        <w:pStyle w:val="Heading3"/>
      </w:pPr>
      <w:r>
        <w:t>PUNTO UTILE PER SITEM:</w:t>
      </w:r>
    </w:p>
    <w:p>
      <w:pPr>
        <w:spacing w:after="80" w:line="252" w:lineRule="auto"/>
      </w:pPr>
      <w:r>
        <w:t>Questo è un benchmark MOLTO interessante per una congiuntura negativa.</w:t>
      </w:r>
    </w:p>
    <w:p>
      <w:pPr>
        <w:pStyle w:val="Heading2"/>
      </w:pPr>
      <w:r>
        <w:t>Principio</w:t>
      </w:r>
    </w:p>
    <w:p>
      <w:pPr>
        <w:spacing w:after="80" w:line="252" w:lineRule="auto"/>
      </w:pPr>
      <w:r>
        <w:t>anche se il risultato aziendale è negativo, si può premiare il miglioramento rispetto allo scenario previsto.</w:t>
      </w:r>
    </w:p>
    <w:p>
      <w:pPr>
        <w:pStyle w:val="Heading2"/>
      </w:pPr>
      <w:r>
        <w:t>È molto coerente con il ragionamento fatto per SITEM</w:t>
      </w:r>
    </w:p>
    <w:p>
      <w:pPr>
        <w:spacing w:after="80" w:line="252" w:lineRule="auto"/>
      </w:pPr>
      <w:r>
        <w:t>"mercato negativo non significa automaticamente cattiva performance aziendale o operaia".</w:t>
      </w:r>
    </w:p>
    <w:p>
      <w:pPr>
        <w:pStyle w:val="Heading1"/>
      </w:pPr>
      <w:r>
        <w:t>12. THYSSENKRUPP ELEVATOR MANUFACTURING SPAIN</w:t>
      </w:r>
    </w:p>
    <w:p>
      <w:pPr>
        <w:pStyle w:val="Heading2"/>
      </w:pPr>
      <w:r>
        <w:t>PAESE</w:t>
      </w:r>
    </w:p>
    <w:p>
      <w:pPr>
        <w:spacing w:after="80" w:line="252" w:lineRule="auto"/>
      </w:pPr>
      <w:r>
        <w:t>Spagna</w:t>
      </w:r>
    </w:p>
    <w:p>
      <w:pPr>
        <w:pStyle w:val="Heading2"/>
      </w:pPr>
      <w:r>
        <w:t>VIGENZA ANALIZZATA</w:t>
      </w:r>
    </w:p>
    <w:p>
      <w:pPr>
        <w:spacing w:after="80" w:line="252" w:lineRule="auto"/>
      </w:pPr>
      <w:r>
        <w:t>2012–2013</w:t>
      </w:r>
    </w:p>
    <w:p>
      <w:pPr>
        <w:pStyle w:val="Heading2"/>
      </w:pPr>
      <w:r>
        <w:t>TIPOLOGIA</w:t>
      </w:r>
    </w:p>
    <w:p>
      <w:pPr>
        <w:spacing w:after="80" w:line="252" w:lineRule="auto"/>
      </w:pPr>
      <w:r>
        <w:t>premio individuale di continuità/presenza</w:t>
      </w:r>
    </w:p>
    <w:p>
      <w:pPr>
        <w:pStyle w:val="Heading2"/>
      </w:pPr>
      <w:r>
        <w:t>IMPORTO</w:t>
      </w:r>
    </w:p>
    <w:p>
      <w:pPr>
        <w:spacing w:after="80" w:line="252" w:lineRule="auto"/>
      </w:pPr>
      <w:r>
        <w:t>€ 20,01 mensili</w:t>
      </w:r>
    </w:p>
    <w:p>
      <w:pPr>
        <w:pStyle w:val="Heading2"/>
      </w:pPr>
      <w:r>
        <w:t>CONDIZIONI</w:t>
      </w:r>
    </w:p>
    <w:p>
      <w:pPr>
        <w:pStyle w:val="ListBullet"/>
      </w:pPr>
      <w:r>
        <w:t>non più di 2 ritardi nel mese</w:t>
      </w:r>
    </w:p>
    <w:p>
      <w:pPr>
        <w:pStyle w:val="ListBullet"/>
      </w:pPr>
      <w:r>
        <w:t>non più di 2,5 ore di assenza</w:t>
      </w:r>
    </w:p>
    <w:p>
      <w:pPr>
        <w:spacing w:after="80" w:line="252" w:lineRule="auto"/>
      </w:pPr>
      <w:r>
        <w:t>Le assenze autorizzate dall'azienda non entrano nel calcolo.</w:t>
      </w:r>
    </w:p>
    <w:p>
      <w:pPr>
        <w:pStyle w:val="Heading2"/>
      </w:pPr>
      <w:r>
        <w:t>CONTROLLO</w:t>
      </w:r>
    </w:p>
    <w:p>
      <w:pPr>
        <w:spacing w:after="80" w:line="252" w:lineRule="auto"/>
      </w:pPr>
      <w:r>
        <w:t>prevista verifica da parte della rappresentanza dei lavoratori.</w:t>
      </w:r>
    </w:p>
    <w:p>
      <w:pPr>
        <w:pStyle w:val="Heading3"/>
      </w:pPr>
      <w:r>
        <w:t>PUNTO UTILE PER SITEM:</w:t>
      </w:r>
    </w:p>
    <w:p>
      <w:pPr>
        <w:pStyle w:val="Heading2"/>
      </w:pPr>
      <w:r>
        <w:t>Conferma la possibilità di tenere un indicatore presenza</w:t>
      </w:r>
    </w:p>
    <w:p>
      <w:pPr>
        <w:pStyle w:val="ListBullet"/>
      </w:pPr>
      <w:r>
        <w:t>autonomo</w:t>
      </w:r>
    </w:p>
    <w:p>
      <w:pPr>
        <w:pStyle w:val="ListBullet"/>
      </w:pPr>
      <w:r>
        <w:t>individuale</w:t>
      </w:r>
    </w:p>
    <w:p>
      <w:pPr>
        <w:pStyle w:val="ListBullet"/>
      </w:pPr>
      <w:r>
        <w:t>separato dai KPI collettivi</w:t>
      </w:r>
    </w:p>
    <w:p>
      <w:pPr>
        <w:spacing w:after="80" w:line="252" w:lineRule="auto"/>
      </w:pPr>
      <w:r>
        <w:t>È coerente con la scelta SITEM di assegnare alla presenza un peso individuale specifico, anziché utilizzarla come moltiplicatore dell'intero premio.</w:t>
      </w:r>
    </w:p>
    <w:p>
      <w:pPr>
        <w:pStyle w:val="Heading1"/>
      </w:pPr>
      <w:r>
        <w:t>BENCHMARK AGGIUNTIVO – MARELLI</w:t>
      </w:r>
    </w:p>
    <w:p>
      <w:pPr>
        <w:pStyle w:val="Heading2"/>
      </w:pPr>
      <w:r>
        <w:t>TIPOLOGIA</w:t>
      </w:r>
    </w:p>
    <w:p>
      <w:pPr>
        <w:spacing w:after="80" w:line="252" w:lineRule="auto"/>
      </w:pPr>
      <w:r>
        <w:t>Metalmeccanico / automotive</w:t>
      </w:r>
    </w:p>
    <w:p>
      <w:pPr>
        <w:pStyle w:val="Heading2"/>
      </w:pPr>
      <w:r>
        <w:t>MODELLO</w:t>
      </w:r>
    </w:p>
    <w:p>
      <w:pPr>
        <w:spacing w:after="80" w:line="252" w:lineRule="auto"/>
      </w:pPr>
      <w:r>
        <w:t>4 KPI</w:t>
      </w:r>
    </w:p>
    <w:p>
      <w:pPr>
        <w:pStyle w:val="Heading2"/>
      </w:pPr>
      <w:r>
        <w:t>PESI NELLA SINTESI ANALIZZATA</w:t>
      </w:r>
    </w:p>
    <w:p>
      <w:pPr>
        <w:pStyle w:val="ListBullet"/>
      </w:pPr>
      <w:r>
        <w:t>costi diretti produzione / vendite: 25%</w:t>
      </w:r>
    </w:p>
    <w:p>
      <w:pPr>
        <w:pStyle w:val="ListBullet"/>
      </w:pPr>
      <w:r>
        <w:t>valore scarti / vendite: 25%</w:t>
      </w:r>
    </w:p>
    <w:p>
      <w:pPr>
        <w:pStyle w:val="ListBullet"/>
      </w:pPr>
      <w:r>
        <w:t>PPM pezzi non conformi / spediti: 25%</w:t>
      </w:r>
    </w:p>
    <w:p>
      <w:pPr>
        <w:pStyle w:val="ListBullet"/>
      </w:pPr>
      <w:r>
        <w:t>risultato economico consolidato: 25%</w:t>
      </w:r>
    </w:p>
    <w:p>
      <w:pPr>
        <w:pStyle w:val="Heading2"/>
      </w:pPr>
      <w:r>
        <w:t>CARATTERISTICA</w:t>
      </w:r>
    </w:p>
    <w:p>
      <w:pPr>
        <w:spacing w:after="80" w:line="252" w:lineRule="auto"/>
      </w:pPr>
      <w:r>
        <w:t>75% indicatori industriali / stabilimento</w:t>
      </w:r>
    </w:p>
    <w:p>
      <w:pPr>
        <w:spacing w:after="80" w:line="252" w:lineRule="auto"/>
      </w:pPr>
      <w:r>
        <w:t>25% indicatore economico generale</w:t>
      </w:r>
    </w:p>
    <w:p>
      <w:pPr>
        <w:pStyle w:val="Heading3"/>
      </w:pPr>
      <w:r>
        <w:t>PUNTO UTILE PER SITEM:</w:t>
      </w:r>
    </w:p>
    <w:p>
      <w:pPr>
        <w:spacing w:after="80" w:line="252" w:lineRule="auto"/>
      </w:pPr>
      <w:r>
        <w:t>Benchmark semplice e facilmente comunicabile.</w:t>
      </w:r>
    </w:p>
    <w:p>
      <w:pPr>
        <w:pStyle w:val="Heading2"/>
      </w:pPr>
      <w:r>
        <w:t>Dimostra l'utilità di</w:t>
      </w:r>
    </w:p>
    <w:p>
      <w:pPr>
        <w:pStyle w:val="ListBullet"/>
      </w:pPr>
      <w:r>
        <w:t>pesi espliciti</w:t>
      </w:r>
    </w:p>
    <w:p>
      <w:pPr>
        <w:pStyle w:val="ListBullet"/>
      </w:pPr>
      <w:r>
        <w:t>prevalenza dei KPI industriali</w:t>
      </w:r>
    </w:p>
    <w:p>
      <w:pPr>
        <w:pStyle w:val="ListBullet"/>
      </w:pPr>
      <w:r>
        <w:t>risultato economico non dominante</w:t>
      </w:r>
    </w:p>
    <w:p>
      <w:pPr>
        <w:pStyle w:val="Heading1"/>
      </w:pPr>
      <w:r>
        <w:t>BENCHMARK AGGIUNTIVO – LEONARDO</w:t>
      </w:r>
    </w:p>
    <w:p>
      <w:pPr>
        <w:pStyle w:val="Heading2"/>
      </w:pPr>
      <w:r>
        <w:t>ESEMPIO FUNZIONI CENTRALIZZATE</w:t>
      </w:r>
    </w:p>
    <w:p>
      <w:pPr>
        <w:pStyle w:val="Heading2"/>
      </w:pPr>
      <w:r>
        <w:t>KPI</w:t>
      </w:r>
    </w:p>
    <w:p>
      <w:pPr>
        <w:pStyle w:val="ListBullet"/>
      </w:pPr>
      <w:r>
        <w:t>FOCF: 40%</w:t>
      </w:r>
    </w:p>
    <w:p>
      <w:pPr>
        <w:pStyle w:val="ListBullet"/>
      </w:pPr>
      <w:r>
        <w:t>EBITA: 25%</w:t>
      </w:r>
    </w:p>
    <w:p>
      <w:pPr>
        <w:pStyle w:val="ListBullet"/>
      </w:pPr>
      <w:r>
        <w:t>Ordini: 25%</w:t>
      </w:r>
    </w:p>
    <w:p>
      <w:pPr>
        <w:pStyle w:val="ListBullet"/>
      </w:pPr>
      <w:r>
        <w:t>DJSI: 10%</w:t>
      </w:r>
    </w:p>
    <w:p>
      <w:pPr>
        <w:pStyle w:val="Heading2"/>
      </w:pPr>
      <w:r>
        <w:t>CARATTERISTICA</w:t>
      </w:r>
    </w:p>
    <w:p>
      <w:pPr>
        <w:pStyle w:val="Heading2"/>
      </w:pPr>
      <w:r>
        <w:t>ogni KPI ha</w:t>
      </w:r>
    </w:p>
    <w:p>
      <w:pPr>
        <w:pStyle w:val="ListBullet"/>
      </w:pPr>
      <w:r>
        <w:t>target</w:t>
      </w:r>
    </w:p>
    <w:p>
      <w:pPr>
        <w:pStyle w:val="ListBullet"/>
      </w:pPr>
      <w:r>
        <w:t>consuntivo</w:t>
      </w:r>
    </w:p>
    <w:p>
      <w:pPr>
        <w:pStyle w:val="ListBullet"/>
      </w:pPr>
      <w:r>
        <w:t>payout</w:t>
      </w:r>
    </w:p>
    <w:p>
      <w:pPr>
        <w:pStyle w:val="Heading2"/>
      </w:pPr>
      <w:r>
        <w:t>Esempio</w:t>
      </w:r>
    </w:p>
    <w:p>
      <w:pPr>
        <w:spacing w:after="80" w:line="252" w:lineRule="auto"/>
      </w:pPr>
      <w:r>
        <w:t>target = 100</w:t>
      </w:r>
    </w:p>
    <w:p>
      <w:pPr>
        <w:spacing w:after="80" w:line="252" w:lineRule="auto"/>
      </w:pPr>
      <w:r>
        <w:t>consuntivo = 105</w:t>
      </w:r>
    </w:p>
    <w:p>
      <w:pPr>
        <w:spacing w:after="80" w:line="252" w:lineRule="auto"/>
      </w:pPr>
      <w:r>
        <w:t>payout = 105%, nei limiti previsti dall'accordo</w:t>
      </w:r>
    </w:p>
    <w:p>
      <w:pPr>
        <w:pStyle w:val="Heading3"/>
      </w:pPr>
      <w:r>
        <w:t>PUNTO UTILE PER SITEM:</w:t>
      </w:r>
    </w:p>
    <w:p>
      <w:pPr>
        <w:spacing w:after="80" w:line="252" w:lineRule="auto"/>
      </w:pPr>
      <w:r>
        <w:t>Non sono KPI direttamente assimilabili alla fabbrica SITEM,</w:t>
      </w:r>
    </w:p>
    <w:p>
      <w:pPr>
        <w:pStyle w:val="Heading2"/>
      </w:pPr>
      <w:r>
        <w:t>ma il metodo è molto utile</w:t>
      </w:r>
    </w:p>
    <w:p>
      <w:pPr>
        <w:spacing w:after="80" w:line="252" w:lineRule="auto"/>
      </w:pPr>
      <w:r>
        <w:t>KPI -&gt; PESO -&gt; TARGET -&gt; CONSUNTIVO -&gt; PAYOUT</w:t>
      </w:r>
    </w:p>
    <w:p>
      <w:pPr>
        <w:spacing w:after="80" w:line="252" w:lineRule="auto"/>
      </w:pPr>
      <w:r>
        <w:t>Nessuna ambiguità sul peso relativo.</w:t>
      </w:r>
    </w:p>
    <w:p>
      <w:pPr>
        <w:spacing w:after="80" w:line="252" w:lineRule="auto"/>
      </w:pPr>
      <w:r>
        <w:t>CONFRONTO FINALE PER PDR SITEM 2026–2029</w:t>
      </w:r>
    </w:p>
    <w:p>
      <w:pPr>
        <w:pStyle w:val="Heading2"/>
      </w:pPr>
      <w:r>
        <w:t>Elementi ricorrenti nei benchmark più utili</w:t>
      </w:r>
    </w:p>
    <w:p>
      <w:pPr>
        <w:spacing w:after="80" w:line="252" w:lineRule="auto"/>
      </w:pPr>
      <w:r>
        <w:t>1. KPI produttivo</w:t>
      </w:r>
    </w:p>
    <w:p>
      <w:pPr>
        <w:spacing w:after="80" w:line="252" w:lineRule="auto"/>
      </w:pPr>
      <w:r>
        <w:t>Corcos</w:t>
      </w:r>
    </w:p>
    <w:p>
      <w:pPr>
        <w:spacing w:after="80" w:line="252" w:lineRule="auto"/>
      </w:pPr>
      <w:r>
        <w:t>Exide</w:t>
      </w:r>
    </w:p>
    <w:p>
      <w:pPr>
        <w:spacing w:after="80" w:line="252" w:lineRule="auto"/>
      </w:pPr>
      <w:r>
        <w:t>Tenaris</w:t>
      </w:r>
    </w:p>
    <w:p>
      <w:pPr>
        <w:spacing w:after="80" w:line="252" w:lineRule="auto"/>
      </w:pPr>
      <w:r>
        <w:t>Seat</w:t>
      </w:r>
    </w:p>
    <w:p>
      <w:pPr>
        <w:spacing w:after="80" w:line="252" w:lineRule="auto"/>
      </w:pPr>
      <w:r>
        <w:t>Marelli</w:t>
      </w:r>
    </w:p>
    <w:p>
      <w:pPr>
        <w:spacing w:after="80" w:line="252" w:lineRule="auto"/>
      </w:pPr>
      <w:r>
        <w:t>2. KPI qualità/scarti</w:t>
      </w:r>
    </w:p>
    <w:p>
      <w:pPr>
        <w:spacing w:after="80" w:line="252" w:lineRule="auto"/>
      </w:pPr>
      <w:r>
        <w:t>Corcos</w:t>
      </w:r>
    </w:p>
    <w:p>
      <w:pPr>
        <w:spacing w:after="80" w:line="252" w:lineRule="auto"/>
      </w:pPr>
      <w:r>
        <w:t>Exide</w:t>
      </w:r>
    </w:p>
    <w:p>
      <w:pPr>
        <w:spacing w:after="80" w:line="252" w:lineRule="auto"/>
      </w:pPr>
      <w:r>
        <w:t>Ferrari</w:t>
      </w:r>
    </w:p>
    <w:p>
      <w:pPr>
        <w:spacing w:after="80" w:line="252" w:lineRule="auto"/>
      </w:pPr>
      <w:r>
        <w:t>Baumann</w:t>
      </w:r>
    </w:p>
    <w:p>
      <w:pPr>
        <w:spacing w:after="80" w:line="252" w:lineRule="auto"/>
      </w:pPr>
      <w:r>
        <w:t>Same</w:t>
      </w:r>
    </w:p>
    <w:p>
      <w:pPr>
        <w:spacing w:after="80" w:line="252" w:lineRule="auto"/>
      </w:pPr>
      <w:r>
        <w:t>Tenaris</w:t>
      </w:r>
    </w:p>
    <w:p>
      <w:pPr>
        <w:spacing w:after="80" w:line="252" w:lineRule="auto"/>
      </w:pPr>
      <w:r>
        <w:t>Seat</w:t>
      </w:r>
    </w:p>
    <w:p>
      <w:pPr>
        <w:spacing w:after="80" w:line="252" w:lineRule="auto"/>
      </w:pPr>
      <w:r>
        <w:t>Marelli</w:t>
      </w:r>
    </w:p>
    <w:p>
      <w:pPr>
        <w:spacing w:after="80" w:line="252" w:lineRule="auto"/>
      </w:pPr>
      <w:r>
        <w:t>3. KPI organizzativo/processo</w:t>
      </w:r>
    </w:p>
    <w:p>
      <w:pPr>
        <w:pStyle w:val="Heading2"/>
      </w:pPr>
      <w:r>
        <w:t>Exide</w:t>
      </w:r>
    </w:p>
    <w:p>
      <w:pPr>
        <w:spacing w:after="80" w:line="252" w:lineRule="auto"/>
      </w:pPr>
      <w:r>
        <w:t>tempo cambio tipo</w:t>
      </w:r>
    </w:p>
    <w:p>
      <w:pPr>
        <w:pStyle w:val="Heading2"/>
      </w:pPr>
      <w:r>
        <w:t>Same</w:t>
      </w:r>
    </w:p>
    <w:p>
      <w:pPr>
        <w:spacing w:after="80" w:line="252" w:lineRule="auto"/>
      </w:pPr>
      <w:r>
        <w:t>flusso produttivo / incompleti</w:t>
      </w:r>
    </w:p>
    <w:p>
      <w:pPr>
        <w:pStyle w:val="Heading2"/>
      </w:pPr>
      <w:r>
        <w:t>Tenaris</w:t>
      </w:r>
    </w:p>
    <w:p>
      <w:pPr>
        <w:spacing w:after="80" w:line="252" w:lineRule="auto"/>
      </w:pPr>
      <w:r>
        <w:t>tempo possibile / tempo consuntivo</w:t>
      </w:r>
    </w:p>
    <w:p>
      <w:pPr>
        <w:spacing w:after="80" w:line="252" w:lineRule="auto"/>
      </w:pPr>
      <w:r>
        <w:t>4. KPI economico</w:t>
      </w:r>
    </w:p>
    <w:p>
      <w:pPr>
        <w:spacing w:after="80" w:line="252" w:lineRule="auto"/>
      </w:pPr>
      <w:r>
        <w:t>Ferrari</w:t>
      </w:r>
    </w:p>
    <w:p>
      <w:pPr>
        <w:spacing w:after="80" w:line="252" w:lineRule="auto"/>
      </w:pPr>
      <w:r>
        <w:t>Baumann</w:t>
      </w:r>
    </w:p>
    <w:p>
      <w:pPr>
        <w:spacing w:after="80" w:line="252" w:lineRule="auto"/>
      </w:pPr>
      <w:r>
        <w:t>Same</w:t>
      </w:r>
    </w:p>
    <w:p>
      <w:pPr>
        <w:spacing w:after="80" w:line="252" w:lineRule="auto"/>
      </w:pPr>
      <w:r>
        <w:t>Tenaris</w:t>
      </w:r>
    </w:p>
    <w:p>
      <w:pPr>
        <w:spacing w:after="80" w:line="252" w:lineRule="auto"/>
      </w:pPr>
      <w:r>
        <w:t>Seat</w:t>
      </w:r>
    </w:p>
    <w:p>
      <w:pPr>
        <w:spacing w:after="80" w:line="252" w:lineRule="auto"/>
      </w:pPr>
      <w:r>
        <w:t>Marelli</w:t>
      </w:r>
    </w:p>
    <w:p>
      <w:pPr>
        <w:spacing w:after="80" w:line="252" w:lineRule="auto"/>
      </w:pPr>
      <w:r>
        <w:t>Leonardo</w:t>
      </w:r>
    </w:p>
    <w:p>
      <w:pPr>
        <w:spacing w:after="80" w:line="252" w:lineRule="auto"/>
      </w:pPr>
      <w:r>
        <w:t>5. Presenza individuale</w:t>
      </w:r>
    </w:p>
    <w:p>
      <w:pPr>
        <w:spacing w:after="80" w:line="252" w:lineRule="auto"/>
      </w:pPr>
      <w:r>
        <w:t>Corcos</w:t>
      </w:r>
    </w:p>
    <w:p>
      <w:pPr>
        <w:spacing w:after="80" w:line="252" w:lineRule="auto"/>
      </w:pPr>
      <w:r>
        <w:t>Ferrari</w:t>
      </w:r>
    </w:p>
    <w:p>
      <w:pPr>
        <w:spacing w:after="80" w:line="252" w:lineRule="auto"/>
      </w:pPr>
      <w:r>
        <w:t>Bosch</w:t>
      </w:r>
    </w:p>
    <w:p>
      <w:pPr>
        <w:spacing w:after="80" w:line="252" w:lineRule="auto"/>
      </w:pPr>
      <w:r>
        <w:t>Tenaris</w:t>
      </w:r>
    </w:p>
    <w:p>
      <w:pPr>
        <w:spacing w:after="80" w:line="252" w:lineRule="auto"/>
      </w:pPr>
      <w:r>
        <w:t>Iveco</w:t>
      </w:r>
    </w:p>
    <w:p>
      <w:pPr>
        <w:spacing w:after="80" w:line="252" w:lineRule="auto"/>
      </w:pPr>
      <w:r>
        <w:t>ThyssenKrupp</w:t>
      </w:r>
    </w:p>
    <w:p>
      <w:pPr>
        <w:spacing w:after="80" w:line="252" w:lineRule="auto"/>
      </w:pPr>
      <w:r>
        <w:t>6. Sicurezza</w:t>
      </w:r>
    </w:p>
    <w:p>
      <w:pPr>
        <w:spacing w:after="80" w:line="252" w:lineRule="auto"/>
      </w:pPr>
      <w:r>
        <w:t>Same</w:t>
      </w:r>
    </w:p>
    <w:p>
      <w:pPr>
        <w:spacing w:after="80" w:line="252" w:lineRule="auto"/>
      </w:pPr>
      <w:r>
        <w:t>Tenaris</w:t>
      </w:r>
    </w:p>
    <w:p>
      <w:pPr>
        <w:spacing w:after="80" w:line="252" w:lineRule="auto"/>
      </w:pPr>
      <w:r>
        <w:t>Gerdau</w:t>
      </w:r>
    </w:p>
    <w:p>
      <w:pPr>
        <w:spacing w:after="80" w:line="252" w:lineRule="auto"/>
      </w:pPr>
      <w:r>
        <w:t>7. Competenze/professionalità</w:t>
      </w:r>
    </w:p>
    <w:p>
      <w:pPr>
        <w:spacing w:after="80" w:line="252" w:lineRule="auto"/>
      </w:pPr>
      <w:r>
        <w:t>Tenaris</w:t>
      </w:r>
    </w:p>
    <w:p>
      <w:pPr>
        <w:pStyle w:val="Heading1"/>
      </w:pPr>
      <w:r>
        <w:t>STRUTTURA SITEM DI CONFRONTO</w:t>
      </w:r>
    </w:p>
    <w:p>
      <w:pPr>
        <w:pStyle w:val="Heading2"/>
      </w:pPr>
      <w:r>
        <w:t>Il modello SITEM attualmente in sviluppo</w:t>
      </w:r>
    </w:p>
    <w:p>
      <w:pPr>
        <w:pStyle w:val="ListBullet"/>
      </w:pPr>
      <w:r>
        <w:t>25% efficienza produttiva</w:t>
      </w:r>
    </w:p>
    <w:p>
      <w:pPr>
        <w:pStyle w:val="ListBullet"/>
      </w:pPr>
      <w:r>
        <w:t>20% qualità / scarti</w:t>
      </w:r>
    </w:p>
    <w:p>
      <w:pPr>
        <w:pStyle w:val="ListBullet"/>
      </w:pPr>
      <w:r>
        <w:t>15% organizzazione / saturazione / fermi</w:t>
      </w:r>
    </w:p>
    <w:p>
      <w:pPr>
        <w:pStyle w:val="ListBullet"/>
      </w:pPr>
      <w:r>
        <w:t>10% competenze / cross-training</w:t>
      </w:r>
    </w:p>
    <w:p>
      <w:pPr>
        <w:pStyle w:val="ListBullet"/>
      </w:pPr>
      <w:r>
        <w:t>15% andamento economico / fatturato</w:t>
      </w:r>
    </w:p>
    <w:p>
      <w:pPr>
        <w:pStyle w:val="ListBullet"/>
      </w:pPr>
      <w:r>
        <w:t>15% presenza individuale</w:t>
      </w:r>
    </w:p>
    <w:p>
      <w:pPr>
        <w:spacing w:after="80" w:line="252" w:lineRule="auto"/>
      </w:pPr>
      <w:r>
        <w:t>Totale = 100%</w:t>
      </w:r>
    </w:p>
    <w:p>
      <w:pPr>
        <w:pStyle w:val="Heading2"/>
      </w:pPr>
      <w:r>
        <w:t>La presenza</w:t>
      </w:r>
    </w:p>
    <w:p>
      <w:pPr>
        <w:pStyle w:val="ListBullet"/>
      </w:pPr>
      <w:r>
        <w:t>è esclusivamente individuale</w:t>
      </w:r>
    </w:p>
    <w:p>
      <w:pPr>
        <w:pStyle w:val="ListBullet"/>
      </w:pPr>
      <w:r>
        <w:t>non è KPI di reparto</w:t>
      </w:r>
    </w:p>
    <w:p>
      <w:pPr>
        <w:pStyle w:val="ListBullet"/>
      </w:pPr>
      <w:r>
        <w:t>non è KPI collettivo</w:t>
      </w:r>
    </w:p>
    <w:p>
      <w:pPr>
        <w:pStyle w:val="ListBullet"/>
      </w:pPr>
      <w:r>
        <w:t>non modifica il premio maturato dagli altri</w:t>
      </w:r>
    </w:p>
    <w:p>
      <w:pPr>
        <w:pStyle w:val="ListBullet"/>
      </w:pPr>
      <w:r>
        <w:t>non deve essere moltiplicatore dell'intero PDR</w:t>
      </w:r>
    </w:p>
    <w:p>
      <w:pPr>
        <w:pStyle w:val="Heading2"/>
      </w:pPr>
      <w:r>
        <w:t>CONFRONTO BENCHMARK</w:t>
      </w:r>
    </w:p>
    <w:p>
      <w:pPr>
        <w:spacing w:after="80" w:line="252" w:lineRule="auto"/>
      </w:pPr>
      <w:r>
        <w:t>EFFICIENZA 25%</w:t>
      </w:r>
    </w:p>
    <w:p>
      <w:pPr>
        <w:spacing w:after="80" w:line="252" w:lineRule="auto"/>
      </w:pPr>
      <w:r>
        <w:t>coerente con Corcos, Exide, Tenaris, Marelli</w:t>
      </w:r>
    </w:p>
    <w:p>
      <w:pPr>
        <w:spacing w:after="80" w:line="252" w:lineRule="auto"/>
      </w:pPr>
      <w:r>
        <w:t>QUALITÀ 20%</w:t>
      </w:r>
    </w:p>
    <w:p>
      <w:pPr>
        <w:spacing w:after="80" w:line="252" w:lineRule="auto"/>
      </w:pPr>
      <w:r>
        <w:t>coerente con quasi tutti i principali benchmark industriali</w:t>
      </w:r>
    </w:p>
    <w:p>
      <w:pPr>
        <w:spacing w:after="80" w:line="252" w:lineRule="auto"/>
      </w:pPr>
      <w:r>
        <w:t>ORGANIZZAZIONE 15%</w:t>
      </w:r>
    </w:p>
    <w:p>
      <w:pPr>
        <w:pStyle w:val="Heading2"/>
      </w:pPr>
      <w:r>
        <w:t>coerente con</w:t>
      </w:r>
    </w:p>
    <w:p>
      <w:pPr>
        <w:pStyle w:val="ListBullet"/>
      </w:pPr>
      <w:r>
        <w:t>cambio tipo Exide</w:t>
      </w:r>
    </w:p>
    <w:p>
      <w:pPr>
        <w:pStyle w:val="ListBullet"/>
      </w:pPr>
      <w:r>
        <w:t>flusso Same</w:t>
      </w:r>
    </w:p>
    <w:p>
      <w:pPr>
        <w:pStyle w:val="ListBullet"/>
      </w:pPr>
      <w:r>
        <w:t>processo Tenaris</w:t>
      </w:r>
    </w:p>
    <w:p>
      <w:pPr>
        <w:spacing w:after="80" w:line="252" w:lineRule="auto"/>
      </w:pPr>
      <w:r>
        <w:t>COMPETENZE 10%</w:t>
      </w:r>
    </w:p>
    <w:p>
      <w:pPr>
        <w:spacing w:after="80" w:line="252" w:lineRule="auto"/>
      </w:pPr>
      <w:r>
        <w:t>supportato in particolare dal modello Tenaris</w:t>
      </w:r>
    </w:p>
    <w:p>
      <w:pPr>
        <w:spacing w:after="80" w:line="252" w:lineRule="auto"/>
      </w:pPr>
      <w:r>
        <w:t>FATTURATO/ECONOMICO 15%</w:t>
      </w:r>
    </w:p>
    <w:p>
      <w:pPr>
        <w:pStyle w:val="Heading2"/>
      </w:pPr>
      <w:r>
        <w:t>più basso rispetto a molti benchmark</w:t>
      </w:r>
    </w:p>
    <w:p>
      <w:pPr>
        <w:spacing w:after="80" w:line="252" w:lineRule="auto"/>
      </w:pPr>
      <w:r>
        <w:t>scelta motivata dalla limitata controllabilità del mercato da parte dell'operaio</w:t>
      </w:r>
    </w:p>
    <w:p>
      <w:pPr>
        <w:spacing w:after="80" w:line="252" w:lineRule="auto"/>
      </w:pPr>
      <w:r>
        <w:t>PRESENZA 15%</w:t>
      </w:r>
    </w:p>
    <w:p>
      <w:pPr>
        <w:spacing w:after="80" w:line="252" w:lineRule="auto"/>
      </w:pPr>
      <w:r>
        <w:t>coerente con numerosi modelli,</w:t>
      </w:r>
    </w:p>
    <w:p>
      <w:pPr>
        <w:spacing w:after="80" w:line="252" w:lineRule="auto"/>
      </w:pPr>
      <w:r>
        <w:t>ma correttamente limitata alla dimensione individuale</w:t>
      </w:r>
    </w:p>
    <w:p>
      <w:pPr>
        <w:pStyle w:val="Heading1"/>
      </w:pPr>
      <w:r>
        <w:t>PRINCIPI DA ESTRARRE PER LA PROPOSTA SITEM</w:t>
      </w:r>
    </w:p>
    <w:p>
      <w:pPr>
        <w:pStyle w:val="Heading2"/>
      </w:pPr>
      <w:r>
        <w:t>Inserire esplicitamente nell'accordo</w:t>
      </w:r>
    </w:p>
    <w:p>
      <w:pPr>
        <w:spacing w:after="80" w:line="252" w:lineRule="auto"/>
      </w:pPr>
      <w:r>
        <w:t>A.</w:t>
      </w:r>
    </w:p>
    <w:p>
      <w:pPr>
        <w:pStyle w:val="Heading2"/>
      </w:pPr>
      <w:r>
        <w:t>Ogni KPI deve avere</w:t>
      </w:r>
    </w:p>
    <w:p>
      <w:pPr>
        <w:pStyle w:val="ListBullet"/>
      </w:pPr>
      <w:r>
        <w:t>peso</w:t>
      </w:r>
    </w:p>
    <w:p>
      <w:pPr>
        <w:pStyle w:val="ListBullet"/>
      </w:pPr>
      <w:r>
        <w:t>baseline</w:t>
      </w:r>
    </w:p>
    <w:p>
      <w:pPr>
        <w:pStyle w:val="ListBullet"/>
      </w:pPr>
      <w:r>
        <w:t>soglia minima</w:t>
      </w:r>
    </w:p>
    <w:p>
      <w:pPr>
        <w:pStyle w:val="ListBullet"/>
      </w:pPr>
      <w:r>
        <w:t>target 100%</w:t>
      </w:r>
    </w:p>
    <w:p>
      <w:pPr>
        <w:pStyle w:val="ListBullet"/>
      </w:pPr>
      <w:r>
        <w:t>soglia di eccellenza</w:t>
      </w:r>
    </w:p>
    <w:p>
      <w:pPr>
        <w:pStyle w:val="ListBullet"/>
      </w:pPr>
      <w:r>
        <w:t>fonte dati</w:t>
      </w:r>
    </w:p>
    <w:p>
      <w:pPr>
        <w:pStyle w:val="ListBullet"/>
      </w:pPr>
      <w:r>
        <w:t>periodicità di verifica</w:t>
      </w:r>
    </w:p>
    <w:p>
      <w:pPr>
        <w:pStyle w:val="ListBullet"/>
      </w:pPr>
      <w:r>
        <w:t>formula di payout</w:t>
      </w:r>
    </w:p>
    <w:p>
      <w:pPr>
        <w:spacing w:after="80" w:line="252" w:lineRule="auto"/>
      </w:pPr>
      <w:r>
        <w:t>B.</w:t>
      </w:r>
    </w:p>
    <w:p>
      <w:pPr>
        <w:spacing w:after="80" w:line="252" w:lineRule="auto"/>
      </w:pPr>
      <w:r>
        <w:t>Gli standard devono essere concordati ex ante.</w:t>
      </w:r>
    </w:p>
    <w:p>
      <w:pPr>
        <w:spacing w:after="80" w:line="252" w:lineRule="auto"/>
      </w:pPr>
      <w:r>
        <w:t>C.</w:t>
      </w:r>
    </w:p>
    <w:p>
      <w:pPr>
        <w:pStyle w:val="Heading2"/>
      </w:pPr>
      <w:r>
        <w:t>Gli obiettivi devono essere realisticamente raggiungibili con</w:t>
      </w:r>
    </w:p>
    <w:p>
      <w:pPr>
        <w:pStyle w:val="ListBullet"/>
      </w:pPr>
      <w:r>
        <w:t>personale disponibile</w:t>
      </w:r>
    </w:p>
    <w:p>
      <w:pPr>
        <w:pStyle w:val="ListBullet"/>
      </w:pPr>
      <w:r>
        <w:t>impianti disponibili</w:t>
      </w:r>
    </w:p>
    <w:p>
      <w:pPr>
        <w:pStyle w:val="ListBullet"/>
      </w:pPr>
      <w:r>
        <w:t>mix produttivo previsto</w:t>
      </w:r>
    </w:p>
    <w:p>
      <w:pPr>
        <w:pStyle w:val="ListBullet"/>
      </w:pPr>
      <w:r>
        <w:t>capacità produttiva effettiva</w:t>
      </w:r>
    </w:p>
    <w:p>
      <w:pPr>
        <w:spacing w:after="80" w:line="252" w:lineRule="auto"/>
      </w:pPr>
      <w:r>
        <w:t>D.</w:t>
      </w:r>
    </w:p>
    <w:p>
      <w:pPr>
        <w:spacing w:after="80" w:line="252" w:lineRule="auto"/>
      </w:pPr>
      <w:r>
        <w:t>Le cause non imputabili ai lavoratori devono essere neutralizzate.</w:t>
      </w:r>
    </w:p>
    <w:p>
      <w:pPr>
        <w:spacing w:after="80" w:line="252" w:lineRule="auto"/>
      </w:pPr>
      <w:r>
        <w:t>E.</w:t>
      </w:r>
    </w:p>
    <w:p>
      <w:pPr>
        <w:spacing w:after="80" w:line="252" w:lineRule="auto"/>
      </w:pPr>
      <w:r>
        <w:t>La RSU deve ricevere dati periodici sufficienti a ricostruire il calcolo.</w:t>
      </w:r>
    </w:p>
    <w:p>
      <w:pPr>
        <w:spacing w:after="80" w:line="252" w:lineRule="auto"/>
      </w:pPr>
      <w:r>
        <w:t>F.</w:t>
      </w:r>
    </w:p>
    <w:p>
      <w:pPr>
        <w:spacing w:after="80" w:line="252" w:lineRule="auto"/>
      </w:pPr>
      <w:r>
        <w:t>La presenza deve essere calcolata individualmente.</w:t>
      </w:r>
    </w:p>
    <w:p>
      <w:pPr>
        <w:spacing w:after="80" w:line="252" w:lineRule="auto"/>
      </w:pPr>
      <w:r>
        <w:t>G.</w:t>
      </w:r>
    </w:p>
    <w:p>
      <w:pPr>
        <w:spacing w:after="80" w:line="252" w:lineRule="auto"/>
      </w:pPr>
      <w:r>
        <w:t>Gli indicatori economici non devono annullare le quote maturate sui KPI produttivi.</w:t>
      </w:r>
    </w:p>
    <w:p>
      <w:pPr>
        <w:spacing w:after="80" w:line="252" w:lineRule="auto"/>
      </w:pPr>
      <w:r>
        <w:t>H.</w:t>
      </w:r>
    </w:p>
    <w:p>
      <w:pPr>
        <w:spacing w:after="80" w:line="252" w:lineRule="auto"/>
      </w:pPr>
      <w:r>
        <w:t>La sicurezza non deve essere misurata attraverso la mancata segnalazione di eventi.</w:t>
      </w:r>
    </w:p>
    <w:p>
      <w:pPr>
        <w:pStyle w:val="Heading2"/>
      </w:pPr>
      <w:r>
        <w:t>Preferire</w:t>
      </w:r>
    </w:p>
    <w:p>
      <w:pPr>
        <w:pStyle w:val="ListBullet"/>
      </w:pPr>
      <w:r>
        <w:t>audit</w:t>
      </w:r>
    </w:p>
    <w:p>
      <w:pPr>
        <w:pStyle w:val="ListBullet"/>
      </w:pPr>
      <w:r>
        <w:t>azioni correttive</w:t>
      </w:r>
    </w:p>
    <w:p>
      <w:pPr>
        <w:pStyle w:val="ListBullet"/>
      </w:pPr>
      <w:r>
        <w:t>formazione</w:t>
      </w:r>
    </w:p>
    <w:p>
      <w:pPr>
        <w:pStyle w:val="ListBullet"/>
      </w:pPr>
      <w:r>
        <w:t>analisi rischi</w:t>
      </w:r>
    </w:p>
    <w:p>
      <w:pPr>
        <w:pStyle w:val="ListBullet"/>
      </w:pPr>
      <w:r>
        <w:t>ispezioni</w:t>
      </w:r>
    </w:p>
    <w:p>
      <w:pPr>
        <w:pStyle w:val="ListBullet"/>
      </w:pPr>
      <w:r>
        <w:t>ordine e pulizia</w:t>
      </w:r>
    </w:p>
    <w:p>
      <w:pPr>
        <w:pStyle w:val="ListBullet"/>
      </w:pPr>
      <w:r>
        <w:t>interventi tecnici</w:t>
      </w:r>
    </w:p>
    <w:p>
      <w:pPr>
        <w:pStyle w:val="ListBullet"/>
      </w:pPr>
      <w:r>
        <w:t>chiusura delle anomalie.</w:t>
      </w:r>
    </w:p>
    <w:p>
      <w:pPr>
        <w:spacing w:after="80" w:line="252" w:lineRule="auto"/>
      </w:pPr>
      <w:r>
        <w:t>I.</w:t>
      </w:r>
    </w:p>
    <w:p>
      <w:pPr>
        <w:pStyle w:val="Heading2"/>
      </w:pPr>
      <w:r>
        <w:t>Per un accordo triennale</w:t>
      </w:r>
    </w:p>
    <w:p>
      <w:pPr>
        <w:spacing w:after="80" w:line="252" w:lineRule="auto"/>
      </w:pPr>
      <w:r>
        <w:t>prevedere verifica annuale tecnica,</w:t>
      </w:r>
    </w:p>
    <w:p>
      <w:pPr>
        <w:spacing w:after="80" w:line="252" w:lineRule="auto"/>
      </w:pPr>
      <w:r>
        <w:t>senza possibilità di modifica unilaterale di pesi, formule o baseline.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