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PDR Sitem 2024 - Commento e valutazione operativa</w:t>
      </w:r>
    </w:p>
    <w:p>
      <w:pPr>
        <w:pStyle w:val="Heading1"/>
      </w:pPr>
      <w:r>
        <w:t>Premessa</w:t>
      </w:r>
    </w:p>
    <w:p>
      <w:pPr>
        <w:spacing w:after="100" w:line="259" w:lineRule="auto"/>
      </w:pPr>
      <w:r>
        <w:rPr>
          <w:b w:val="0"/>
        </w:rPr>
        <w:t>Il presente documento esamina la bozza di verbale di accordo sul Premio di Risultato Sitem per l'anno 2024.</w:t>
      </w:r>
    </w:p>
    <w:p>
      <w:pPr>
        <w:spacing w:after="100" w:line="259" w:lineRule="auto"/>
      </w:pPr>
      <w:r>
        <w:rPr>
          <w:b w:val="0"/>
        </w:rPr>
        <w:t>La valutazione riguarda il funzionamento matematico, la verificabilità degli indicatori, gli effetti sui lavoratori e i punti da chiarire prima di un'eventuale sottoscrizione.</w:t>
      </w:r>
    </w:p>
    <w:p>
      <w:pPr>
        <w:spacing w:after="100" w:line="259" w:lineRule="auto"/>
      </w:pPr>
      <w:r>
        <w:rPr>
          <w:b w:val="0"/>
        </w:rPr>
        <w:t>La bozza presenta una struttura comprensibile, ma non appare prudente sottoscriverla senza alcune correzioni. La formula può essere utilizzabile, ma contiene ambiguità matematiche, indicatori controllabili quasi esclusivamente dall'azienda e riferimenti normativi da correggere.</w:t>
      </w:r>
    </w:p>
    <w:p>
      <w:pPr>
        <w:pStyle w:val="Heading1"/>
      </w:pPr>
      <w:r>
        <w:t>1. Funzionamento del premio</w:t>
      </w:r>
    </w:p>
    <w:p>
      <w:pPr>
        <w:spacing w:after="100" w:line="259" w:lineRule="auto"/>
      </w:pPr>
      <w:r>
        <w:rPr>
          <w:b w:val="0"/>
        </w:rPr>
        <w:t>La formula implicita sembra essere:</w:t>
      </w:r>
    </w:p>
    <w:p>
      <w:r>
        <w:rPr>
          <w:rFonts w:ascii="Consolas" w:hAnsi="Consolas"/>
          <w:sz w:val="18"/>
        </w:rPr>
        <w:t>Premio individuale =</w:t>
      </w:r>
    </w:p>
    <w:p>
      <w:r>
        <w:rPr>
          <w:rFonts w:ascii="Consolas" w:hAnsi="Consolas"/>
          <w:sz w:val="18"/>
        </w:rPr>
        <w:t>importo determinato dall'incremento di fatturato per dipendente</w:t>
      </w:r>
    </w:p>
    <w:p>
      <w:r>
        <w:rPr>
          <w:rFonts w:ascii="Consolas" w:hAnsi="Consolas"/>
          <w:sz w:val="18"/>
        </w:rPr>
        <w:t>x coefficiente di efficienza dei reparti</w:t>
      </w:r>
    </w:p>
    <w:p>
      <w:r>
        <w:rPr>
          <w:rFonts w:ascii="Consolas" w:hAnsi="Consolas"/>
          <w:sz w:val="18"/>
        </w:rPr>
        <w:t>x coefficiente individuale di presenza</w:t>
      </w:r>
    </w:p>
    <w:p>
      <w:pPr>
        <w:pStyle w:val="Heading2"/>
      </w:pPr>
      <w:r>
        <w:t>Esempio operativo</w:t>
      </w:r>
    </w:p>
    <w:p>
      <w:pPr>
        <w:pStyle w:val="ListBullet"/>
      </w:pPr>
      <w:r>
        <w:rPr>
          <w:b w:val="0"/>
        </w:rPr>
        <w:t>incremento del fatturato per dipendente: 7.000 euro;</w:t>
      </w:r>
    </w:p>
    <w:p>
      <w:pPr>
        <w:pStyle w:val="ListBullet"/>
      </w:pPr>
      <w:r>
        <w:rPr>
          <w:b w:val="0"/>
        </w:rPr>
        <w:t>importo corrispondente nella tabella n. 1: 850 euro;</w:t>
      </w:r>
    </w:p>
    <w:p>
      <w:pPr>
        <w:pStyle w:val="ListBullet"/>
      </w:pPr>
      <w:r>
        <w:rPr>
          <w:b w:val="0"/>
        </w:rPr>
        <w:t>efficienza media dei reparti: 82%;</w:t>
      </w:r>
    </w:p>
    <w:p>
      <w:pPr>
        <w:pStyle w:val="ListBullet"/>
      </w:pPr>
      <w:r>
        <w:rPr>
          <w:b w:val="0"/>
        </w:rPr>
        <w:t>coefficiente di efficienza: 120%;</w:t>
      </w:r>
    </w:p>
    <w:p>
      <w:pPr>
        <w:pStyle w:val="ListBullet"/>
      </w:pPr>
      <w:r>
        <w:rPr>
          <w:b w:val="0"/>
        </w:rPr>
        <w:t>assenze individuali: 10 giornate;</w:t>
      </w:r>
    </w:p>
    <w:p>
      <w:pPr>
        <w:pStyle w:val="ListBullet"/>
      </w:pPr>
      <w:r>
        <w:rPr>
          <w:b w:val="0"/>
        </w:rPr>
        <w:t>coefficiente di presenza: 100%.</w:t>
      </w:r>
    </w:p>
    <w:p>
      <w:r>
        <w:rPr>
          <w:rFonts w:ascii="Consolas" w:hAnsi="Consolas"/>
          <w:sz w:val="18"/>
        </w:rPr>
        <w:t>850 x 120% x 100% = 1.020 euro lordi</w:t>
      </w:r>
    </w:p>
    <w:p>
      <w:pPr>
        <w:spacing w:after="100" w:line="259" w:lineRule="auto"/>
      </w:pPr>
      <w:r>
        <w:rPr>
          <w:b w:val="0"/>
        </w:rPr>
        <w:t>Con lo stesso risultato aziendale e nessuna assenza:</w:t>
      </w:r>
    </w:p>
    <w:p>
      <w:r>
        <w:rPr>
          <w:rFonts w:ascii="Consolas" w:hAnsi="Consolas"/>
          <w:sz w:val="18"/>
        </w:rPr>
        <w:t>850 x 120% x 130% = 1.326 euro lordi</w:t>
      </w:r>
    </w:p>
    <w:p>
      <w:pPr>
        <w:pStyle w:val="Heading1"/>
      </w:pPr>
      <w:r>
        <w:t>2. Aspetti positivi</w:t>
      </w:r>
    </w:p>
    <w:p>
      <w:pPr>
        <w:pStyle w:val="ListBullet"/>
      </w:pPr>
      <w:r>
        <w:rPr>
          <w:b w:val="0"/>
        </w:rPr>
        <w:t>La formula è relativamente semplice da spiegare.</w:t>
      </w:r>
    </w:p>
    <w:p>
      <w:pPr>
        <w:pStyle w:val="ListBullet"/>
      </w:pPr>
      <w:r>
        <w:rPr>
          <w:b w:val="0"/>
        </w:rPr>
        <w:t>È previsto un importo anche nella prima fascia di incremento del fatturato.</w:t>
      </w:r>
    </w:p>
    <w:p>
      <w:pPr>
        <w:pStyle w:val="ListBullet"/>
      </w:pPr>
      <w:r>
        <w:rPr>
          <w:b w:val="0"/>
        </w:rPr>
        <w:t>Un'efficienza superiore all'obiettivo incrementa il premio fino al 140%.</w:t>
      </w:r>
    </w:p>
    <w:p>
      <w:pPr>
        <w:pStyle w:val="ListBullet"/>
      </w:pPr>
      <w:r>
        <w:rPr>
          <w:b w:val="0"/>
        </w:rPr>
        <w:t>L'assenza di giornate conteggiate incrementa il premio individuale fino al 130%.</w:t>
      </w:r>
    </w:p>
    <w:p>
      <w:pPr>
        <w:pStyle w:val="ListBullet"/>
      </w:pPr>
      <w:r>
        <w:rPr>
          <w:b w:val="0"/>
        </w:rPr>
        <w:t>È prevista un'informazione mensile sull'andamento degli indicatori.</w:t>
      </w:r>
    </w:p>
    <w:p>
      <w:pPr>
        <w:pStyle w:val="ListBullet"/>
      </w:pPr>
      <w:r>
        <w:rPr>
          <w:b w:val="0"/>
        </w:rPr>
        <w:t>È prevista una commissione paritetica di controllo.</w:t>
      </w:r>
    </w:p>
    <w:p>
      <w:pPr>
        <w:pStyle w:val="ListBullet"/>
      </w:pPr>
      <w:r>
        <w:rPr>
          <w:b w:val="0"/>
        </w:rPr>
        <w:t>È consentita la conversione in welfare con un incentivo aggiuntivo del 10%.</w:t>
      </w:r>
    </w:p>
    <w:p>
      <w:pPr>
        <w:pStyle w:val="ListBullet"/>
      </w:pPr>
      <w:r>
        <w:rPr>
          <w:b w:val="0"/>
        </w:rPr>
        <w:t>Sono indicati il periodo di consuntivazione e due momenti di pagamento.</w:t>
      </w:r>
    </w:p>
    <w:p>
      <w:pPr>
        <w:pStyle w:val="Heading1"/>
      </w:pPr>
      <w:r>
        <w:t>3. Incoerenza dell'importo massimo</w:t>
      </w:r>
    </w:p>
    <w:p>
      <w:pPr>
        <w:spacing w:after="100" w:line="259" w:lineRule="auto"/>
      </w:pPr>
      <w:r>
        <w:rPr>
          <w:b w:val="0"/>
        </w:rPr>
        <w:t>Il massimo matematicamente prodotto dalle tre tabelle è:</w:t>
      </w:r>
    </w:p>
    <w:p>
      <w:r>
        <w:rPr>
          <w:rFonts w:ascii="Consolas" w:hAnsi="Consolas"/>
          <w:sz w:val="18"/>
        </w:rPr>
        <w:t>1.000 x 140% x 130% = 1.820 euro</w:t>
      </w:r>
    </w:p>
    <w:p>
      <w:pPr>
        <w:spacing w:after="100" w:line="259" w:lineRule="auto"/>
      </w:pPr>
      <w:r>
        <w:rPr>
          <w:b w:val="0"/>
        </w:rPr>
        <w:t>Il punto 8 stabilisce invece un massimo di 1.800 euro.</w:t>
      </w:r>
    </w:p>
    <w:p>
      <w:pPr>
        <w:spacing w:after="100" w:line="259" w:lineRule="auto"/>
      </w:pPr>
      <w:r>
        <w:rPr>
          <w:b w:val="0"/>
        </w:rPr>
        <w:t>È necessario inserire una clausola esplicita:</w:t>
      </w:r>
    </w:p>
    <w:p>
      <w:r>
        <w:rPr>
          <w:rFonts w:ascii="Consolas" w:hAnsi="Consolas"/>
          <w:sz w:val="18"/>
        </w:rPr>
        <w:t>Il premio risultante dall'applicazione delle tabelle non potrà comunque</w:t>
      </w:r>
    </w:p>
    <w:p>
      <w:r>
        <w:rPr>
          <w:rFonts w:ascii="Consolas" w:hAnsi="Consolas"/>
          <w:sz w:val="18"/>
        </w:rPr>
        <w:t>superare l'importo massimo di 1.800 euro lordi per lavoratore.</w:t>
      </w:r>
    </w:p>
    <w:p>
      <w:pPr>
        <w:spacing w:after="100" w:line="259" w:lineRule="auto"/>
      </w:pPr>
      <w:r>
        <w:rPr>
          <w:b w:val="0"/>
        </w:rPr>
        <w:t>In alternativa, le percentuali o gli importi devono essere modificati in modo che il risultato matematico coincida con il massimo dichiarato.</w:t>
      </w:r>
    </w:p>
    <w:p>
      <w:pPr>
        <w:pStyle w:val="Heading1"/>
      </w:pPr>
      <w:r>
        <w:t>4. Fatturato per dipendente non sufficientemente definito</w:t>
      </w:r>
    </w:p>
    <w:p>
      <w:pPr>
        <w:spacing w:after="100" w:line="259" w:lineRule="auto"/>
      </w:pPr>
      <w:r>
        <w:rPr>
          <w:b w:val="0"/>
        </w:rPr>
        <w:t>La bozza non precisa adeguatamente:</w:t>
      </w:r>
    </w:p>
    <w:p>
      <w:pPr>
        <w:pStyle w:val="ListBullet"/>
      </w:pPr>
      <w:r>
        <w:rPr>
          <w:b w:val="0"/>
        </w:rPr>
        <w:t>quale fatturato debba essere utilizzato;</w:t>
      </w:r>
    </w:p>
    <w:p>
      <w:pPr>
        <w:pStyle w:val="ListBullet"/>
      </w:pPr>
      <w:r>
        <w:rPr>
          <w:b w:val="0"/>
        </w:rPr>
        <w:t>se il dato riguardi la società, lo stabilimento o uno specifico perimetro produttivo;</w:t>
      </w:r>
    </w:p>
    <w:p>
      <w:pPr>
        <w:pStyle w:val="ListBullet"/>
      </w:pPr>
      <w:r>
        <w:rPr>
          <w:b w:val="0"/>
        </w:rPr>
        <w:t>quale anno costituisca la base di confronto;</w:t>
      </w:r>
    </w:p>
    <w:p>
      <w:pPr>
        <w:pStyle w:val="ListBullet"/>
      </w:pPr>
      <w:r>
        <w:rPr>
          <w:b w:val="0"/>
        </w:rPr>
        <w:t>se il numero dei dipendenti sia medio, puntuale o espresso in equivalenti a tempo pieno;</w:t>
      </w:r>
    </w:p>
    <w:p>
      <w:pPr>
        <w:pStyle w:val="ListBullet"/>
      </w:pPr>
      <w:r>
        <w:rPr>
          <w:b w:val="0"/>
        </w:rPr>
        <w:t>come vengano considerati lavoratori somministrati e altre forme di lavoro esterno;</w:t>
      </w:r>
    </w:p>
    <w:p>
      <w:pPr>
        <w:pStyle w:val="ListBullet"/>
      </w:pPr>
      <w:r>
        <w:rPr>
          <w:b w:val="0"/>
        </w:rPr>
        <w:t>come vengano trattati resi, sconti, fatture infragruppo e componenti straordinarie;</w:t>
      </w:r>
    </w:p>
    <w:p>
      <w:pPr>
        <w:pStyle w:val="ListBullet"/>
      </w:pPr>
      <w:r>
        <w:rPr>
          <w:b w:val="0"/>
        </w:rPr>
        <w:t>come vengano neutralizzate acquisizioni, cessioni o variazioni del perimetro aziendale;</w:t>
      </w:r>
    </w:p>
    <w:p>
      <w:pPr>
        <w:pStyle w:val="ListBullet"/>
      </w:pPr>
      <w:r>
        <w:rPr>
          <w:b w:val="0"/>
        </w:rPr>
        <w:t>se e come venga considerato l'effetto dell'inflazione;</w:t>
      </w:r>
    </w:p>
    <w:p>
      <w:pPr>
        <w:pStyle w:val="ListBullet"/>
      </w:pPr>
      <w:r>
        <w:rPr>
          <w:b w:val="0"/>
        </w:rPr>
        <w:t>quale sia il trattamento dei nuovi assunti dopo i primi quattro mesi.</w:t>
      </w:r>
    </w:p>
    <w:p>
      <w:pPr>
        <w:spacing w:after="100" w:line="259" w:lineRule="auto"/>
      </w:pPr>
      <w:r>
        <w:rPr>
          <w:b w:val="0"/>
        </w:rPr>
        <w:t>Senza una formula contabile precisa, l'indicatore non è pienamente verificabile dalla RSU.</w:t>
      </w:r>
    </w:p>
    <w:p>
      <w:pPr>
        <w:pStyle w:val="Heading2"/>
      </w:pPr>
      <w:r>
        <w:t>Correzione operativa proposta</w:t>
      </w:r>
    </w:p>
    <w:p>
      <w:pPr>
        <w:spacing w:after="100" w:line="259" w:lineRule="auto"/>
      </w:pPr>
      <w:r>
        <w:rPr>
          <w:b w:val="0"/>
        </w:rPr>
        <w:t>L'accordo dovrebbe allegare una scheda tecnica contenente:</w:t>
      </w:r>
    </w:p>
    <w:p>
      <w:pPr>
        <w:pStyle w:val="ListNumber"/>
      </w:pPr>
      <w:r>
        <w:rPr>
          <w:b w:val="0"/>
        </w:rPr>
        <w:t>formula completa;</w:t>
      </w:r>
    </w:p>
    <w:p>
      <w:pPr>
        <w:pStyle w:val="ListNumber"/>
      </w:pPr>
      <w:r>
        <w:rPr>
          <w:b w:val="0"/>
        </w:rPr>
        <w:t>fonte contabile del fatturato;</w:t>
      </w:r>
    </w:p>
    <w:p>
      <w:pPr>
        <w:pStyle w:val="ListNumber"/>
      </w:pPr>
      <w:r>
        <w:rPr>
          <w:b w:val="0"/>
        </w:rPr>
        <w:t>periodo di confronto;</w:t>
      </w:r>
    </w:p>
    <w:p>
      <w:pPr>
        <w:pStyle w:val="ListNumber"/>
      </w:pPr>
      <w:r>
        <w:rPr>
          <w:b w:val="0"/>
        </w:rPr>
        <w:t>criterio di calcolo del numero medio dei dipendenti;</w:t>
      </w:r>
    </w:p>
    <w:p>
      <w:pPr>
        <w:pStyle w:val="ListNumber"/>
      </w:pPr>
      <w:r>
        <w:rPr>
          <w:b w:val="0"/>
        </w:rPr>
        <w:t>elementi inclusi ed esclusi;</w:t>
      </w:r>
    </w:p>
    <w:p>
      <w:pPr>
        <w:pStyle w:val="ListNumber"/>
      </w:pPr>
      <w:r>
        <w:rPr>
          <w:b w:val="0"/>
        </w:rPr>
        <w:t>esempio numerico verificabile.</w:t>
      </w:r>
    </w:p>
    <w:p>
      <w:pPr>
        <w:pStyle w:val="Heading1"/>
      </w:pPr>
      <w:r>
        <w:t>5. Efficienza condizionata dall'organizzazione aziendale</w:t>
      </w:r>
    </w:p>
    <w:p>
      <w:pPr>
        <w:spacing w:after="100" w:line="259" w:lineRule="auto"/>
      </w:pPr>
      <w:r>
        <w:rPr>
          <w:b w:val="0"/>
        </w:rPr>
        <w:t>Il rapporto tra produzione reale e teorica può dipendere da eventi non controllabili dai lavoratori, tra i quali:</w:t>
      </w:r>
    </w:p>
    <w:p>
      <w:pPr>
        <w:pStyle w:val="ListBullet"/>
      </w:pPr>
      <w:r>
        <w:rPr>
          <w:b w:val="0"/>
        </w:rPr>
        <w:t>guasti e fermi macchina;</w:t>
      </w:r>
    </w:p>
    <w:p>
      <w:pPr>
        <w:pStyle w:val="ListBullet"/>
      </w:pPr>
      <w:r>
        <w:rPr>
          <w:b w:val="0"/>
        </w:rPr>
        <w:t>manutenzione ordinaria e straordinaria;</w:t>
      </w:r>
    </w:p>
    <w:p>
      <w:pPr>
        <w:pStyle w:val="ListBullet"/>
      </w:pPr>
      <w:r>
        <w:rPr>
          <w:b w:val="0"/>
        </w:rPr>
        <w:t>mancanza di materiali;</w:t>
      </w:r>
    </w:p>
    <w:p>
      <w:pPr>
        <w:pStyle w:val="ListBullet"/>
      </w:pPr>
      <w:r>
        <w:rPr>
          <w:b w:val="0"/>
        </w:rPr>
        <w:t>carenza di personale;</w:t>
      </w:r>
    </w:p>
    <w:p>
      <w:pPr>
        <w:pStyle w:val="ListBullet"/>
      </w:pPr>
      <w:r>
        <w:rPr>
          <w:b w:val="0"/>
        </w:rPr>
        <w:t>stampi, macchine o attrezzature inefficienti;</w:t>
      </w:r>
    </w:p>
    <w:p>
      <w:pPr>
        <w:pStyle w:val="ListBullet"/>
      </w:pPr>
      <w:r>
        <w:rPr>
          <w:b w:val="0"/>
        </w:rPr>
        <w:t>cambi di produzione;</w:t>
      </w:r>
    </w:p>
    <w:p>
      <w:pPr>
        <w:pStyle w:val="ListBullet"/>
      </w:pPr>
      <w:r>
        <w:rPr>
          <w:b w:val="0"/>
        </w:rPr>
        <w:t>avviamenti, campionature e prove;</w:t>
      </w:r>
    </w:p>
    <w:p>
      <w:pPr>
        <w:pStyle w:val="ListBullet"/>
      </w:pPr>
      <w:r>
        <w:rPr>
          <w:b w:val="0"/>
        </w:rPr>
        <w:t>scarti dovuti a materiali o progettazione;</w:t>
      </w:r>
    </w:p>
    <w:p>
      <w:pPr>
        <w:pStyle w:val="ListBullet"/>
      </w:pPr>
      <w:r>
        <w:rPr>
          <w:b w:val="0"/>
        </w:rPr>
        <w:t>problemi di qualità non imputabili agli operatori;</w:t>
      </w:r>
    </w:p>
    <w:p>
      <w:pPr>
        <w:pStyle w:val="ListBullet"/>
      </w:pPr>
      <w:r>
        <w:rPr>
          <w:b w:val="0"/>
        </w:rPr>
        <w:t>programmazione produttiva e disponibilità degli ordini.</w:t>
      </w:r>
    </w:p>
    <w:p>
      <w:pPr>
        <w:pStyle w:val="Heading2"/>
      </w:pPr>
      <w:r>
        <w:t>Correzione operativa proposta</w:t>
      </w:r>
    </w:p>
    <w:p>
      <w:pPr>
        <w:spacing w:after="100" w:line="259" w:lineRule="auto"/>
      </w:pPr>
      <w:r>
        <w:rPr>
          <w:b w:val="0"/>
        </w:rPr>
        <w:t>Il tempo teorico e la produzione teorica devono essere rettificati per neutralizzare gli eventi non imputabili ai lavoratori. La commissione paritetica deve verificare mensilmente tali rettifiche.</w:t>
      </w:r>
    </w:p>
    <w:p>
      <w:pPr>
        <w:pStyle w:val="Heading1"/>
      </w:pPr>
      <w:r>
        <w:t>6. Media tra tranciatura e pressofusione</w:t>
      </w:r>
    </w:p>
    <w:p>
      <w:pPr>
        <w:spacing w:after="100" w:line="259" w:lineRule="auto"/>
      </w:pPr>
      <w:r>
        <w:rPr>
          <w:b w:val="0"/>
        </w:rPr>
        <w:t>La bozza parla di una media tra i due reparti, ma non indica se si tratti di:</w:t>
      </w:r>
    </w:p>
    <w:p>
      <w:pPr>
        <w:pStyle w:val="ListBullet"/>
      </w:pPr>
      <w:r>
        <w:rPr>
          <w:b w:val="0"/>
        </w:rPr>
        <w:t>media matematica semplice;</w:t>
      </w:r>
    </w:p>
    <w:p>
      <w:pPr>
        <w:pStyle w:val="ListBullet"/>
      </w:pPr>
      <w:r>
        <w:rPr>
          <w:b w:val="0"/>
        </w:rPr>
        <w:t>media ponderata sulle ore lavorate;</w:t>
      </w:r>
    </w:p>
    <w:p>
      <w:pPr>
        <w:pStyle w:val="ListBullet"/>
      </w:pPr>
      <w:r>
        <w:rPr>
          <w:b w:val="0"/>
        </w:rPr>
        <w:t>media ponderata sul numero dei dipendenti;</w:t>
      </w:r>
    </w:p>
    <w:p>
      <w:pPr>
        <w:pStyle w:val="ListBullet"/>
      </w:pPr>
      <w:r>
        <w:rPr>
          <w:b w:val="0"/>
        </w:rPr>
        <w:t>media ponderata sui volumi produttivi.</w:t>
      </w:r>
    </w:p>
    <w:p>
      <w:pPr>
        <w:spacing w:after="100" w:line="259" w:lineRule="auto"/>
      </w:pPr>
      <w:r>
        <w:rPr>
          <w:b w:val="0"/>
        </w:rPr>
        <w:t>Una media semplice potrebbe penalizzare un reparto per problemi verificatisi esclusivamente nell'altro.</w:t>
      </w:r>
    </w:p>
    <w:p>
      <w:pPr>
        <w:pStyle w:val="Heading2"/>
      </w:pPr>
      <w:r>
        <w:t>Correzione operativa proposta</w:t>
      </w:r>
    </w:p>
    <w:p>
      <w:pPr>
        <w:spacing w:after="100" w:line="259" w:lineRule="auto"/>
      </w:pPr>
      <w:r>
        <w:rPr>
          <w:b w:val="0"/>
        </w:rPr>
        <w:t>È preferibile calcolare separatamente il risultato dei due reparti oppure definire una ponderazione oggettiva basata sulle ore produttive.</w:t>
      </w:r>
    </w:p>
    <w:p>
      <w:pPr>
        <w:pStyle w:val="Heading1"/>
      </w:pPr>
      <w:r>
        <w:t>7. Fascia di efficienza inferiore al 70%</w:t>
      </w:r>
    </w:p>
    <w:p>
      <w:pPr>
        <w:spacing w:after="100" w:line="259" w:lineRule="auto"/>
      </w:pPr>
      <w:r>
        <w:rPr>
          <w:b w:val="0"/>
        </w:rPr>
        <w:t>Qualunque risultato inferiore al 70% sembra attribuire sempre l'80% della quota:</w:t>
      </w:r>
    </w:p>
    <w:p>
      <w:pPr>
        <w:pStyle w:val="ListBullet"/>
      </w:pPr>
      <w:r>
        <w:rPr>
          <w:b w:val="0"/>
        </w:rPr>
        <w:t>efficienza del 69%: premio all'80%;</w:t>
      </w:r>
    </w:p>
    <w:p>
      <w:pPr>
        <w:pStyle w:val="ListBullet"/>
      </w:pPr>
      <w:r>
        <w:rPr>
          <w:b w:val="0"/>
        </w:rPr>
        <w:t>efficienza del 40%: premio all'80%;</w:t>
      </w:r>
    </w:p>
    <w:p>
      <w:pPr>
        <w:pStyle w:val="ListBullet"/>
      </w:pPr>
      <w:r>
        <w:rPr>
          <w:b w:val="0"/>
        </w:rPr>
        <w:t>efficienza prossima allo zero: formalmente premio all'80%.</w:t>
      </w:r>
    </w:p>
    <w:p>
      <w:pPr>
        <w:spacing w:after="100" w:line="259" w:lineRule="auto"/>
      </w:pPr>
      <w:r>
        <w:rPr>
          <w:b w:val="0"/>
        </w:rPr>
        <w:t>La previsione è favorevole ai lavoratori, ma tecnicamente incompleta.</w:t>
      </w:r>
    </w:p>
    <w:p>
      <w:pPr>
        <w:pStyle w:val="Heading2"/>
      </w:pPr>
      <w:r>
        <w:t>Correzione operativa proposta</w:t>
      </w:r>
    </w:p>
    <w:p>
      <w:pPr>
        <w:spacing w:after="100" w:line="259" w:lineRule="auto"/>
      </w:pPr>
      <w:r>
        <w:rPr>
          <w:b w:val="0"/>
        </w:rPr>
        <w:t>Occorre specificare se l'80% costituisca un minimo garantito oppure introdurre ulteriori fasce e una soglia minima.</w:t>
      </w:r>
    </w:p>
    <w:p>
      <w:pPr>
        <w:pStyle w:val="Heading1"/>
      </w:pPr>
      <w:r>
        <w:t>8. Effetto del correttivo presenza</w:t>
      </w:r>
    </w:p>
    <w:p>
      <w:pPr>
        <w:spacing w:after="100" w:line="259" w:lineRule="auto"/>
      </w:pPr>
      <w:r>
        <w:rPr>
          <w:b w:val="0"/>
        </w:rPr>
        <w:t>A parità di risultato aziendale pari a 1.200 euro, il premio individuale diventerebbe: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vAlign w:val="center"/>
            <w:shd w:fill="D9E2F3"/>
          </w:tcPr>
          <w:p>
            <w:r>
              <w:rPr>
                <w:b/>
              </w:rPr>
              <w:t>Giornate di assenza</w:t>
            </w:r>
          </w:p>
        </w:tc>
        <w:tc>
          <w:tcPr>
            <w:tcW w:type="dxa" w:w="3362"/>
            <w:vAlign w:val="center"/>
            <w:shd w:fill="D9E2F3"/>
          </w:tcPr>
          <w:p>
            <w:r>
              <w:rPr>
                <w:b/>
              </w:rPr>
              <w:t>Percentuale individuale</w:t>
            </w:r>
          </w:p>
        </w:tc>
        <w:tc>
          <w:tcPr>
            <w:tcW w:type="dxa" w:w="3362"/>
            <w:vAlign w:val="center"/>
            <w:shd w:fill="D9E2F3"/>
          </w:tcPr>
          <w:p>
            <w:r>
              <w:rPr>
                <w:b/>
              </w:rPr>
              <w:t>Premio risultante</w:t>
            </w:r>
          </w:p>
        </w:tc>
      </w:tr>
      <w:tr>
        <w:tc>
          <w:tcPr>
            <w:tcW w:type="dxa" w:w="3362"/>
            <w:vAlign w:val="center"/>
          </w:tcPr>
          <w:p>
            <w:r>
              <w:rPr>
                <w:b w:val="0"/>
              </w:rPr>
              <w:t>Nessuna</w:t>
            </w:r>
          </w:p>
        </w:tc>
        <w:tc>
          <w:tcPr>
            <w:tcW w:type="dxa" w:w="3362"/>
            <w:vAlign w:val="center"/>
          </w:tcPr>
          <w:p>
            <w:r>
              <w:rPr>
                <w:b w:val="0"/>
              </w:rPr>
              <w:t>130%</w:t>
            </w:r>
          </w:p>
        </w:tc>
        <w:tc>
          <w:tcPr>
            <w:tcW w:type="dxa" w:w="3362"/>
            <w:vAlign w:val="center"/>
          </w:tcPr>
          <w:p>
            <w:r>
              <w:rPr>
                <w:b w:val="0"/>
              </w:rPr>
              <w:t>1.560 euro</w:t>
            </w:r>
          </w:p>
        </w:tc>
      </w:tr>
      <w:tr>
        <w:tc>
          <w:tcPr>
            <w:tcW w:type="dxa" w:w="3362"/>
            <w:vAlign w:val="center"/>
          </w:tcPr>
          <w:p>
            <w:r>
              <w:rPr>
                <w:b w:val="0"/>
              </w:rPr>
              <w:t>Da 1 a 7</w:t>
            </w:r>
          </w:p>
        </w:tc>
        <w:tc>
          <w:tcPr>
            <w:tcW w:type="dxa" w:w="3362"/>
            <w:vAlign w:val="center"/>
          </w:tcPr>
          <w:p>
            <w:r>
              <w:rPr>
                <w:b w:val="0"/>
              </w:rPr>
              <w:t>120%</w:t>
            </w:r>
          </w:p>
        </w:tc>
        <w:tc>
          <w:tcPr>
            <w:tcW w:type="dxa" w:w="3362"/>
            <w:vAlign w:val="center"/>
          </w:tcPr>
          <w:p>
            <w:r>
              <w:rPr>
                <w:b w:val="0"/>
              </w:rPr>
              <w:t>1.440 euro</w:t>
            </w:r>
          </w:p>
        </w:tc>
      </w:tr>
      <w:tr>
        <w:tc>
          <w:tcPr>
            <w:tcW w:type="dxa" w:w="3362"/>
            <w:vAlign w:val="center"/>
          </w:tcPr>
          <w:p>
            <w:r>
              <w:rPr>
                <w:b w:val="0"/>
              </w:rPr>
              <w:t>Da 8 a 13</w:t>
            </w:r>
          </w:p>
        </w:tc>
        <w:tc>
          <w:tcPr>
            <w:tcW w:type="dxa" w:w="3362"/>
            <w:vAlign w:val="center"/>
          </w:tcPr>
          <w:p>
            <w:r>
              <w:rPr>
                <w:b w:val="0"/>
              </w:rPr>
              <w:t>100%</w:t>
            </w:r>
          </w:p>
        </w:tc>
        <w:tc>
          <w:tcPr>
            <w:tcW w:type="dxa" w:w="3362"/>
            <w:vAlign w:val="center"/>
          </w:tcPr>
          <w:p>
            <w:r>
              <w:rPr>
                <w:b w:val="0"/>
              </w:rPr>
              <w:t>1.200 euro</w:t>
            </w:r>
          </w:p>
        </w:tc>
      </w:tr>
      <w:tr>
        <w:tc>
          <w:tcPr>
            <w:tcW w:type="dxa" w:w="3362"/>
            <w:vAlign w:val="center"/>
          </w:tcPr>
          <w:p>
            <w:r>
              <w:rPr>
                <w:b w:val="0"/>
              </w:rPr>
              <w:t>Da 14 a 18</w:t>
            </w:r>
          </w:p>
        </w:tc>
        <w:tc>
          <w:tcPr>
            <w:tcW w:type="dxa" w:w="3362"/>
            <w:vAlign w:val="center"/>
          </w:tcPr>
          <w:p>
            <w:r>
              <w:rPr>
                <w:b w:val="0"/>
              </w:rPr>
              <w:t>80%</w:t>
            </w:r>
          </w:p>
        </w:tc>
        <w:tc>
          <w:tcPr>
            <w:tcW w:type="dxa" w:w="3362"/>
            <w:vAlign w:val="center"/>
          </w:tcPr>
          <w:p>
            <w:r>
              <w:rPr>
                <w:b w:val="0"/>
              </w:rPr>
              <w:t>960 euro</w:t>
            </w:r>
          </w:p>
        </w:tc>
      </w:tr>
      <w:tr>
        <w:tc>
          <w:tcPr>
            <w:tcW w:type="dxa" w:w="3362"/>
            <w:vAlign w:val="center"/>
          </w:tcPr>
          <w:p>
            <w:r>
              <w:rPr>
                <w:b w:val="0"/>
              </w:rPr>
              <w:t>Da 19 a 22</w:t>
            </w:r>
          </w:p>
        </w:tc>
        <w:tc>
          <w:tcPr>
            <w:tcW w:type="dxa" w:w="3362"/>
            <w:vAlign w:val="center"/>
          </w:tcPr>
          <w:p>
            <w:r>
              <w:rPr>
                <w:b w:val="0"/>
              </w:rPr>
              <w:t>70%</w:t>
            </w:r>
          </w:p>
        </w:tc>
        <w:tc>
          <w:tcPr>
            <w:tcW w:type="dxa" w:w="3362"/>
            <w:vAlign w:val="center"/>
          </w:tcPr>
          <w:p>
            <w:r>
              <w:rPr>
                <w:b w:val="0"/>
              </w:rPr>
              <w:t>840 euro</w:t>
            </w:r>
          </w:p>
        </w:tc>
      </w:tr>
      <w:tr>
        <w:tc>
          <w:tcPr>
            <w:tcW w:type="dxa" w:w="3362"/>
            <w:vAlign w:val="center"/>
          </w:tcPr>
          <w:p>
            <w:r>
              <w:rPr>
                <w:b w:val="0"/>
              </w:rPr>
              <w:t>Da 23 a 30</w:t>
            </w:r>
          </w:p>
        </w:tc>
        <w:tc>
          <w:tcPr>
            <w:tcW w:type="dxa" w:w="3362"/>
            <w:vAlign w:val="center"/>
          </w:tcPr>
          <w:p>
            <w:r>
              <w:rPr>
                <w:b w:val="0"/>
              </w:rPr>
              <w:t>50%</w:t>
            </w:r>
          </w:p>
        </w:tc>
        <w:tc>
          <w:tcPr>
            <w:tcW w:type="dxa" w:w="3362"/>
            <w:vAlign w:val="center"/>
          </w:tcPr>
          <w:p>
            <w:r>
              <w:rPr>
                <w:b w:val="0"/>
              </w:rPr>
              <w:t>600 euro</w:t>
            </w:r>
          </w:p>
        </w:tc>
      </w:tr>
      <w:tr>
        <w:tc>
          <w:tcPr>
            <w:tcW w:type="dxa" w:w="3362"/>
            <w:vAlign w:val="center"/>
          </w:tcPr>
          <w:p>
            <w:r>
              <w:rPr>
                <w:b w:val="0"/>
              </w:rPr>
              <w:t>Oltre 30</w:t>
            </w:r>
          </w:p>
        </w:tc>
        <w:tc>
          <w:tcPr>
            <w:tcW w:type="dxa" w:w="3362"/>
            <w:vAlign w:val="center"/>
          </w:tcPr>
          <w:p>
            <w:r>
              <w:rPr>
                <w:b w:val="0"/>
              </w:rPr>
              <w:t>30%</w:t>
            </w:r>
          </w:p>
        </w:tc>
        <w:tc>
          <w:tcPr>
            <w:tcW w:type="dxa" w:w="3362"/>
            <w:vAlign w:val="center"/>
          </w:tcPr>
          <w:p>
            <w:r>
              <w:rPr>
                <w:b w:val="0"/>
              </w:rPr>
              <w:t>360 euro</w:t>
            </w:r>
          </w:p>
        </w:tc>
      </w:tr>
    </w:tbl>
    <w:p/>
    <w:p>
      <w:pPr>
        <w:spacing w:after="100" w:line="259" w:lineRule="auto"/>
      </w:pPr>
      <w:r>
        <w:rPr>
          <w:b w:val="0"/>
        </w:rPr>
        <w:t>La differenza tra nessuna assenza e oltre trenta giornate raggiunge 1.200 euro. La presenza non costituisce quindi un correttivo secondario, ma uno degli elementi principali del premio.</w:t>
      </w:r>
    </w:p>
    <w:p>
      <w:pPr>
        <w:pStyle w:val="Heading1"/>
      </w:pPr>
      <w:r>
        <w:t>9. Assenze conteggiate e riferimento alla L. 151</w:t>
      </w:r>
    </w:p>
    <w:p>
      <w:pPr>
        <w:spacing w:after="100" w:line="259" w:lineRule="auto"/>
      </w:pPr>
      <w:r>
        <w:rPr>
          <w:b w:val="0"/>
        </w:rPr>
        <w:t>Il riferimento sintetico alla "L. 151" è ambiguo e potenzialmente critico. Non permette di comprendere quali assenze vengano conteggiate.</w:t>
      </w:r>
    </w:p>
    <w:p>
      <w:pPr>
        <w:spacing w:after="100" w:line="259" w:lineRule="auto"/>
      </w:pPr>
      <w:r>
        <w:rPr>
          <w:b w:val="0"/>
        </w:rPr>
        <w:t>La bozza deve elencare separatamente il trattamento di:</w:t>
      </w:r>
    </w:p>
    <w:p>
      <w:pPr>
        <w:pStyle w:val="ListBullet"/>
      </w:pPr>
      <w:r>
        <w:rPr>
          <w:b w:val="0"/>
        </w:rPr>
        <w:t>maternità e paternità;</w:t>
      </w:r>
    </w:p>
    <w:p>
      <w:pPr>
        <w:pStyle w:val="ListBullet"/>
      </w:pPr>
      <w:r>
        <w:rPr>
          <w:b w:val="0"/>
        </w:rPr>
        <w:t>congedi parentali;</w:t>
      </w:r>
    </w:p>
    <w:p>
      <w:pPr>
        <w:pStyle w:val="ListBullet"/>
      </w:pPr>
      <w:r>
        <w:rPr>
          <w:b w:val="0"/>
        </w:rPr>
        <w:t>permessi Legge 104;</w:t>
      </w:r>
    </w:p>
    <w:p>
      <w:pPr>
        <w:pStyle w:val="ListBullet"/>
      </w:pPr>
      <w:r>
        <w:rPr>
          <w:b w:val="0"/>
        </w:rPr>
        <w:t>infortuni sul lavoro;</w:t>
      </w:r>
    </w:p>
    <w:p>
      <w:pPr>
        <w:pStyle w:val="ListBullet"/>
      </w:pPr>
      <w:r>
        <w:rPr>
          <w:b w:val="0"/>
        </w:rPr>
        <w:t>malattie professionali;</w:t>
      </w:r>
    </w:p>
    <w:p>
      <w:pPr>
        <w:pStyle w:val="ListBullet"/>
      </w:pPr>
      <w:r>
        <w:rPr>
          <w:b w:val="0"/>
        </w:rPr>
        <w:t>ricoveri e relativa convalescenza;</w:t>
      </w:r>
    </w:p>
    <w:p>
      <w:pPr>
        <w:pStyle w:val="ListBullet"/>
      </w:pPr>
      <w:r>
        <w:rPr>
          <w:b w:val="0"/>
        </w:rPr>
        <w:t>terapie salvavita;</w:t>
      </w:r>
    </w:p>
    <w:p>
      <w:pPr>
        <w:pStyle w:val="ListBullet"/>
      </w:pPr>
      <w:r>
        <w:rPr>
          <w:b w:val="0"/>
        </w:rPr>
        <w:t>donazioni di sangue e midollo;</w:t>
      </w:r>
    </w:p>
    <w:p>
      <w:pPr>
        <w:pStyle w:val="ListBullet"/>
      </w:pPr>
      <w:r>
        <w:rPr>
          <w:b w:val="0"/>
        </w:rPr>
        <w:t>permessi sindacali e assemblee;</w:t>
      </w:r>
    </w:p>
    <w:p>
      <w:pPr>
        <w:pStyle w:val="ListBullet"/>
      </w:pPr>
      <w:r>
        <w:rPr>
          <w:b w:val="0"/>
        </w:rPr>
        <w:t>congedi obbligatori;</w:t>
      </w:r>
    </w:p>
    <w:p>
      <w:pPr>
        <w:pStyle w:val="ListBullet"/>
      </w:pPr>
      <w:r>
        <w:rPr>
          <w:b w:val="0"/>
        </w:rPr>
        <w:t>aspettative retribuite e non retribuite;</w:t>
      </w:r>
    </w:p>
    <w:p>
      <w:pPr>
        <w:pStyle w:val="ListBullet"/>
      </w:pPr>
      <w:r>
        <w:rPr>
          <w:b w:val="0"/>
        </w:rPr>
        <w:t>assenze ingiustificate.</w:t>
      </w:r>
    </w:p>
    <w:p>
      <w:pPr>
        <w:spacing w:after="100" w:line="259" w:lineRule="auto"/>
      </w:pPr>
      <w:r>
        <w:rPr>
          <w:b w:val="0"/>
        </w:rPr>
        <w:t>Non è consigliabile accettare una formulazione generica che possa produrre interpretazioni successive sfavorevoli ai lavoratori.</w:t>
      </w:r>
    </w:p>
    <w:p>
      <w:pPr>
        <w:pStyle w:val="Heading1"/>
      </w:pPr>
      <w:r>
        <w:t>10. Possibile doppia penalizzazione</w:t>
      </w:r>
    </w:p>
    <w:p>
      <w:pPr>
        <w:spacing w:after="100" w:line="259" w:lineRule="auto"/>
      </w:pPr>
      <w:r>
        <w:rPr>
          <w:b w:val="0"/>
        </w:rPr>
        <w:t>Un'assenza può già ridurre la produzione e quindi il risultato collettivo di efficienza. La stessa assenza potrebbe poi ridurre una seconda volta il premio attraverso il correttivo individuale.</w:t>
      </w:r>
    </w:p>
    <w:p>
      <w:pPr>
        <w:spacing w:after="100" w:line="259" w:lineRule="auto"/>
      </w:pPr>
      <w:r>
        <w:rPr>
          <w:b w:val="0"/>
        </w:rPr>
        <w:t>Occorre evitare che il medesimo evento produca contemporaneamente:</w:t>
      </w:r>
    </w:p>
    <w:p>
      <w:pPr>
        <w:pStyle w:val="ListNumber"/>
      </w:pPr>
      <w:r>
        <w:rPr>
          <w:b w:val="0"/>
        </w:rPr>
        <w:t>una riduzione dell'indicatore collettivo;</w:t>
      </w:r>
    </w:p>
    <w:p>
      <w:pPr>
        <w:pStyle w:val="ListNumber"/>
      </w:pPr>
      <w:r>
        <w:rPr>
          <w:b w:val="0"/>
        </w:rPr>
        <w:t>una riduzione individuale del premio.</w:t>
      </w:r>
    </w:p>
    <w:p>
      <w:pPr>
        <w:pStyle w:val="Heading1"/>
      </w:pPr>
      <w:r>
        <w:t>11. Dimissioni e perdita del premio maturato</w:t>
      </w:r>
    </w:p>
    <w:p>
      <w:pPr>
        <w:spacing w:after="100" w:line="259" w:lineRule="auto"/>
      </w:pPr>
      <w:r>
        <w:rPr>
          <w:b w:val="0"/>
        </w:rPr>
        <w:t>La bozza stabilisce che chi si dimette non maturi il premio. Questa previsione appare incoerente con il punto precedente, secondo il quale il premio matura dal 1 gennaio al 31 dicembre ed è rapportato ai mesi di effettiva prestazione.</w:t>
      </w:r>
    </w:p>
    <w:p>
      <w:pPr>
        <w:pStyle w:val="Heading2"/>
      </w:pPr>
      <w:r>
        <w:t>Correzione operativa proposta</w:t>
      </w:r>
    </w:p>
    <w:p>
      <w:r>
        <w:rPr>
          <w:rFonts w:ascii="Consolas" w:hAnsi="Consolas"/>
          <w:sz w:val="18"/>
        </w:rPr>
        <w:t>Il premio matura in proporzione ai mesi di effettivo servizio,</w:t>
      </w:r>
    </w:p>
    <w:p>
      <w:r>
        <w:rPr>
          <w:rFonts w:ascii="Consolas" w:hAnsi="Consolas"/>
          <w:sz w:val="18"/>
        </w:rPr>
        <w:t>indipendentemente dalla presenza in azienda alla data di erogazione,</w:t>
      </w:r>
    </w:p>
    <w:p>
      <w:r>
        <w:rPr>
          <w:rFonts w:ascii="Consolas" w:hAnsi="Consolas"/>
          <w:sz w:val="18"/>
        </w:rPr>
        <w:t>salvo le diverse ipotesi espressamente previste dalla legge.</w:t>
      </w:r>
    </w:p>
    <w:p>
      <w:pPr>
        <w:spacing w:after="100" w:line="259" w:lineRule="auto"/>
      </w:pPr>
      <w:r>
        <w:rPr>
          <w:b w:val="0"/>
        </w:rPr>
        <w:t>La validità della perdita integrale del premio già maturato dovrebbe essere verificata con assistenza sindacale o legale qualificata.</w:t>
      </w:r>
    </w:p>
    <w:p>
      <w:pPr>
        <w:pStyle w:val="Heading1"/>
      </w:pPr>
      <w:r>
        <w:t>12. Categorie di lavoratori non disciplinate</w:t>
      </w:r>
    </w:p>
    <w:p>
      <w:pPr>
        <w:spacing w:after="100" w:line="259" w:lineRule="auto"/>
      </w:pPr>
      <w:r>
        <w:rPr>
          <w:b w:val="0"/>
        </w:rPr>
        <w:t>La bozza regola il part-time, ma non chiarisce il trattamento di:</w:t>
      </w:r>
    </w:p>
    <w:p>
      <w:pPr>
        <w:pStyle w:val="ListBullet"/>
      </w:pPr>
      <w:r>
        <w:rPr>
          <w:b w:val="0"/>
        </w:rPr>
        <w:t>lavoratori assunti durante l'anno;</w:t>
      </w:r>
    </w:p>
    <w:p>
      <w:pPr>
        <w:pStyle w:val="ListBullet"/>
      </w:pPr>
      <w:r>
        <w:rPr>
          <w:b w:val="0"/>
        </w:rPr>
        <w:t>lavoratori a tempo determinato;</w:t>
      </w:r>
    </w:p>
    <w:p>
      <w:pPr>
        <w:pStyle w:val="ListBullet"/>
      </w:pPr>
      <w:r>
        <w:rPr>
          <w:b w:val="0"/>
        </w:rPr>
        <w:t>lavoratori che cessano il rapporto prima del pagamento;</w:t>
      </w:r>
    </w:p>
    <w:p>
      <w:pPr>
        <w:pStyle w:val="ListBullet"/>
      </w:pPr>
      <w:r>
        <w:rPr>
          <w:b w:val="0"/>
        </w:rPr>
        <w:t>trasferimenti tra reparti;</w:t>
      </w:r>
    </w:p>
    <w:p>
      <w:pPr>
        <w:pStyle w:val="ListBullet"/>
      </w:pPr>
      <w:r>
        <w:rPr>
          <w:b w:val="0"/>
        </w:rPr>
        <w:t>passaggi da tempo pieno a part-time e viceversa;</w:t>
      </w:r>
    </w:p>
    <w:p>
      <w:pPr>
        <w:pStyle w:val="ListBullet"/>
      </w:pPr>
      <w:r>
        <w:rPr>
          <w:b w:val="0"/>
        </w:rPr>
        <w:t>periodi di cassa integrazione;</w:t>
      </w:r>
    </w:p>
    <w:p>
      <w:pPr>
        <w:pStyle w:val="ListBullet"/>
      </w:pPr>
      <w:r>
        <w:rPr>
          <w:b w:val="0"/>
        </w:rPr>
        <w:t>aspettative e congedi;</w:t>
      </w:r>
    </w:p>
    <w:p>
      <w:pPr>
        <w:pStyle w:val="ListBullet"/>
      </w:pPr>
      <w:r>
        <w:rPr>
          <w:b w:val="0"/>
        </w:rPr>
        <w:t>lavoratori somministrati.</w:t>
      </w:r>
    </w:p>
    <w:p>
      <w:pPr>
        <w:pStyle w:val="Heading1"/>
      </w:pPr>
      <w:r>
        <w:t>13. Commissione paritetica insufficientemente disciplinata</w:t>
      </w:r>
    </w:p>
    <w:p>
      <w:pPr>
        <w:spacing w:after="100" w:line="259" w:lineRule="auto"/>
      </w:pPr>
      <w:r>
        <w:rPr>
          <w:b w:val="0"/>
        </w:rPr>
        <w:t>La sola comunicazione mensile in bacheca non consente alla RSU di verificare il calcolo.</w:t>
      </w:r>
    </w:p>
    <w:p>
      <w:pPr>
        <w:spacing w:after="100" w:line="259" w:lineRule="auto"/>
      </w:pPr>
      <w:r>
        <w:rPr>
          <w:b w:val="0"/>
        </w:rPr>
        <w:t>L'accordo dovrebbe precisare:</w:t>
      </w:r>
    </w:p>
    <w:p>
      <w:pPr>
        <w:pStyle w:val="ListBullet"/>
      </w:pPr>
      <w:r>
        <w:rPr>
          <w:b w:val="0"/>
        </w:rPr>
        <w:t>composizione della commissione;</w:t>
      </w:r>
    </w:p>
    <w:p>
      <w:pPr>
        <w:pStyle w:val="ListBullet"/>
      </w:pPr>
      <w:r>
        <w:rPr>
          <w:b w:val="0"/>
        </w:rPr>
        <w:t>modalità di nomina e sostituzione dei componenti;</w:t>
      </w:r>
    </w:p>
    <w:p>
      <w:pPr>
        <w:pStyle w:val="ListBullet"/>
      </w:pPr>
      <w:r>
        <w:rPr>
          <w:b w:val="0"/>
        </w:rPr>
        <w:t>frequenza delle riunioni;</w:t>
      </w:r>
    </w:p>
    <w:p>
      <w:pPr>
        <w:pStyle w:val="ListBullet"/>
      </w:pPr>
      <w:r>
        <w:rPr>
          <w:b w:val="0"/>
        </w:rPr>
        <w:t>diritto di accesso ai dati originali;</w:t>
      </w:r>
    </w:p>
    <w:p>
      <w:pPr>
        <w:pStyle w:val="ListBullet"/>
      </w:pPr>
      <w:r>
        <w:rPr>
          <w:b w:val="0"/>
        </w:rPr>
        <w:t>consegna di prospetti mensili di calcolo;</w:t>
      </w:r>
    </w:p>
    <w:p>
      <w:pPr>
        <w:pStyle w:val="ListBullet"/>
      </w:pPr>
      <w:r>
        <w:rPr>
          <w:b w:val="0"/>
        </w:rPr>
        <w:t>verbalizzazione degli incontri;</w:t>
      </w:r>
    </w:p>
    <w:p>
      <w:pPr>
        <w:pStyle w:val="ListBullet"/>
      </w:pPr>
      <w:r>
        <w:rPr>
          <w:b w:val="0"/>
        </w:rPr>
        <w:t>termine per contestare i dati;</w:t>
      </w:r>
    </w:p>
    <w:p>
      <w:pPr>
        <w:pStyle w:val="ListBullet"/>
      </w:pPr>
      <w:r>
        <w:rPr>
          <w:b w:val="0"/>
        </w:rPr>
        <w:t>obbligo dell'azienda di rispondere;</w:t>
      </w:r>
    </w:p>
    <w:p>
      <w:pPr>
        <w:pStyle w:val="ListBullet"/>
      </w:pPr>
      <w:r>
        <w:rPr>
          <w:b w:val="0"/>
        </w:rPr>
        <w:t>procedura in caso di disaccordo;</w:t>
      </w:r>
    </w:p>
    <w:p>
      <w:pPr>
        <w:pStyle w:val="ListBullet"/>
      </w:pPr>
      <w:r>
        <w:rPr>
          <w:b w:val="0"/>
        </w:rPr>
        <w:t>possibilità di assistenza tecnica o sindacale esterna.</w:t>
      </w:r>
    </w:p>
    <w:p>
      <w:pPr>
        <w:pStyle w:val="Heading1"/>
      </w:pPr>
      <w:r>
        <w:t>14. Riservatezza eccessivamente generica</w:t>
      </w:r>
    </w:p>
    <w:p>
      <w:pPr>
        <w:spacing w:after="100" w:line="259" w:lineRule="auto"/>
      </w:pPr>
      <w:r>
        <w:rPr>
          <w:b w:val="0"/>
        </w:rPr>
        <w:t>La clausola di riservatezza attribuisce all'azienda la possibilità di qualificare le informazioni come riservate senza definire limiti e criteri.</w:t>
      </w:r>
    </w:p>
    <w:p>
      <w:pPr>
        <w:spacing w:after="100" w:line="259" w:lineRule="auto"/>
      </w:pPr>
      <w:r>
        <w:rPr>
          <w:b w:val="0"/>
        </w:rPr>
        <w:t>La riservatezza non dovrebbe impedire alla RSU di comunicare ai lavoratori:</w:t>
      </w:r>
    </w:p>
    <w:p>
      <w:pPr>
        <w:pStyle w:val="ListBullet"/>
      </w:pPr>
      <w:r>
        <w:rPr>
          <w:b w:val="0"/>
        </w:rPr>
        <w:t>andamento degli indicatori;</w:t>
      </w:r>
    </w:p>
    <w:p>
      <w:pPr>
        <w:pStyle w:val="ListBullet"/>
      </w:pPr>
      <w:r>
        <w:rPr>
          <w:b w:val="0"/>
        </w:rPr>
        <w:t>percentuale di premio maturata;</w:t>
      </w:r>
    </w:p>
    <w:p>
      <w:pPr>
        <w:pStyle w:val="ListBullet"/>
      </w:pPr>
      <w:r>
        <w:rPr>
          <w:b w:val="0"/>
        </w:rPr>
        <w:t>problemi riscontrati;</w:t>
      </w:r>
    </w:p>
    <w:p>
      <w:pPr>
        <w:pStyle w:val="ListBullet"/>
      </w:pPr>
      <w:r>
        <w:rPr>
          <w:b w:val="0"/>
        </w:rPr>
        <w:t>contestazioni aperte;</w:t>
      </w:r>
    </w:p>
    <w:p>
      <w:pPr>
        <w:pStyle w:val="ListBullet"/>
      </w:pPr>
      <w:r>
        <w:rPr>
          <w:b w:val="0"/>
        </w:rPr>
        <w:t>risultato finale.</w:t>
      </w:r>
    </w:p>
    <w:p>
      <w:pPr>
        <w:pStyle w:val="Heading1"/>
      </w:pPr>
      <w:r>
        <w:t>15. Conversione in welfare</w:t>
      </w:r>
    </w:p>
    <w:p>
      <w:pPr>
        <w:spacing w:after="100" w:line="259" w:lineRule="auto"/>
      </w:pPr>
      <w:r>
        <w:rPr>
          <w:b w:val="0"/>
        </w:rPr>
        <w:t>La conversione integrale in welfare prevede un incentivo del 10%, elemento economicamente interessante.</w:t>
      </w:r>
    </w:p>
    <w:p>
      <w:pPr>
        <w:spacing w:after="100" w:line="259" w:lineRule="auto"/>
      </w:pPr>
      <w:r>
        <w:rPr>
          <w:b w:val="0"/>
        </w:rPr>
        <w:t>Devono però essere precisati:</w:t>
      </w:r>
    </w:p>
    <w:p>
      <w:pPr>
        <w:pStyle w:val="ListBullet"/>
      </w:pPr>
      <w:r>
        <w:rPr>
          <w:b w:val="0"/>
        </w:rPr>
        <w:t>termine entro cui esercitare la scelta;</w:t>
      </w:r>
    </w:p>
    <w:p>
      <w:pPr>
        <w:pStyle w:val="ListBullet"/>
      </w:pPr>
      <w:r>
        <w:rPr>
          <w:b w:val="0"/>
        </w:rPr>
        <w:t>modalità della scelta;</w:t>
      </w:r>
    </w:p>
    <w:p>
      <w:pPr>
        <w:pStyle w:val="ListBullet"/>
      </w:pPr>
      <w:r>
        <w:rPr>
          <w:b w:val="0"/>
        </w:rPr>
        <w:t>possibilità o meno di revoca;</w:t>
      </w:r>
    </w:p>
    <w:p>
      <w:pPr>
        <w:pStyle w:val="ListBullet"/>
      </w:pPr>
      <w:r>
        <w:rPr>
          <w:b w:val="0"/>
        </w:rPr>
        <w:t>trattamento degli importi non utilizzati;</w:t>
      </w:r>
    </w:p>
    <w:p>
      <w:pPr>
        <w:pStyle w:val="ListBullet"/>
      </w:pPr>
      <w:r>
        <w:rPr>
          <w:b w:val="0"/>
        </w:rPr>
        <w:t>scadenza del credito welfare;</w:t>
      </w:r>
    </w:p>
    <w:p>
      <w:pPr>
        <w:pStyle w:val="ListBullet"/>
      </w:pPr>
      <w:r>
        <w:rPr>
          <w:b w:val="0"/>
        </w:rPr>
        <w:t>trattamento in caso di cessazione del rapporto;</w:t>
      </w:r>
    </w:p>
    <w:p>
      <w:pPr>
        <w:pStyle w:val="ListBullet"/>
      </w:pPr>
      <w:r>
        <w:rPr>
          <w:b w:val="0"/>
        </w:rPr>
        <w:t>beni e servizi effettivamente disponibili;</w:t>
      </w:r>
    </w:p>
    <w:p>
      <w:pPr>
        <w:pStyle w:val="ListBullet"/>
      </w:pPr>
      <w:r>
        <w:rPr>
          <w:b w:val="0"/>
        </w:rPr>
        <w:t>eventuali costi o limitazioni della piattaforma.</w:t>
      </w:r>
    </w:p>
    <w:p>
      <w:pPr>
        <w:pStyle w:val="Heading1"/>
      </w:pPr>
      <w:r>
        <w:t>16. Errori e richiami da correggere</w:t>
      </w:r>
    </w:p>
    <w:p>
      <w:pPr>
        <w:spacing w:after="100" w:line="259" w:lineRule="auto"/>
      </w:pPr>
      <w:r>
        <w:rPr>
          <w:b w:val="0"/>
        </w:rPr>
        <w:t>Nel testo trascritto risultano da verificare o correggere:</w:t>
      </w:r>
    </w:p>
    <w:p>
      <w:pPr>
        <w:pStyle w:val="ListBullet"/>
      </w:pPr>
      <w:r>
        <w:rPr>
          <w:b w:val="0"/>
        </w:rPr>
        <w:t>il riferimento alla legge n. 208 indicata in un punto come legge del 2018 anziché del 2015;</w:t>
      </w:r>
    </w:p>
    <w:p>
      <w:pPr>
        <w:pStyle w:val="ListBullet"/>
      </w:pPr>
      <w:r>
        <w:rPr>
          <w:b w:val="0"/>
        </w:rPr>
        <w:t>il riferimento alla legge n. 208 indicata altrove come legge del 2016;</w:t>
      </w:r>
    </w:p>
    <w:p>
      <w:pPr>
        <w:pStyle w:val="ListBullet"/>
      </w:pPr>
      <w:r>
        <w:rPr>
          <w:b w:val="0"/>
        </w:rPr>
        <w:t>il richiamo al comma 86;</w:t>
      </w:r>
    </w:p>
    <w:p>
      <w:pPr>
        <w:pStyle w:val="ListBullet"/>
      </w:pPr>
      <w:r>
        <w:rPr>
          <w:b w:val="0"/>
        </w:rPr>
        <w:t>la denominazione "Commissione PDP", probabilmente da sostituire con "Commissione PDR";</w:t>
      </w:r>
    </w:p>
    <w:p>
      <w:pPr>
        <w:pStyle w:val="ListBullet"/>
      </w:pPr>
      <w:r>
        <w:rPr>
          <w:b w:val="0"/>
        </w:rPr>
        <w:t>il rinvio all'articolo 2 dell'accordo, mentre il calcolo è disciplinato al punto 1;</w:t>
      </w:r>
    </w:p>
    <w:p>
      <w:pPr>
        <w:pStyle w:val="ListBullet"/>
      </w:pPr>
      <w:r>
        <w:rPr>
          <w:b w:val="0"/>
        </w:rPr>
        <w:t>l'espressione "sessioni di formazioni";</w:t>
      </w:r>
    </w:p>
    <w:p>
      <w:pPr>
        <w:pStyle w:val="ListBullet"/>
      </w:pPr>
      <w:r>
        <w:rPr>
          <w:b w:val="0"/>
        </w:rPr>
        <w:t>l'uso non uniforme delle espressioni premio di risultato, premio di produttività e premio di partecipazione.</w:t>
      </w:r>
    </w:p>
    <w:p>
      <w:pPr>
        <w:spacing w:after="100" w:line="259" w:lineRule="auto"/>
      </w:pPr>
      <w:r>
        <w:rPr>
          <w:b w:val="0"/>
        </w:rPr>
        <w:t>Se l'accordo venisse riproposto oggi, dovrebbe essere aggiornato alla disciplina vigente al momento della sottoscrizione e dell'erogazione.</w:t>
      </w:r>
    </w:p>
    <w:p>
      <w:pPr>
        <w:pStyle w:val="Heading1"/>
      </w:pPr>
      <w:r>
        <w:t>17. Valutazione operativa complessiva</w:t>
      </w:r>
    </w:p>
    <w:p>
      <w:pPr>
        <w:spacing w:after="100" w:line="259" w:lineRule="auto"/>
      </w:pPr>
      <w:r>
        <w:rPr>
          <w:b w:val="0"/>
        </w:rPr>
        <w:t>La proposta contiene moltiplicatori potenzialmente favorevoli, ma presenta uno squilibrio nel controllo degli elementi utilizzati:</w:t>
      </w:r>
    </w:p>
    <w:p>
      <w:pPr>
        <w:pStyle w:val="ListBullet"/>
      </w:pPr>
      <w:r>
        <w:rPr>
          <w:b w:val="0"/>
        </w:rPr>
        <w:t>il fatturato è determinato contabilmente dall'azienda;</w:t>
      </w:r>
    </w:p>
    <w:p>
      <w:pPr>
        <w:pStyle w:val="ListBullet"/>
      </w:pPr>
      <w:r>
        <w:rPr>
          <w:b w:val="0"/>
        </w:rPr>
        <w:t>la produzione teorica è definita dall'azienda;</w:t>
      </w:r>
    </w:p>
    <w:p>
      <w:pPr>
        <w:pStyle w:val="ListBullet"/>
      </w:pPr>
      <w:r>
        <w:rPr>
          <w:b w:val="0"/>
        </w:rPr>
        <w:t>l'efficienza dipende anche dall'organizzazione e dagli investimenti aziendali;</w:t>
      </w:r>
    </w:p>
    <w:p>
      <w:pPr>
        <w:pStyle w:val="ListBullet"/>
      </w:pPr>
      <w:r>
        <w:rPr>
          <w:b w:val="0"/>
        </w:rPr>
        <w:t>il correttivo presenza può ridurre drasticamente il premio individuale;</w:t>
      </w:r>
    </w:p>
    <w:p>
      <w:pPr>
        <w:pStyle w:val="ListBullet"/>
      </w:pPr>
      <w:r>
        <w:rPr>
          <w:b w:val="0"/>
        </w:rPr>
        <w:t>alla RSU non sono garantiti strumenti sufficientemente dettagliati di verifica.</w:t>
      </w:r>
    </w:p>
    <w:p>
      <w:pPr>
        <w:spacing w:after="100" w:line="259" w:lineRule="auto"/>
      </w:pPr>
      <w:r>
        <w:rPr>
          <w:b w:val="0"/>
        </w:rPr>
        <w:t>Prima di un'eventuale approvazione appaiono indispensabili almeno queste modifiche:</w:t>
      </w:r>
    </w:p>
    <w:p>
      <w:pPr>
        <w:pStyle w:val="ListNumber"/>
      </w:pPr>
      <w:r>
        <w:rPr>
          <w:b w:val="0"/>
        </w:rPr>
        <w:t>inserire la formula matematica completa con esempi ufficiali;</w:t>
      </w:r>
    </w:p>
    <w:p>
      <w:pPr>
        <w:pStyle w:val="ListNumber"/>
      </w:pPr>
      <w:r>
        <w:rPr>
          <w:b w:val="0"/>
        </w:rPr>
        <w:t>definire in modo certificabile fatturato e numero dei dipendenti;</w:t>
      </w:r>
    </w:p>
    <w:p>
      <w:pPr>
        <w:pStyle w:val="ListNumber"/>
      </w:pPr>
      <w:r>
        <w:rPr>
          <w:b w:val="0"/>
        </w:rPr>
        <w:t>neutralizzare guasti, carenze, materiali mancanti e problemi non imputabili ai lavoratori;</w:t>
      </w:r>
    </w:p>
    <w:p>
      <w:pPr>
        <w:pStyle w:val="ListNumber"/>
      </w:pPr>
      <w:r>
        <w:rPr>
          <w:b w:val="0"/>
        </w:rPr>
        <w:t>elencare precisamente le assenze incluse ed escluse;</w:t>
      </w:r>
    </w:p>
    <w:p>
      <w:pPr>
        <w:pStyle w:val="ListNumber"/>
      </w:pPr>
      <w:r>
        <w:rPr>
          <w:b w:val="0"/>
        </w:rPr>
        <w:t>disciplinare accesso ai dati e poteri della commissione paritetica;</w:t>
      </w:r>
    </w:p>
    <w:p>
      <w:pPr>
        <w:pStyle w:val="ListNumber"/>
      </w:pPr>
      <w:r>
        <w:rPr>
          <w:b w:val="0"/>
        </w:rPr>
        <w:t>rendere coerenti maturazione, cessazione del rapporto e pagamento;</w:t>
      </w:r>
    </w:p>
    <w:p>
      <w:pPr>
        <w:pStyle w:val="ListNumber"/>
      </w:pPr>
      <w:r>
        <w:rPr>
          <w:b w:val="0"/>
        </w:rPr>
        <w:t>correggere tutti i riferimenti normativi e testuali;</w:t>
      </w:r>
    </w:p>
    <w:p>
      <w:pPr>
        <w:pStyle w:val="ListNumber"/>
      </w:pPr>
      <w:r>
        <w:rPr>
          <w:b w:val="0"/>
        </w:rPr>
        <w:t>chiarire il tetto massimo di 1.800 euro.</w:t>
      </w:r>
    </w:p>
    <w:p>
      <w:pPr>
        <w:pStyle w:val="Heading1"/>
      </w:pPr>
      <w:r>
        <w:t>18. Conclusione da utilizzare in assemblea</w:t>
      </w:r>
    </w:p>
    <w:p>
      <w:pPr>
        <w:spacing w:after="100" w:line="259" w:lineRule="auto"/>
      </w:pPr>
      <w:r>
        <w:rPr>
          <w:b w:val="0"/>
        </w:rPr>
        <w:t>Il premio proposto non è necessariamente negativo, perché consente di superare il valore iniziale attraverso i coefficienti di efficienza e presenza. Tuttavia, per valutarne realmente la convenienza non basta conoscere l'importo massimo.</w:t>
      </w:r>
    </w:p>
    <w:p>
      <w:pPr>
        <w:spacing w:after="100" w:line="259" w:lineRule="auto"/>
      </w:pPr>
      <w:r>
        <w:rPr>
          <w:b w:val="0"/>
        </w:rPr>
        <w:t>È necessario sapere:</w:t>
      </w:r>
    </w:p>
    <w:p>
      <w:pPr>
        <w:pStyle w:val="ListBullet"/>
      </w:pPr>
      <w:r>
        <w:rPr>
          <w:b w:val="0"/>
        </w:rPr>
        <w:t>come vengono costruiti i dati;</w:t>
      </w:r>
    </w:p>
    <w:p>
      <w:pPr>
        <w:pStyle w:val="ListBullet"/>
      </w:pPr>
      <w:r>
        <w:rPr>
          <w:b w:val="0"/>
        </w:rPr>
        <w:t>chi può verificarli;</w:t>
      </w:r>
    </w:p>
    <w:p>
      <w:pPr>
        <w:pStyle w:val="ListBullet"/>
      </w:pPr>
      <w:r>
        <w:rPr>
          <w:b w:val="0"/>
        </w:rPr>
        <w:t>quali eventi vengono neutralizzati;</w:t>
      </w:r>
    </w:p>
    <w:p>
      <w:pPr>
        <w:pStyle w:val="ListBullet"/>
      </w:pPr>
      <w:r>
        <w:rPr>
          <w:b w:val="0"/>
        </w:rPr>
        <w:t>quali assenze incidono;</w:t>
      </w:r>
    </w:p>
    <w:p>
      <w:pPr>
        <w:pStyle w:val="ListBullet"/>
      </w:pPr>
      <w:r>
        <w:rPr>
          <w:b w:val="0"/>
        </w:rPr>
        <w:t>quale importo si ottiene nei diversi casi concreti.</w:t>
      </w:r>
    </w:p>
    <w:p>
      <w:pPr>
        <w:spacing w:after="100" w:line="259" w:lineRule="auto"/>
      </w:pPr>
      <w:r>
        <w:rPr>
          <w:b w:val="0"/>
        </w:rPr>
        <w:t>Un premio di risultato corretto deve essere comprensibile, raggiungibile e verificabile. I lavoratori non dovrebbero essere penalizzati per guasti, materiali mancanti, carenze organizzative o decisioni sulle quali non hanno alcun controllo.</w:t>
      </w:r>
    </w:p>
    <w:p>
      <w:pPr>
        <w:pStyle w:val="Heading1"/>
      </w:pPr>
      <w:r>
        <w:t>Fonti normative consultate</w:t>
      </w:r>
    </w:p>
    <w:p>
      <w:pPr>
        <w:pStyle w:val="ListBullet"/>
      </w:pPr>
      <w:r>
        <w:rPr>
          <w:b w:val="0"/>
        </w:rPr>
        <w:t>Ministero del Lavoro e delle Politiche Sociali, Decreto interministeriale 25 marzo 2016: https://www.lavoro.gov.it/documenti-e-norme/normative/Documents/2016/Decreto-Interministeriale-25-marzo-2016</w:t>
      </w:r>
    </w:p>
    <w:p>
      <w:pPr>
        <w:pStyle w:val="ListBullet"/>
      </w:pPr>
      <w:r>
        <w:rPr>
          <w:b w:val="0"/>
        </w:rPr>
        <w:t>Ministero del Lavoro e delle Politiche Sociali, deposito telematico e detassazione dei contratti: https://lavoro.gov.it/strumenti-e-servizi/Deposito-telematico-contratti/Pagine/Detassazione-Deposito-contratti</w:t>
      </w:r>
    </w:p>
    <w:p>
      <w:pPr>
        <w:pStyle w:val="ListBullet"/>
      </w:pPr>
      <w:r>
        <w:rPr>
          <w:b w:val="0"/>
        </w:rPr>
        <w:t>Ministero del Lavoro e delle Politiche Sociali, monitoraggio dei contratti di produttività 2026: https://www.lavoro.gov.it/notizie/pagine/marzo-attivi-10314-contratti-di-produttivita</w:t>
      </w:r>
    </w:p>
    <w:p>
      <w:pPr>
        <w:pStyle w:val="Heading1"/>
      </w:pPr>
      <w:r>
        <w:t>Avvertenza</w:t>
      </w:r>
    </w:p>
    <w:p>
      <w:pPr>
        <w:spacing w:after="100" w:line="259" w:lineRule="auto"/>
      </w:pPr>
      <w:r>
        <w:rPr>
          <w:b w:val="0"/>
        </w:rPr>
        <w:t>Il presente documento costituisce una valutazione operativa e sindacale della bozza trascritta. Non sostituisce il controllo definitivo di un consulente del lavoro, di un esperto fiscale o dell'ufficio legale dell'organizzazione sindacale prima della sottoscrizione.</w:t>
      </w:r>
    </w:p>
    <w:sectPr w:rsidR="00FC693F" w:rsidRPr="0006063C" w:rsidSect="00034616">
      <w:pgSz w:w="12240" w:h="15840"/>
      <w:pgMar w:top="964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