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BOZZA VERBALE DI ACCORDO</w:t>
      </w:r>
    </w:p>
    <w:p>
      <w:pPr>
        <w:spacing w:after="120" w:line="259" w:lineRule="auto"/>
      </w:pPr>
      <w:r>
        <w:rPr>
          <w:b w:val="0"/>
        </w:rPr>
        <w:t>In data .../.../2024 presso la Sitem S.p.a. di Canegrate (MI)</w:t>
      </w:r>
    </w:p>
    <w:p>
      <w:pPr>
        <w:pStyle w:val="Heading1"/>
        <w:jc w:val="center"/>
      </w:pPr>
      <w:r>
        <w:t>TRA</w:t>
      </w:r>
    </w:p>
    <w:p>
      <w:pPr>
        <w:spacing w:after="120" w:line="259" w:lineRule="auto"/>
      </w:pPr>
      <w:r>
        <w:rPr>
          <w:b w:val="0"/>
        </w:rPr>
        <w:t>La ditta Sitem S.p.a. rappresentata dall'ing. Marco Bartoloni, dall'ing. Gianluca Bertocchi e dal rag. Marco Pomi</w:t>
      </w:r>
    </w:p>
    <w:p>
      <w:pPr>
        <w:pStyle w:val="Heading1"/>
        <w:jc w:val="center"/>
      </w:pPr>
      <w:r>
        <w:t>E</w:t>
      </w:r>
    </w:p>
    <w:p>
      <w:pPr>
        <w:pStyle w:val="ListBullet"/>
      </w:pPr>
      <w:r>
        <w:rPr>
          <w:b w:val="0"/>
        </w:rPr>
        <w:t>la FIOM-CGIL nella persona del Sig. Antonio Del Duca;</w:t>
      </w:r>
    </w:p>
    <w:p>
      <w:pPr>
        <w:pStyle w:val="ListBullet"/>
      </w:pPr>
      <w:r>
        <w:rPr>
          <w:b w:val="0"/>
        </w:rPr>
        <w:t>la R.S.U. nelle persone di Genni Asta, Riccardo Austero e Samuele Lomuscio.</w:t>
      </w:r>
    </w:p>
    <w:p>
      <w:pPr>
        <w:pStyle w:val="Heading1"/>
        <w:jc w:val="center"/>
      </w:pPr>
      <w:r>
        <w:t>PREMESSO</w:t>
      </w:r>
    </w:p>
    <w:p>
      <w:pPr>
        <w:pStyle w:val="ListBullet"/>
      </w:pPr>
      <w:r>
        <w:rPr>
          <w:b w:val="0"/>
        </w:rPr>
        <w:t>Con Decreto del Ministro del Lavoro e delle Politiche Sociali, di concerto con il Ministro dell'Economia e delle Finanze, del 25 marzo 2016 è stata data attuazione ai contenuti di cui ai citati commi dell'art. 1 della legge 28 dicembre 2015, n. 208, in materia di agevolazioni fiscali per importi erogati a titolo di premio di risultato di ammontare variabile a seguito di incrementi di produttività, redditività, qualità, efficienza ed innovazione previsti nei contratti aziendali e/o territoriali di cui all'art. 51 del decreto legislativo n. 81 del 2015;</w:t>
      </w:r>
    </w:p>
    <w:p>
      <w:pPr>
        <w:pStyle w:val="ListBullet"/>
      </w:pPr>
      <w:r>
        <w:rPr>
          <w:b w:val="0"/>
        </w:rPr>
        <w:t>Con la circolare n. 28/E del 15 giugno 2016, l'Agenzia delle Entrate, d'intesa con il Ministero del Lavoro e delle Politiche Sociali, è intervenuta su quanto disposto dal Decreto del 25 marzo 2016, in tema di agevolazioni fiscali di cui all'articolo 1, commi 182, 189 e 190 della legge n. 208 del 2015;</w:t>
      </w:r>
    </w:p>
    <w:p>
      <w:pPr>
        <w:pStyle w:val="ListBullet"/>
      </w:pPr>
      <w:r>
        <w:rPr>
          <w:b w:val="0"/>
        </w:rPr>
        <w:t>È centrale per le Parti l'importanza di ottenere il massimo coinvolgimento di tutti i lavoratori negli obiettivi aziendali, nella consapevolezza che solo per questa via sia possibile conseguire un miglioramento aziendale non solo in termini quantitativi, ma anche qualitativi;</w:t>
      </w:r>
    </w:p>
    <w:p>
      <w:pPr>
        <w:pStyle w:val="ListBullet"/>
      </w:pPr>
      <w:r>
        <w:rPr>
          <w:b w:val="0"/>
        </w:rPr>
        <w:t>È ferma la volontà di individuare congiuntamente, in base a quanto previsto dall'art. 12 - Premio Risultato - Sezione Quarta - Titolo IV - del vigente CCNL Industria Metalmeccanica ed Installazione degli Impianti, un premio di produttività correlato a risultati aziendali oggettivi, rappresentati da incrementi di produttività, redditività, qualità e competitività complessiva ed, in generale, all'andamento economico dell'impresa;</w:t>
      </w:r>
    </w:p>
    <w:p>
      <w:pPr>
        <w:pStyle w:val="ListBullet"/>
      </w:pPr>
      <w:r>
        <w:rPr>
          <w:b w:val="0"/>
        </w:rPr>
        <w:t>È basilare la necessità di focalizzare l'attenzione su quegli indicatori più idonei a misurare oggettivamente l'effettivo apporto di ciascuna funzione aziendale agli obiettivi complessivi dell'impresa, individuando i fattori più significativi in termini di coinvolgimento e contributo, individuale e collettivo.</w:t>
      </w:r>
    </w:p>
    <w:p>
      <w:pPr>
        <w:pStyle w:val="Heading1"/>
        <w:jc w:val="center"/>
      </w:pPr>
      <w:r>
        <w:t>SI CONVIENE</w:t>
      </w:r>
    </w:p>
    <w:p>
      <w:pPr>
        <w:pStyle w:val="Heading1"/>
        <w:jc w:val="left"/>
      </w:pPr>
      <w:r>
        <w:t>1. Parametri e calcolo</w:t>
      </w:r>
    </w:p>
    <w:p>
      <w:pPr>
        <w:spacing w:after="120" w:line="259" w:lineRule="auto"/>
      </w:pPr>
      <w:r>
        <w:rPr>
          <w:b w:val="0"/>
        </w:rPr>
        <w:t>Viene introdotto per l'anno 2024 un Premio di Risultato variabile collegato ai seguenti parametri di ponderazione.</w:t>
      </w:r>
    </w:p>
    <w:p>
      <w:pPr>
        <w:pStyle w:val="Heading2"/>
      </w:pPr>
      <w:r>
        <w:t>Obiettivi e valore del premio</w:t>
      </w:r>
    </w:p>
    <w:p>
      <w:pPr>
        <w:spacing w:after="120" w:line="259" w:lineRule="auto"/>
      </w:pPr>
      <w:r>
        <w:rPr>
          <w:b w:val="0"/>
        </w:rPr>
        <w:t>Per ciascun anno di riferimento vengono previsti livelli crescenti di fasce di obiettivi, al raggiungimento dei quali scatterà il diritto di corrispondere il valore di premio di risultato, secondo lo schema che segue.</w:t>
      </w:r>
    </w:p>
    <w:p>
      <w:pPr>
        <w:pStyle w:val="Heading2"/>
      </w:pPr>
      <w:r>
        <w:t>Tabella n. 1 - Incremento fatturato</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2F3"/>
          </w:tcPr>
          <w:p>
            <w:r>
              <w:rPr>
                <w:b/>
              </w:rPr>
              <w:t>Incremento anno fatturato/dipendente</w:t>
            </w:r>
          </w:p>
        </w:tc>
        <w:tc>
          <w:tcPr>
            <w:tcW w:type="dxa" w:w="4986"/>
            <w:vAlign w:val="center"/>
            <w:shd w:fill="D9E2F3"/>
          </w:tcPr>
          <w:p>
            <w:r>
              <w:rPr>
                <w:b/>
              </w:rPr>
              <w:t>Premio lordo euro/dipendente</w:t>
            </w:r>
          </w:p>
        </w:tc>
      </w:tr>
      <w:tr>
        <w:tc>
          <w:tcPr>
            <w:tcW w:type="dxa" w:w="4986"/>
            <w:vAlign w:val="center"/>
          </w:tcPr>
          <w:p>
            <w:r>
              <w:rPr>
                <w:b w:val="0"/>
              </w:rPr>
              <w:t>Tra 0 e 1.000,00 euro/dipendente</w:t>
            </w:r>
          </w:p>
        </w:tc>
        <w:tc>
          <w:tcPr>
            <w:tcW w:type="dxa" w:w="4986"/>
            <w:vAlign w:val="center"/>
          </w:tcPr>
          <w:p>
            <w:r>
              <w:rPr>
                <w:b w:val="0"/>
              </w:rPr>
              <w:t>700,00 euro</w:t>
            </w:r>
          </w:p>
        </w:tc>
      </w:tr>
      <w:tr>
        <w:tc>
          <w:tcPr>
            <w:tcW w:type="dxa" w:w="4986"/>
            <w:vAlign w:val="center"/>
          </w:tcPr>
          <w:p>
            <w:r>
              <w:rPr>
                <w:b w:val="0"/>
              </w:rPr>
              <w:t>Tra 1.001,00 e 2.500,00 euro/dipendente</w:t>
            </w:r>
          </w:p>
        </w:tc>
        <w:tc>
          <w:tcPr>
            <w:tcW w:type="dxa" w:w="4986"/>
            <w:vAlign w:val="center"/>
          </w:tcPr>
          <w:p>
            <w:r>
              <w:rPr>
                <w:b w:val="0"/>
              </w:rPr>
              <w:t>750,00 euro</w:t>
            </w:r>
          </w:p>
        </w:tc>
      </w:tr>
      <w:tr>
        <w:tc>
          <w:tcPr>
            <w:tcW w:type="dxa" w:w="4986"/>
            <w:vAlign w:val="center"/>
          </w:tcPr>
          <w:p>
            <w:r>
              <w:rPr>
                <w:b w:val="0"/>
              </w:rPr>
              <w:t>Tra 2.501,00 e 5.000,00 euro/dipendente</w:t>
            </w:r>
          </w:p>
        </w:tc>
        <w:tc>
          <w:tcPr>
            <w:tcW w:type="dxa" w:w="4986"/>
            <w:vAlign w:val="center"/>
          </w:tcPr>
          <w:p>
            <w:r>
              <w:rPr>
                <w:b w:val="0"/>
              </w:rPr>
              <w:t>800,00 euro</w:t>
            </w:r>
          </w:p>
        </w:tc>
      </w:tr>
      <w:tr>
        <w:tc>
          <w:tcPr>
            <w:tcW w:type="dxa" w:w="4986"/>
            <w:vAlign w:val="center"/>
          </w:tcPr>
          <w:p>
            <w:r>
              <w:rPr>
                <w:b w:val="0"/>
              </w:rPr>
              <w:t>Tra 5.001,00 e 10.000,00 euro/dipendente</w:t>
            </w:r>
          </w:p>
        </w:tc>
        <w:tc>
          <w:tcPr>
            <w:tcW w:type="dxa" w:w="4986"/>
            <w:vAlign w:val="center"/>
          </w:tcPr>
          <w:p>
            <w:r>
              <w:rPr>
                <w:b w:val="0"/>
              </w:rPr>
              <w:t>850,00 euro</w:t>
            </w:r>
          </w:p>
        </w:tc>
      </w:tr>
      <w:tr>
        <w:tc>
          <w:tcPr>
            <w:tcW w:type="dxa" w:w="4986"/>
            <w:vAlign w:val="center"/>
          </w:tcPr>
          <w:p>
            <w:r>
              <w:rPr>
                <w:b w:val="0"/>
              </w:rPr>
              <w:t>Tra 10.001,00 e 15.000,00 euro/dipendente</w:t>
            </w:r>
          </w:p>
        </w:tc>
        <w:tc>
          <w:tcPr>
            <w:tcW w:type="dxa" w:w="4986"/>
            <w:vAlign w:val="center"/>
          </w:tcPr>
          <w:p>
            <w:r>
              <w:rPr>
                <w:b w:val="0"/>
              </w:rPr>
              <w:t>900,00 euro</w:t>
            </w:r>
          </w:p>
        </w:tc>
      </w:tr>
      <w:tr>
        <w:tc>
          <w:tcPr>
            <w:tcW w:type="dxa" w:w="4986"/>
            <w:vAlign w:val="center"/>
          </w:tcPr>
          <w:p>
            <w:r>
              <w:rPr>
                <w:b w:val="0"/>
              </w:rPr>
              <w:t>Tra 15.001,00 e 17.500,00 euro/dipendente</w:t>
            </w:r>
          </w:p>
        </w:tc>
        <w:tc>
          <w:tcPr>
            <w:tcW w:type="dxa" w:w="4986"/>
            <w:vAlign w:val="center"/>
          </w:tcPr>
          <w:p>
            <w:r>
              <w:rPr>
                <w:b w:val="0"/>
              </w:rPr>
              <w:t>950,00 euro</w:t>
            </w:r>
          </w:p>
        </w:tc>
      </w:tr>
      <w:tr>
        <w:tc>
          <w:tcPr>
            <w:tcW w:type="dxa" w:w="4986"/>
            <w:vAlign w:val="center"/>
          </w:tcPr>
          <w:p>
            <w:r>
              <w:rPr>
                <w:b w:val="0"/>
              </w:rPr>
              <w:t>Oltre 17.501,00 euro/dipendente</w:t>
            </w:r>
          </w:p>
        </w:tc>
        <w:tc>
          <w:tcPr>
            <w:tcW w:type="dxa" w:w="4986"/>
            <w:vAlign w:val="center"/>
          </w:tcPr>
          <w:p>
            <w:r>
              <w:rPr>
                <w:b w:val="0"/>
              </w:rPr>
              <w:t>1.000,00 euro</w:t>
            </w:r>
          </w:p>
        </w:tc>
      </w:tr>
    </w:tbl>
    <w:p/>
    <w:p>
      <w:pPr>
        <w:spacing w:after="120" w:line="259" w:lineRule="auto"/>
      </w:pPr>
      <w:r>
        <w:rPr>
          <w:b w:val="0"/>
        </w:rPr>
        <w:t>Nel fatturato pro-capite l'incidenza dei nuovi assunti sarà inserita dopo n. 4 mesi dalla data di assunzione, per consentire un primo periodo di apprendimento.</w:t>
      </w:r>
    </w:p>
    <w:p>
      <w:pPr>
        <w:spacing w:after="120" w:line="259" w:lineRule="auto"/>
      </w:pPr>
      <w:r>
        <w:rPr>
          <w:b w:val="0"/>
        </w:rPr>
        <w:t>Il Premio risultante dalla tabella n. 1 sarà quindi correlato, come da tabella n. 2 che segue, all'efficienza (E) nei reparti di tranciatura e pressofusione, come media tra i due reparti, misurata:</w:t>
      </w:r>
    </w:p>
    <w:p>
      <w:pPr>
        <w:pStyle w:val="ListBullet"/>
      </w:pPr>
      <w:r>
        <w:rPr>
          <w:b w:val="0"/>
        </w:rPr>
        <w:t>nel reparto di tranciatura in base al rapporto tra numero di colpi prodotti da tutto il reparto fratto il numero di colpi teorico (percentuale efficienza);</w:t>
      </w:r>
    </w:p>
    <w:p>
      <w:pPr>
        <w:pStyle w:val="ListBullet"/>
      </w:pPr>
      <w:r>
        <w:rPr>
          <w:b w:val="0"/>
        </w:rPr>
        <w:t>nel reparto di pressofusione in base al rapporto tra il numero di pezzi prodotto fratto il numero di pezzi teorico (percentuale efficienza).</w:t>
      </w:r>
    </w:p>
    <w:p>
      <w:pPr>
        <w:spacing w:after="120" w:line="259" w:lineRule="auto"/>
      </w:pPr>
      <w:r>
        <w:rPr>
          <w:b w:val="0"/>
        </w:rPr>
        <w:t>Nella tabella che segue è indicata la percentuale di premio spettante in relazione alla percentuale di efficienza riscontrata.</w:t>
      </w:r>
    </w:p>
    <w:p>
      <w:pPr>
        <w:pStyle w:val="Heading2"/>
      </w:pPr>
      <w:r>
        <w:t>Tabella n. 2 - Efficienza reparti</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2F3"/>
          </w:tcPr>
          <w:p>
            <w:r>
              <w:rPr>
                <w:b/>
              </w:rPr>
              <w:t>Percentuale di efficienza</w:t>
            </w:r>
          </w:p>
        </w:tc>
        <w:tc>
          <w:tcPr>
            <w:tcW w:type="dxa" w:w="4986"/>
            <w:vAlign w:val="center"/>
            <w:shd w:fill="D9E2F3"/>
          </w:tcPr>
          <w:p>
            <w:r>
              <w:rPr>
                <w:b/>
              </w:rPr>
              <w:t>Percentuale del premio</w:t>
            </w:r>
          </w:p>
        </w:tc>
      </w:tr>
      <w:tr>
        <w:tc>
          <w:tcPr>
            <w:tcW w:type="dxa" w:w="4986"/>
            <w:vAlign w:val="center"/>
          </w:tcPr>
          <w:p>
            <w:r>
              <w:rPr>
                <w:b w:val="0"/>
              </w:rPr>
              <w:t>Inferiore al 70%</w:t>
            </w:r>
          </w:p>
        </w:tc>
        <w:tc>
          <w:tcPr>
            <w:tcW w:type="dxa" w:w="4986"/>
            <w:vAlign w:val="center"/>
          </w:tcPr>
          <w:p>
            <w:r>
              <w:rPr>
                <w:b w:val="0"/>
              </w:rPr>
              <w:t>80%</w:t>
            </w:r>
          </w:p>
        </w:tc>
      </w:tr>
      <w:tr>
        <w:tc>
          <w:tcPr>
            <w:tcW w:type="dxa" w:w="4986"/>
            <w:vAlign w:val="center"/>
          </w:tcPr>
          <w:p>
            <w:r>
              <w:rPr>
                <w:b w:val="0"/>
              </w:rPr>
              <w:t>Tra 70% e 75%</w:t>
            </w:r>
          </w:p>
        </w:tc>
        <w:tc>
          <w:tcPr>
            <w:tcW w:type="dxa" w:w="4986"/>
            <w:vAlign w:val="center"/>
          </w:tcPr>
          <w:p>
            <w:r>
              <w:rPr>
                <w:b w:val="0"/>
              </w:rPr>
              <w:t>100%</w:t>
            </w:r>
          </w:p>
        </w:tc>
      </w:tr>
      <w:tr>
        <w:tc>
          <w:tcPr>
            <w:tcW w:type="dxa" w:w="4986"/>
            <w:vAlign w:val="center"/>
          </w:tcPr>
          <w:p>
            <w:r>
              <w:rPr>
                <w:b w:val="0"/>
              </w:rPr>
              <w:t>Tra 75% e 80%</w:t>
            </w:r>
          </w:p>
        </w:tc>
        <w:tc>
          <w:tcPr>
            <w:tcW w:type="dxa" w:w="4986"/>
            <w:vAlign w:val="center"/>
          </w:tcPr>
          <w:p>
            <w:r>
              <w:rPr>
                <w:b w:val="0"/>
              </w:rPr>
              <w:t>110%</w:t>
            </w:r>
          </w:p>
        </w:tc>
      </w:tr>
      <w:tr>
        <w:tc>
          <w:tcPr>
            <w:tcW w:type="dxa" w:w="4986"/>
            <w:vAlign w:val="center"/>
          </w:tcPr>
          <w:p>
            <w:r>
              <w:rPr>
                <w:b w:val="0"/>
              </w:rPr>
              <w:t>Tra 80% e 85%</w:t>
            </w:r>
          </w:p>
        </w:tc>
        <w:tc>
          <w:tcPr>
            <w:tcW w:type="dxa" w:w="4986"/>
            <w:vAlign w:val="center"/>
          </w:tcPr>
          <w:p>
            <w:r>
              <w:rPr>
                <w:b w:val="0"/>
              </w:rPr>
              <w:t>120%</w:t>
            </w:r>
          </w:p>
        </w:tc>
      </w:tr>
      <w:tr>
        <w:tc>
          <w:tcPr>
            <w:tcW w:type="dxa" w:w="4986"/>
            <w:vAlign w:val="center"/>
          </w:tcPr>
          <w:p>
            <w:r>
              <w:rPr>
                <w:b w:val="0"/>
              </w:rPr>
              <w:t>Tra 85% e 95%</w:t>
            </w:r>
          </w:p>
        </w:tc>
        <w:tc>
          <w:tcPr>
            <w:tcW w:type="dxa" w:w="4986"/>
            <w:vAlign w:val="center"/>
          </w:tcPr>
          <w:p>
            <w:r>
              <w:rPr>
                <w:b w:val="0"/>
              </w:rPr>
              <w:t>130%</w:t>
            </w:r>
          </w:p>
        </w:tc>
      </w:tr>
      <w:tr>
        <w:tc>
          <w:tcPr>
            <w:tcW w:type="dxa" w:w="4986"/>
            <w:vAlign w:val="center"/>
          </w:tcPr>
          <w:p>
            <w:r>
              <w:rPr>
                <w:b w:val="0"/>
              </w:rPr>
              <w:t>Tra 95% e 100%</w:t>
            </w:r>
          </w:p>
        </w:tc>
        <w:tc>
          <w:tcPr>
            <w:tcW w:type="dxa" w:w="4986"/>
            <w:vAlign w:val="center"/>
          </w:tcPr>
          <w:p>
            <w:r>
              <w:rPr>
                <w:b w:val="0"/>
              </w:rPr>
              <w:t>135%</w:t>
            </w:r>
          </w:p>
        </w:tc>
      </w:tr>
      <w:tr>
        <w:tc>
          <w:tcPr>
            <w:tcW w:type="dxa" w:w="4986"/>
            <w:vAlign w:val="center"/>
          </w:tcPr>
          <w:p>
            <w:r>
              <w:rPr>
                <w:b w:val="0"/>
              </w:rPr>
              <w:t>Oltre 100%</w:t>
            </w:r>
          </w:p>
        </w:tc>
        <w:tc>
          <w:tcPr>
            <w:tcW w:type="dxa" w:w="4986"/>
            <w:vAlign w:val="center"/>
          </w:tcPr>
          <w:p>
            <w:r>
              <w:rPr>
                <w:b w:val="0"/>
              </w:rPr>
              <w:t>140%</w:t>
            </w:r>
          </w:p>
        </w:tc>
      </w:tr>
    </w:tbl>
    <w:p/>
    <w:p>
      <w:pPr>
        <w:pStyle w:val="Heading2"/>
      </w:pPr>
      <w:r>
        <w:t>Correttivo presenza</w:t>
      </w:r>
    </w:p>
    <w:p>
      <w:pPr>
        <w:spacing w:after="120" w:line="259" w:lineRule="auto"/>
      </w:pPr>
      <w:r>
        <w:rPr>
          <w:b w:val="0"/>
        </w:rPr>
        <w:t>Al premio risultante dall'applicazione dei parametri indicati nelle tabelle n. 1 e n. 2 sarà successivamente applicato un correttivo a carattere individuale riferito al numero delle giornate di assenza dal lavoro conseguite da ciascun lavoratore in ogni periodo di riferimento.</w:t>
      </w:r>
    </w:p>
    <w:p>
      <w:pPr>
        <w:spacing w:after="120" w:line="259" w:lineRule="auto"/>
      </w:pPr>
      <w:r>
        <w:rPr>
          <w:b w:val="0"/>
        </w:rPr>
        <w:t>Ai fini di cui sopra per giornate di assenza dal lavoro devono intendersi, solo ed esclusivamente, quelle di assenze ingiustificate, L. 151, eventi di malattia con esclusione delle malattie ospedalizzate e relativa convalescenza, periodi di aspettative e similari dove non viene erogata retribuzione.</w:t>
      </w:r>
    </w:p>
    <w:p>
      <w:pPr>
        <w:spacing w:after="120" w:line="259" w:lineRule="auto"/>
      </w:pPr>
      <w:r>
        <w:rPr>
          <w:b w:val="0"/>
        </w:rPr>
        <w:t>Il premio individuale spettante sarà quindi quello riportato nella seguente tabella sulla base delle giornate di assenza.</w:t>
      </w:r>
    </w:p>
    <w:p>
      <w:pPr>
        <w:pStyle w:val="Heading2"/>
      </w:pPr>
      <w:r>
        <w:t>Tabella n. 3 - Correttivo presenza individuale</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2F3"/>
          </w:tcPr>
          <w:p>
            <w:r>
              <w:rPr>
                <w:b/>
              </w:rPr>
              <w:t>Numero giornate di assenza</w:t>
            </w:r>
          </w:p>
        </w:tc>
        <w:tc>
          <w:tcPr>
            <w:tcW w:type="dxa" w:w="4986"/>
            <w:vAlign w:val="center"/>
            <w:shd w:fill="D9E2F3"/>
          </w:tcPr>
          <w:p>
            <w:r>
              <w:rPr>
                <w:b/>
              </w:rPr>
              <w:t>Percentuale di premio spettante individualmente</w:t>
            </w:r>
          </w:p>
        </w:tc>
      </w:tr>
      <w:tr>
        <w:tc>
          <w:tcPr>
            <w:tcW w:type="dxa" w:w="4986"/>
            <w:vAlign w:val="center"/>
          </w:tcPr>
          <w:p>
            <w:r>
              <w:rPr>
                <w:b w:val="0"/>
              </w:rPr>
              <w:t>Nessuna</w:t>
            </w:r>
          </w:p>
        </w:tc>
        <w:tc>
          <w:tcPr>
            <w:tcW w:type="dxa" w:w="4986"/>
            <w:vAlign w:val="center"/>
          </w:tcPr>
          <w:p>
            <w:r>
              <w:rPr>
                <w:b w:val="0"/>
              </w:rPr>
              <w:t>130%</w:t>
            </w:r>
          </w:p>
        </w:tc>
      </w:tr>
      <w:tr>
        <w:tc>
          <w:tcPr>
            <w:tcW w:type="dxa" w:w="4986"/>
            <w:vAlign w:val="center"/>
          </w:tcPr>
          <w:p>
            <w:r>
              <w:rPr>
                <w:b w:val="0"/>
              </w:rPr>
              <w:t>Da 1 a 7</w:t>
            </w:r>
          </w:p>
        </w:tc>
        <w:tc>
          <w:tcPr>
            <w:tcW w:type="dxa" w:w="4986"/>
            <w:vAlign w:val="center"/>
          </w:tcPr>
          <w:p>
            <w:r>
              <w:rPr>
                <w:b w:val="0"/>
              </w:rPr>
              <w:t>120%</w:t>
            </w:r>
          </w:p>
        </w:tc>
      </w:tr>
      <w:tr>
        <w:tc>
          <w:tcPr>
            <w:tcW w:type="dxa" w:w="4986"/>
            <w:vAlign w:val="center"/>
          </w:tcPr>
          <w:p>
            <w:r>
              <w:rPr>
                <w:b w:val="0"/>
              </w:rPr>
              <w:t>Da 8 a 13</w:t>
            </w:r>
          </w:p>
        </w:tc>
        <w:tc>
          <w:tcPr>
            <w:tcW w:type="dxa" w:w="4986"/>
            <w:vAlign w:val="center"/>
          </w:tcPr>
          <w:p>
            <w:r>
              <w:rPr>
                <w:b w:val="0"/>
              </w:rPr>
              <w:t>100%</w:t>
            </w:r>
          </w:p>
        </w:tc>
      </w:tr>
      <w:tr>
        <w:tc>
          <w:tcPr>
            <w:tcW w:type="dxa" w:w="4986"/>
            <w:vAlign w:val="center"/>
          </w:tcPr>
          <w:p>
            <w:r>
              <w:rPr>
                <w:b w:val="0"/>
              </w:rPr>
              <w:t>Da 14 a 18</w:t>
            </w:r>
          </w:p>
        </w:tc>
        <w:tc>
          <w:tcPr>
            <w:tcW w:type="dxa" w:w="4986"/>
            <w:vAlign w:val="center"/>
          </w:tcPr>
          <w:p>
            <w:r>
              <w:rPr>
                <w:b w:val="0"/>
              </w:rPr>
              <w:t>80%</w:t>
            </w:r>
          </w:p>
        </w:tc>
      </w:tr>
      <w:tr>
        <w:tc>
          <w:tcPr>
            <w:tcW w:type="dxa" w:w="4986"/>
            <w:vAlign w:val="center"/>
          </w:tcPr>
          <w:p>
            <w:r>
              <w:rPr>
                <w:b w:val="0"/>
              </w:rPr>
              <w:t>Da 19 a 22</w:t>
            </w:r>
          </w:p>
        </w:tc>
        <w:tc>
          <w:tcPr>
            <w:tcW w:type="dxa" w:w="4986"/>
            <w:vAlign w:val="center"/>
          </w:tcPr>
          <w:p>
            <w:r>
              <w:rPr>
                <w:b w:val="0"/>
              </w:rPr>
              <w:t>70%</w:t>
            </w:r>
          </w:p>
        </w:tc>
      </w:tr>
      <w:tr>
        <w:tc>
          <w:tcPr>
            <w:tcW w:type="dxa" w:w="4986"/>
            <w:vAlign w:val="center"/>
          </w:tcPr>
          <w:p>
            <w:r>
              <w:rPr>
                <w:b w:val="0"/>
              </w:rPr>
              <w:t>Da 23 a 30</w:t>
            </w:r>
          </w:p>
        </w:tc>
        <w:tc>
          <w:tcPr>
            <w:tcW w:type="dxa" w:w="4986"/>
            <w:vAlign w:val="center"/>
          </w:tcPr>
          <w:p>
            <w:r>
              <w:rPr>
                <w:b w:val="0"/>
              </w:rPr>
              <w:t>50%</w:t>
            </w:r>
          </w:p>
        </w:tc>
      </w:tr>
      <w:tr>
        <w:tc>
          <w:tcPr>
            <w:tcW w:type="dxa" w:w="4986"/>
            <w:vAlign w:val="center"/>
          </w:tcPr>
          <w:p>
            <w:r>
              <w:rPr>
                <w:b w:val="0"/>
              </w:rPr>
              <w:t>Oltre 30</w:t>
            </w:r>
          </w:p>
        </w:tc>
        <w:tc>
          <w:tcPr>
            <w:tcW w:type="dxa" w:w="4986"/>
            <w:vAlign w:val="center"/>
          </w:tcPr>
          <w:p>
            <w:r>
              <w:rPr>
                <w:b w:val="0"/>
              </w:rPr>
              <w:t>30%</w:t>
            </w:r>
          </w:p>
        </w:tc>
      </w:tr>
    </w:tbl>
    <w:p/>
    <w:p>
      <w:pPr>
        <w:pStyle w:val="Heading1"/>
        <w:jc w:val="left"/>
      </w:pPr>
      <w:r>
        <w:t>2. Condizioni di erogazione</w:t>
      </w:r>
    </w:p>
    <w:p>
      <w:pPr>
        <w:spacing w:after="120" w:line="259" w:lineRule="auto"/>
      </w:pPr>
      <w:r>
        <w:rPr>
          <w:b w:val="0"/>
        </w:rPr>
        <w:t>Fermi restando i parametri e i pesi che questi hanno all'interno del calcolo, al fine di favorire la massima condivisione degli obiettivi aziendali ed agevolare il sistema di accesso al Premio di Risultato Aziendale, sono previste delle percentuali di tolleranza e di riduzione proporzionale del premio erogato a ciascun lavoratore in caso di raggiungimento parziale di alcuni o di tutti gli indicatori declinati al punto 1 del presente Accordo.</w:t>
      </w:r>
    </w:p>
    <w:p>
      <w:pPr>
        <w:pStyle w:val="Heading1"/>
        <w:jc w:val="left"/>
      </w:pPr>
      <w:r>
        <w:t>3. Sistema relazionale</w:t>
      </w:r>
    </w:p>
    <w:p>
      <w:pPr>
        <w:spacing w:after="120" w:line="259" w:lineRule="auto"/>
      </w:pPr>
      <w:r>
        <w:rPr>
          <w:b w:val="0"/>
        </w:rPr>
        <w:t>Entro il mese di maggio di ogni anno verranno consuntivati i risultati definitivi ottenuti nell'anno precedente. Eventuali momenti di verifica potranno essere altresì previsti nel corso dell'anno, su istanza di una delle parti, onde esaminare l'andamento delle performance aziendali, con specifico riferimento ai fattori utilizzati per il calcolo del Premio di Risultato.</w:t>
      </w:r>
    </w:p>
    <w:p>
      <w:pPr>
        <w:pStyle w:val="Heading1"/>
        <w:jc w:val="left"/>
      </w:pPr>
      <w:r>
        <w:t>4. Maturazione del Premio</w:t>
      </w:r>
    </w:p>
    <w:p>
      <w:pPr>
        <w:spacing w:after="120" w:line="259" w:lineRule="auto"/>
      </w:pPr>
      <w:r>
        <w:rPr>
          <w:b w:val="0"/>
        </w:rPr>
        <w:t>La maturazione del premio è fissata dal 1 gennaio al 31 dicembre di ogni anno di riferimento e viene rapportata ai mesi di effettiva prestazione lavorativa.</w:t>
      </w:r>
    </w:p>
    <w:p>
      <w:pPr>
        <w:spacing w:after="120" w:line="259" w:lineRule="auto"/>
      </w:pPr>
      <w:r>
        <w:rPr>
          <w:b w:val="0"/>
        </w:rPr>
        <w:t>Non sono previsti taciti rinnovi.</w:t>
      </w:r>
    </w:p>
    <w:p>
      <w:pPr>
        <w:pStyle w:val="Heading1"/>
        <w:jc w:val="left"/>
      </w:pPr>
      <w:r>
        <w:t>5. Pagamento del Premio</w:t>
      </w:r>
    </w:p>
    <w:p>
      <w:pPr>
        <w:spacing w:after="120" w:line="259" w:lineRule="auto"/>
      </w:pPr>
      <w:r>
        <w:rPr>
          <w:b w:val="0"/>
        </w:rPr>
        <w:t>L'erogazione avverrà, per ciascun anno, successivo a quello di maturazione, in base alla consuntivazione dei risultati raggiunti nell'anno precedente e in presenza del raggiungimento degli obiettivi prefissati.</w:t>
      </w:r>
    </w:p>
    <w:p>
      <w:pPr>
        <w:spacing w:after="120" w:line="259" w:lineRule="auto"/>
      </w:pPr>
      <w:r>
        <w:rPr>
          <w:b w:val="0"/>
        </w:rPr>
        <w:t>Il personale con contratto di lavoro part-time percepirà una quota proporzionata alla percentuale dell'orario di lavoro previsto dal contratto.</w:t>
      </w:r>
    </w:p>
    <w:p>
      <w:pPr>
        <w:spacing w:after="120" w:line="259" w:lineRule="auto"/>
      </w:pPr>
      <w:r>
        <w:rPr>
          <w:b w:val="0"/>
        </w:rPr>
        <w:t>Il personale che nel corso dell'anno dovesse rassegnare le dimissioni o venisse allontanato per motivi di giusta causa non avrà diritto alla maturazione del Premio.</w:t>
      </w:r>
    </w:p>
    <w:p>
      <w:pPr>
        <w:spacing w:after="120" w:line="259" w:lineRule="auto"/>
      </w:pPr>
      <w:r>
        <w:rPr>
          <w:b w:val="0"/>
        </w:rPr>
        <w:t>L'erogazione per coloro che non opteranno nella conversione in Welfare avverrà come segue:</w:t>
      </w:r>
    </w:p>
    <w:p>
      <w:pPr>
        <w:spacing w:after="120" w:line="259" w:lineRule="auto"/>
      </w:pPr>
      <w:r>
        <w:rPr>
          <w:b w:val="0"/>
        </w:rPr>
        <w:t>a) erogazione del 50% in LUL di giugno;</w:t>
      </w:r>
    </w:p>
    <w:p>
      <w:pPr>
        <w:spacing w:after="120" w:line="259" w:lineRule="auto"/>
      </w:pPr>
      <w:r>
        <w:rPr>
          <w:b w:val="0"/>
        </w:rPr>
        <w:t>b) erogazione del 50% in LUL di agosto.</w:t>
      </w:r>
    </w:p>
    <w:p>
      <w:pPr>
        <w:pStyle w:val="Heading1"/>
        <w:jc w:val="left"/>
      </w:pPr>
      <w:r>
        <w:t>6. Decontribuzione, deposito e dichiarazione di conformità</w:t>
      </w:r>
    </w:p>
    <w:p>
      <w:pPr>
        <w:spacing w:after="120" w:line="259" w:lineRule="auto"/>
      </w:pPr>
      <w:r>
        <w:rPr>
          <w:b w:val="0"/>
        </w:rPr>
        <w:t>Conformemente a quanto previsto dall'art. 1, co. 182 e ss., Legge 28 dicembre 2018 n. 208 e successive, nei limiti e secondo le modalità disciplinate dalle medesime disposizioni normative, le somme erogate al dipendente a titolo di "Premio di Risultato" così come disciplinato dall'art. 2 del presente accordo, saranno soggette ad un'imposta sostitutiva dell'imposta sul reddito delle persone fisiche e delle addizionali regionali e comunali.</w:t>
      </w:r>
    </w:p>
    <w:p>
      <w:pPr>
        <w:spacing w:after="120" w:line="259" w:lineRule="auto"/>
      </w:pPr>
      <w:r>
        <w:rPr>
          <w:b w:val="0"/>
        </w:rPr>
        <w:t>Nel rispetto delle disposizioni di cui al co. 86 del medesimo art. 1, l'imposta sostitutiva trova applicazione con esclusivo riferimento ai dipendenti titolari di reddito di lavoro dipendente di importo non superiore, nell'anno che quello di percezione dei premi di risultato come sopra definito, a euro 80.000,00.</w:t>
      </w:r>
    </w:p>
    <w:p>
      <w:pPr>
        <w:spacing w:after="120" w:line="259" w:lineRule="auto"/>
      </w:pPr>
      <w:r>
        <w:rPr>
          <w:b w:val="0"/>
        </w:rPr>
        <w:t>Le parti concordano inoltre che il deposito del presente accordo sarà a cura dell'azienda.</w:t>
      </w:r>
    </w:p>
    <w:p>
      <w:pPr>
        <w:pStyle w:val="Heading1"/>
        <w:jc w:val="left"/>
      </w:pPr>
      <w:r>
        <w:t>7. Scelta di conversione in Welfare e relativo incentivo</w:t>
      </w:r>
    </w:p>
    <w:p>
      <w:pPr>
        <w:spacing w:after="120" w:line="259" w:lineRule="auto"/>
      </w:pPr>
      <w:r>
        <w:rPr>
          <w:b w:val="0"/>
        </w:rPr>
        <w:t>Ogni lavoratore può scegliere a mezzo modulo di ricevere l'erogazione del PDR in LUL con applicazione degli istituti contributivi e fiscali in vigore nel periodo di erogazione oppure potrà decidere di utilizzare gli importi spettanti nella Piattaforma Welfare messa a disposizione dall'azienda.</w:t>
      </w:r>
    </w:p>
    <w:p>
      <w:pPr>
        <w:spacing w:after="120" w:line="259" w:lineRule="auto"/>
      </w:pPr>
      <w:r>
        <w:rPr>
          <w:b w:val="0"/>
        </w:rPr>
        <w:t>Il dipendente potrà quindi convertire le somme spettanti in beni e servizi di cui all'art. 51 commi 2 lettere d-bis, f, f-bis e f-ter e comma 3, come previsto dal comma 184 della Legge 208/2016 e successive modifiche ed integrazioni.</w:t>
      </w:r>
    </w:p>
    <w:p>
      <w:pPr>
        <w:spacing w:after="120" w:line="259" w:lineRule="auto"/>
      </w:pPr>
      <w:r>
        <w:rPr>
          <w:b w:val="0"/>
        </w:rPr>
        <w:t>L'azienda fornirà tutte le indicazioni necessarie per l'utilizzo della Piattaforma Welfare con apposite sessioni di formazioni.</w:t>
      </w:r>
    </w:p>
    <w:p>
      <w:pPr>
        <w:spacing w:after="120" w:line="259" w:lineRule="auto"/>
      </w:pPr>
      <w:r>
        <w:rPr>
          <w:b w:val="0"/>
        </w:rPr>
        <w:t>A tutti coloro che decideranno di convertire il 100% degli importi spettanti del PDR in Welfare, l'azienda riconoscerà un incentivo, sotto forma di Welfare, pari al 10% del PDR spettante utilizzabile in Welfare.</w:t>
      </w:r>
    </w:p>
    <w:p>
      <w:pPr>
        <w:pStyle w:val="Heading1"/>
        <w:jc w:val="left"/>
      </w:pPr>
      <w:r>
        <w:t>8. Importo massimo erogabile</w:t>
      </w:r>
    </w:p>
    <w:p>
      <w:pPr>
        <w:spacing w:after="120" w:line="259" w:lineRule="auto"/>
      </w:pPr>
      <w:r>
        <w:rPr>
          <w:b w:val="0"/>
        </w:rPr>
        <w:t>L'importo massimo erogabile del premio, al raggiungimento dei target sopra indicati, ammonta ad euro 1.800,00 (punto 1, tabelle n. 1-2-3).</w:t>
      </w:r>
    </w:p>
    <w:p>
      <w:pPr>
        <w:spacing w:after="120" w:line="259" w:lineRule="auto"/>
      </w:pPr>
      <w:r>
        <w:rPr>
          <w:b w:val="0"/>
        </w:rPr>
        <w:t>Gli importi afferenti al Premio di Risultato ed ai correttivi dello stesso sono da considerarsi al lordo delle ritenute previdenziali e fiscali in vigore nel periodo di erogazione dello stesso.</w:t>
      </w:r>
    </w:p>
    <w:p>
      <w:pPr>
        <w:pStyle w:val="Heading1"/>
        <w:jc w:val="left"/>
      </w:pPr>
      <w:r>
        <w:t>9. Coinvolgimento paritetico dei lavoratori</w:t>
      </w:r>
    </w:p>
    <w:p>
      <w:pPr>
        <w:spacing w:after="120" w:line="259" w:lineRule="auto"/>
      </w:pPr>
      <w:r>
        <w:rPr>
          <w:b w:val="0"/>
        </w:rPr>
        <w:t>L'azienda informerà mensilmente il personale esponendo sulle bacheche aziendali apposita comunicazione dell'andamento degli indici che verranno monitorati mediante la costituzione di una "Commissione PDP" composta di due membri paritetici per la consultazione e monitoraggio degli obiettivi, finalizzata alla verifica delle attività svolte e dei risultati raggiunti, e ove necessario, per l'inserimento di azioni correttive per il raggiungimento dei risultati utili ai fini della determinazione del premio di risultato.</w:t>
      </w:r>
    </w:p>
    <w:p>
      <w:pPr>
        <w:pStyle w:val="Heading1"/>
        <w:jc w:val="left"/>
      </w:pPr>
      <w:r>
        <w:t>10. Onnicomprensività</w:t>
      </w:r>
    </w:p>
    <w:p>
      <w:pPr>
        <w:spacing w:after="120" w:line="259" w:lineRule="auto"/>
      </w:pPr>
      <w:r>
        <w:rPr>
          <w:b w:val="0"/>
        </w:rPr>
        <w:t>Le parti hanno inteso definire l'importo del premio di partecipazione in senso onnicomprensivo, poiché in sede di quantificazione si è tenuto conto di qualsiasi incidenza; pertanto detto premio non avrà riflesso alcuno sugli altri istituti contrattuali e/o di legge, diretti e/o indiretti di alcun genere.</w:t>
      </w:r>
    </w:p>
    <w:p>
      <w:pPr>
        <w:spacing w:after="120" w:line="259" w:lineRule="auto"/>
      </w:pPr>
      <w:r>
        <w:rPr>
          <w:b w:val="0"/>
        </w:rPr>
        <w:t>Le parti si danno inoltre atto che l'importo del Premio è escluso dal computo del TFR.</w:t>
      </w:r>
    </w:p>
    <w:p>
      <w:pPr>
        <w:spacing w:after="120" w:line="259" w:lineRule="auto"/>
      </w:pPr>
      <w:r>
        <w:rPr>
          <w:b w:val="0"/>
        </w:rPr>
        <w:t>Gli importi afferenti al Premio di Risultato ed ai correttivi dello stesso sono da considerarsi al lordo delle ritenute previdenziali e fiscali in vigore nel periodo di erogazione dello stesso.</w:t>
      </w:r>
    </w:p>
    <w:p>
      <w:pPr>
        <w:pStyle w:val="Heading1"/>
        <w:jc w:val="left"/>
      </w:pPr>
      <w:r>
        <w:t>11. Riservatezza</w:t>
      </w:r>
    </w:p>
    <w:p>
      <w:pPr>
        <w:spacing w:after="120" w:line="259" w:lineRule="auto"/>
      </w:pPr>
      <w:r>
        <w:rPr>
          <w:b w:val="0"/>
        </w:rPr>
        <w:t>Le organizzazioni sindacali si impegnano a mantenere il segreto ai sensi delle norme penali e civili vigenti in materia, su tutte le informazioni e notizie ricevute che nel corso delle riunioni verranno qualificate dall'azienda come riservate.</w:t>
      </w:r>
    </w:p>
    <w:p>
      <w:pPr>
        <w:spacing w:after="120" w:line="259" w:lineRule="auto"/>
      </w:pPr>
      <w:r>
        <w:rPr>
          <w:b w:val="0"/>
        </w:rPr>
        <w:t>Letto, confermato e sottoscritto.</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2F3"/>
          </w:tcPr>
          <w:p>
            <w:r>
              <w:rPr>
                <w:b/>
              </w:rPr>
              <w:t>Sitem S.p.a.</w:t>
            </w:r>
          </w:p>
        </w:tc>
        <w:tc>
          <w:tcPr>
            <w:tcW w:type="dxa" w:w="4986"/>
            <w:vAlign w:val="center"/>
            <w:shd w:fill="D9E2F3"/>
          </w:tcPr>
          <w:p>
            <w:r>
              <w:rPr>
                <w:b/>
              </w:rPr>
              <w:t>FIOM-CGIL</w:t>
            </w:r>
          </w:p>
        </w:tc>
      </w:tr>
      <w:tr>
        <w:tc>
          <w:tcPr>
            <w:tcW w:type="dxa" w:w="4986"/>
            <w:vAlign w:val="center"/>
          </w:tcPr>
          <w:p>
            <w:r>
              <w:rPr>
                <w:b w:val="0"/>
              </w:rPr>
              <w:t>............................................................</w:t>
            </w:r>
          </w:p>
        </w:tc>
        <w:tc>
          <w:tcPr>
            <w:tcW w:type="dxa" w:w="4986"/>
            <w:vAlign w:val="center"/>
          </w:tcPr>
          <w:p>
            <w:r>
              <w:rPr>
                <w:b w:val="0"/>
              </w:rPr>
              <w:t>............................................................</w:t>
            </w:r>
          </w:p>
        </w:tc>
      </w:tr>
      <w:tr>
        <w:tc>
          <w:tcPr>
            <w:tcW w:type="dxa" w:w="4986"/>
            <w:vAlign w:val="center"/>
          </w:tcPr>
          <w:p>
            <w:r>
              <w:rPr>
                <w:b w:val="0"/>
              </w:rPr>
              <w:t>............................................................</w:t>
            </w:r>
          </w:p>
        </w:tc>
        <w:tc>
          <w:tcPr>
            <w:tcW w:type="dxa" w:w="4986"/>
            <w:vAlign w:val="center"/>
          </w:tcPr>
          <w:p>
            <w:r>
              <w:rPr>
                <w:b w:val="0"/>
              </w:rPr>
            </w:r>
          </w:p>
        </w:tc>
      </w:tr>
      <w:tr>
        <w:tc>
          <w:tcPr>
            <w:tcW w:type="dxa" w:w="4986"/>
            <w:vAlign w:val="center"/>
          </w:tcPr>
          <w:p>
            <w:r>
              <w:rPr>
                <w:b w:val="0"/>
              </w:rPr>
              <w:t>............................................................</w:t>
            </w:r>
          </w:p>
        </w:tc>
        <w:tc>
          <w:tcPr>
            <w:tcW w:type="dxa" w:w="4986"/>
            <w:vAlign w:val="center"/>
          </w:tcPr>
          <w:p>
            <w:r>
              <w:rPr>
                <w:b w:val="0"/>
              </w:rPr>
            </w:r>
          </w:p>
        </w:tc>
      </w:tr>
    </w:tbl>
    <w:p/>
    <w:tbl>
      <w:tblPr>
        <w:tblStyle w:val="TableGrid"/>
        <w:tblW w:type="auto" w:w="0"/>
        <w:jc w:val="center"/>
        <w:tblLook w:firstColumn="1" w:firstRow="1" w:lastColumn="0" w:lastRow="0" w:noHBand="0" w:noVBand="1" w:val="04A0"/>
      </w:tblPr>
      <w:tblGrid>
        <w:gridCol w:w="9972"/>
      </w:tblGrid>
      <w:tr>
        <w:tc>
          <w:tcPr>
            <w:tcW w:type="dxa" w:w="9972"/>
            <w:vAlign w:val="center"/>
            <w:shd w:fill="D9E2F3"/>
          </w:tcPr>
          <w:p>
            <w:r>
              <w:rPr>
                <w:b/>
              </w:rPr>
              <w:t>R.S.U.</w:t>
            </w:r>
          </w:p>
        </w:tc>
      </w:tr>
      <w:tr>
        <w:tc>
          <w:tcPr>
            <w:tcW w:type="dxa" w:w="9972"/>
            <w:vAlign w:val="center"/>
          </w:tcPr>
          <w:p>
            <w:r>
              <w:rPr>
                <w:b w:val="0"/>
              </w:rPr>
              <w:t>............................................................</w:t>
            </w:r>
          </w:p>
        </w:tc>
      </w:tr>
      <w:tr>
        <w:tc>
          <w:tcPr>
            <w:tcW w:type="dxa" w:w="9972"/>
            <w:vAlign w:val="center"/>
          </w:tcPr>
          <w:p>
            <w:r>
              <w:rPr>
                <w:b w:val="0"/>
              </w:rPr>
              <w:t>............................................................</w:t>
            </w:r>
          </w:p>
        </w:tc>
      </w:tr>
      <w:tr>
        <w:tc>
          <w:tcPr>
            <w:tcW w:type="dxa" w:w="9972"/>
            <w:vAlign w:val="center"/>
          </w:tcPr>
          <w:p>
            <w:r>
              <w:rPr>
                <w:b w:val="0"/>
              </w:rPr>
              <w:t>............................................................</w:t>
            </w:r>
          </w:p>
        </w:tc>
      </w:tr>
    </w:tbl>
    <w:p/>
    <w:p>
      <w:pPr>
        <w:pStyle w:val="Heading1"/>
        <w:jc w:val="left"/>
      </w:pPr>
      <w:r>
        <w:t>Note di trascrizione da verificare sull'originale</w:t>
      </w:r>
    </w:p>
    <w:p>
      <w:pPr>
        <w:spacing w:after="120" w:line="259" w:lineRule="auto"/>
      </w:pPr>
      <w:r>
        <w:rPr>
          <w:b w:val="0"/>
        </w:rPr>
        <w:t>Le annotazioni manoscritte presenti sulle fotografie non sono state incorporate nel testo dell'accordo.</w:t>
      </w:r>
    </w:p>
    <w:p>
      <w:pPr>
        <w:spacing w:after="120" w:line="259" w:lineRule="auto"/>
      </w:pPr>
      <w:r>
        <w:rPr>
          <w:b w:val="0"/>
        </w:rPr>
        <w:t>I seguenti punti risultano leggibili ma potrebbero contenere refusi già presenti nella bozza fotografata:</w:t>
      </w:r>
    </w:p>
    <w:p>
      <w:pPr>
        <w:spacing w:after="120" w:line="259" w:lineRule="auto"/>
      </w:pPr>
      <w:r>
        <w:rPr>
          <w:b w:val="0"/>
        </w:rPr>
        <w:t>1. nel punto 6 compare "Legge 28 dicembre 2018 n. 208"; il richiamo potrebbe essere da verificare rispetto alla legge n. 208/2015;</w:t>
      </w:r>
    </w:p>
    <w:p>
      <w:pPr>
        <w:spacing w:after="120" w:line="259" w:lineRule="auto"/>
      </w:pPr>
      <w:r>
        <w:rPr>
          <w:b w:val="0"/>
        </w:rPr>
        <w:t>2. nel medesimo punto compare il riferimento al "co. 86", da verificare sull'originale;</w:t>
      </w:r>
    </w:p>
    <w:p>
      <w:pPr>
        <w:spacing w:after="120" w:line="259" w:lineRule="auto"/>
      </w:pPr>
      <w:r>
        <w:rPr>
          <w:b w:val="0"/>
        </w:rPr>
        <w:t>3. nel punto 7 compare "Legge 208/2016", da verificare rispetto agli altri richiami presenti nel documento;</w:t>
      </w:r>
    </w:p>
    <w:p>
      <w:pPr>
        <w:spacing w:after="120" w:line="259" w:lineRule="auto"/>
      </w:pPr>
      <w:r>
        <w:rPr>
          <w:b w:val="0"/>
        </w:rPr>
        <w:t>4. nel punto 9 la fotografia sembra riportare "Commissione PDP"; verificare se la denominazione voluta fosse "Commissione PDR";</w:t>
      </w:r>
    </w:p>
    <w:p>
      <w:pPr>
        <w:spacing w:after="120" w:line="259" w:lineRule="auto"/>
      </w:pPr>
      <w:r>
        <w:rPr>
          <w:b w:val="0"/>
        </w:rPr>
        <w:t>5. nel correttivo presenza compare il riferimento sintetico "L. 151", il cui significato deve essere precisato;</w:t>
      </w:r>
    </w:p>
    <w:p>
      <w:pPr>
        <w:spacing w:after="120" w:line="259" w:lineRule="auto"/>
      </w:pPr>
      <w:r>
        <w:rPr>
          <w:b w:val="0"/>
        </w:rPr>
        <w:t>6. la formula risultante dalle tre tabelle può raggiungere matematicamente 1.820 euro, mentre il punto 8 indica un massimo di 1.800 euro: occorre chiarire se operi un tetto assoluto.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