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PDR Sitem 2026–2029 – Modello con Gain Sharing</w:t>
      </w:r>
    </w:p>
    <w:p>
      <w:pPr>
        <w:jc w:val="center"/>
      </w:pPr>
      <w:r>
        <w:rPr>
          <w:b/>
          <w:color w:val="1F4E79"/>
        </w:rPr>
        <w:t>Performance fino a € 1.260 + Gain Sharing fino a € 540</w:t>
      </w:r>
    </w:p>
    <w:p>
      <w:r>
        <w:t>Bozza completa per assemblea e confronto negoziale. I dati fotografici sono indicativi e devono essere sostituiti dai dati ufficiali prima della sottoscrizione.</w:t>
      </w:r>
    </w:p>
    <w:p>
      <w:pPr>
        <w:pStyle w:val="Heading1"/>
      </w:pPr>
      <w:r>
        <w:t>1. Come funziona</w:t>
      </w:r>
    </w:p>
    <w:p>
      <w:r>
        <w:t>Il premio è composto da una quota Performance e da una quota Gain Sharing. La prima misura i risultati industriali ordinari; la seconda distribuisce una parte del beneficio economico aggiuntivo realmente generato e verificato.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3400"/>
          </w:tcPr>
          <w:p>
            <w:r>
              <w:rPr>
                <w:b/>
              </w:rPr>
              <w:t>Valore obiettivo</w:t>
            </w:r>
          </w:p>
        </w:tc>
        <w:tc>
          <w:tcPr>
            <w:tcW w:type="dxa" w:w="3400"/>
          </w:tcPr>
          <w:p>
            <w:r>
              <w:rPr>
                <w:b/>
              </w:rPr>
              <w:t>Massimo</w:t>
            </w:r>
          </w:p>
        </w:tc>
      </w:tr>
      <w:tr>
        <w:tc>
          <w:tcPr>
            <w:tcW w:type="dxa" w:w="3400"/>
          </w:tcPr>
          <w:p>
            <w:r>
              <w:t>A – Performance</w:t>
            </w:r>
          </w:p>
        </w:tc>
        <w:tc>
          <w:tcPr>
            <w:tcW w:type="dxa" w:w="3400"/>
          </w:tcPr>
          <w:p>
            <w:r>
              <w:t>€ 1.050</w:t>
            </w:r>
          </w:p>
        </w:tc>
        <w:tc>
          <w:tcPr>
            <w:tcW w:type="dxa" w:w="3400"/>
          </w:tcPr>
          <w:p>
            <w:r>
              <w:t>€ 1.260</w:t>
            </w:r>
          </w:p>
        </w:tc>
      </w:tr>
      <w:tr>
        <w:tc>
          <w:tcPr>
            <w:tcW w:type="dxa" w:w="3400"/>
          </w:tcPr>
          <w:p>
            <w:r>
              <w:t>B – Gain Sharing</w:t>
            </w:r>
          </w:p>
        </w:tc>
        <w:tc>
          <w:tcPr>
            <w:tcW w:type="dxa" w:w="3400"/>
          </w:tcPr>
          <w:p>
            <w:r>
              <w:t>€ 450</w:t>
            </w:r>
          </w:p>
        </w:tc>
        <w:tc>
          <w:tcPr>
            <w:tcW w:type="dxa" w:w="3400"/>
          </w:tcPr>
          <w:p>
            <w:r>
              <w:t>€ 540</w:t>
            </w:r>
          </w:p>
        </w:tc>
      </w:tr>
      <w:tr>
        <w:tc>
          <w:tcPr>
            <w:tcW w:type="dxa" w:w="3400"/>
          </w:tcPr>
          <w:p>
            <w:r>
              <w:t>Totale</w:t>
            </w:r>
          </w:p>
        </w:tc>
        <w:tc>
          <w:tcPr>
            <w:tcW w:type="dxa" w:w="3400"/>
          </w:tcPr>
          <w:p>
            <w:r>
              <w:t>€ 1.500</w:t>
            </w:r>
          </w:p>
        </w:tc>
        <w:tc>
          <w:tcPr>
            <w:tcW w:type="dxa" w:w="3400"/>
          </w:tcPr>
          <w:p>
            <w:r>
              <w:t>€ 1.800</w:t>
            </w:r>
          </w:p>
        </w:tc>
      </w:tr>
    </w:tbl>
    <w:p/>
    <w:p>
      <w:pPr>
        <w:pStyle w:val="Heading1"/>
      </w:pPr>
      <w:r>
        <w:t>2. Quota A –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KPI</w:t>
            </w:r>
          </w:p>
        </w:tc>
        <w:tc>
          <w:tcPr>
            <w:tcW w:type="dxa" w:w="3400"/>
          </w:tcPr>
          <w:p>
            <w:r>
              <w:rPr>
                <w:b/>
              </w:rPr>
              <w:t>Peso interno</w:t>
            </w:r>
          </w:p>
        </w:tc>
        <w:tc>
          <w:tcPr>
            <w:tcW w:type="dxa" w:w="3400"/>
          </w:tcPr>
          <w:p>
            <w:r>
              <w:rPr>
                <w:b/>
              </w:rPr>
              <w:t>Quota target</w:t>
            </w:r>
          </w:p>
        </w:tc>
      </w:tr>
      <w:tr>
        <w:tc>
          <w:tcPr>
            <w:tcW w:type="dxa" w:w="3400"/>
          </w:tcPr>
          <w:p>
            <w:r>
              <w:t>E – Efficienza</w:t>
            </w:r>
          </w:p>
        </w:tc>
        <w:tc>
          <w:tcPr>
            <w:tcW w:type="dxa" w:w="3400"/>
          </w:tcPr>
          <w:p>
            <w:r>
              <w:t>50%</w:t>
            </w:r>
          </w:p>
        </w:tc>
        <w:tc>
          <w:tcPr>
            <w:tcW w:type="dxa" w:w="3400"/>
          </w:tcPr>
          <w:p>
            <w:r>
              <w:t>€ 525</w:t>
            </w:r>
          </w:p>
        </w:tc>
      </w:tr>
      <w:tr>
        <w:tc>
          <w:tcPr>
            <w:tcW w:type="dxa" w:w="3400"/>
          </w:tcPr>
          <w:p>
            <w:r>
              <w:t>Q – Qualità e competenze</w:t>
            </w:r>
          </w:p>
        </w:tc>
        <w:tc>
          <w:tcPr>
            <w:tcW w:type="dxa" w:w="3400"/>
          </w:tcPr>
          <w:p>
            <w:r>
              <w:t>30%</w:t>
            </w:r>
          </w:p>
        </w:tc>
        <w:tc>
          <w:tcPr>
            <w:tcW w:type="dxa" w:w="3400"/>
          </w:tcPr>
          <w:p>
            <w:r>
              <w:t>€ 315</w:t>
            </w:r>
          </w:p>
        </w:tc>
      </w:tr>
      <w:tr>
        <w:tc>
          <w:tcPr>
            <w:tcW w:type="dxa" w:w="3400"/>
          </w:tcPr>
          <w:p>
            <w:r>
              <w:t>F – Andamento economico</w:t>
            </w:r>
          </w:p>
        </w:tc>
        <w:tc>
          <w:tcPr>
            <w:tcW w:type="dxa" w:w="3400"/>
          </w:tcPr>
          <w:p>
            <w:r>
              <w:t>20%</w:t>
            </w:r>
          </w:p>
        </w:tc>
        <w:tc>
          <w:tcPr>
            <w:tcW w:type="dxa" w:w="3400"/>
          </w:tcPr>
          <w:p>
            <w:r>
              <w:t>€ 210</w:t>
            </w:r>
          </w:p>
        </w:tc>
      </w:tr>
    </w:tbl>
    <w:p/>
    <w:p>
      <w:r>
        <w:t>Performance = € 1.050 × [(0,50×E) + (0,30×Q) + (0,20×F)]. Coefficienti da 0 a 1,20 secondo le scale concordate.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>
              <w:rPr>
                <w:b/>
              </w:rPr>
              <w:t>Livello</w:t>
            </w:r>
          </w:p>
        </w:tc>
        <w:tc>
          <w:tcPr>
            <w:tcW w:type="dxa" w:w="2550"/>
          </w:tcPr>
          <w:p>
            <w:r>
              <w:rPr>
                <w:b/>
              </w:rPr>
              <w:t>E</w:t>
            </w:r>
          </w:p>
        </w:tc>
        <w:tc>
          <w:tcPr>
            <w:tcW w:type="dxa" w:w="2550"/>
          </w:tcPr>
          <w:p>
            <w:r>
              <w:rPr>
                <w:b/>
              </w:rPr>
              <w:t>Q</w:t>
            </w:r>
          </w:p>
        </w:tc>
        <w:tc>
          <w:tcPr>
            <w:tcW w:type="dxa" w:w="2550"/>
          </w:tcPr>
          <w:p>
            <w:r>
              <w:rPr>
                <w:b/>
              </w:rPr>
              <w:t>F</w:t>
            </w:r>
          </w:p>
        </w:tc>
      </w:tr>
      <w:tr>
        <w:tc>
          <w:tcPr>
            <w:tcW w:type="dxa" w:w="2550"/>
          </w:tcPr>
          <w:p>
            <w:r>
              <w:t>Minimo/forte peggioramento</w:t>
            </w:r>
          </w:p>
        </w:tc>
        <w:tc>
          <w:tcPr>
            <w:tcW w:type="dxa" w:w="2550"/>
          </w:tcPr>
          <w:p>
            <w:r>
              <w:t>0,50</w:t>
            </w:r>
          </w:p>
        </w:tc>
        <w:tc>
          <w:tcPr>
            <w:tcW w:type="dxa" w:w="2550"/>
          </w:tcPr>
          <w:p>
            <w:r>
              <w:t>0,50</w:t>
            </w:r>
          </w:p>
        </w:tc>
        <w:tc>
          <w:tcPr>
            <w:tcW w:type="dxa" w:w="2550"/>
          </w:tcPr>
          <w:p>
            <w:r>
              <w:t>0,00</w:t>
            </w:r>
          </w:p>
        </w:tc>
      </w:tr>
      <w:tr>
        <w:tc>
          <w:tcPr>
            <w:tcW w:type="dxa" w:w="2550"/>
          </w:tcPr>
          <w:p>
            <w:r>
              <w:t>Sotto target</w:t>
            </w:r>
          </w:p>
        </w:tc>
        <w:tc>
          <w:tcPr>
            <w:tcW w:type="dxa" w:w="2550"/>
          </w:tcPr>
          <w:p>
            <w:r>
              <w:t>0,75</w:t>
            </w:r>
          </w:p>
        </w:tc>
        <w:tc>
          <w:tcPr>
            <w:tcW w:type="dxa" w:w="2550"/>
          </w:tcPr>
          <w:p>
            <w:r>
              <w:t>0,80</w:t>
            </w:r>
          </w:p>
        </w:tc>
        <w:tc>
          <w:tcPr>
            <w:tcW w:type="dxa" w:w="2550"/>
          </w:tcPr>
          <w:p>
            <w:r>
              <w:t>0,50</w:t>
            </w:r>
          </w:p>
        </w:tc>
      </w:tr>
      <w:tr>
        <w:tc>
          <w:tcPr>
            <w:tcW w:type="dxa" w:w="2550"/>
          </w:tcPr>
          <w:p>
            <w:r>
              <w:t>Target</w:t>
            </w:r>
          </w:p>
        </w:tc>
        <w:tc>
          <w:tcPr>
            <w:tcW w:type="dxa" w:w="2550"/>
          </w:tcPr>
          <w:p>
            <w:r>
              <w:t>1,00</w:t>
            </w:r>
          </w:p>
        </w:tc>
        <w:tc>
          <w:tcPr>
            <w:tcW w:type="dxa" w:w="2550"/>
          </w:tcPr>
          <w:p>
            <w:r>
              <w:t>1,00</w:t>
            </w:r>
          </w:p>
        </w:tc>
        <w:tc>
          <w:tcPr>
            <w:tcW w:type="dxa" w:w="2550"/>
          </w:tcPr>
          <w:p>
            <w:r>
              <w:t>1,00</w:t>
            </w:r>
          </w:p>
        </w:tc>
      </w:tr>
      <w:tr>
        <w:tc>
          <w:tcPr>
            <w:tcW w:type="dxa" w:w="2550"/>
          </w:tcPr>
          <w:p>
            <w:r>
              <w:t>Miglioramento</w:t>
            </w:r>
          </w:p>
        </w:tc>
        <w:tc>
          <w:tcPr>
            <w:tcW w:type="dxa" w:w="2550"/>
          </w:tcPr>
          <w:p>
            <w:r>
              <w:t>1,10</w:t>
            </w:r>
          </w:p>
        </w:tc>
        <w:tc>
          <w:tcPr>
            <w:tcW w:type="dxa" w:w="2550"/>
          </w:tcPr>
          <w:p>
            <w:r>
              <w:t>1,10</w:t>
            </w:r>
          </w:p>
        </w:tc>
        <w:tc>
          <w:tcPr>
            <w:tcW w:type="dxa" w:w="2550"/>
          </w:tcPr>
          <w:p>
            <w:r>
              <w:t>1,10</w:t>
            </w:r>
          </w:p>
        </w:tc>
      </w:tr>
      <w:tr>
        <w:tc>
          <w:tcPr>
            <w:tcW w:type="dxa" w:w="2550"/>
          </w:tcPr>
          <w:p>
            <w:r>
              <w:t>Massimo</w:t>
            </w:r>
          </w:p>
        </w:tc>
        <w:tc>
          <w:tcPr>
            <w:tcW w:type="dxa" w:w="2550"/>
          </w:tcPr>
          <w:p>
            <w:r>
              <w:t>1,20</w:t>
            </w:r>
          </w:p>
        </w:tc>
        <w:tc>
          <w:tcPr>
            <w:tcW w:type="dxa" w:w="2550"/>
          </w:tcPr>
          <w:p>
            <w:r>
              <w:t>1,20</w:t>
            </w:r>
          </w:p>
        </w:tc>
        <w:tc>
          <w:tcPr>
            <w:tcW w:type="dxa" w:w="2550"/>
          </w:tcPr>
          <w:p>
            <w:r>
              <w:t>1,20</w:t>
            </w:r>
          </w:p>
        </w:tc>
      </w:tr>
    </w:tbl>
    <w:p/>
    <w:p>
      <w:pPr>
        <w:pStyle w:val="Heading1"/>
      </w:pPr>
      <w:r>
        <w:t>3. Quota B – Gain Sharing</w:t>
      </w:r>
    </w:p>
    <w:p>
      <w:r>
        <w:t>Gain individuale = min[(beneficio economico netto verificato × 25%) / lavoratori equivalenti aventi diritto; € 540]. Il beneficio è calcolato rispetto a una baseline omogenea e al netto dei costi sostenuti per produrlo.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Beneficio</w:t>
            </w:r>
          </w:p>
        </w:tc>
        <w:tc>
          <w:tcPr>
            <w:tcW w:type="dxa" w:w="3400"/>
          </w:tcPr>
          <w:p>
            <w:r>
              <w:rPr>
                <w:b/>
              </w:rPr>
              <w:t>Misura fisica</w:t>
            </w:r>
          </w:p>
        </w:tc>
        <w:tc>
          <w:tcPr>
            <w:tcW w:type="dxa" w:w="3400"/>
          </w:tcPr>
          <w:p>
            <w:r>
              <w:rPr>
                <w:b/>
              </w:rPr>
              <w:t>Valorizzazione</w:t>
            </w:r>
          </w:p>
        </w:tc>
      </w:tr>
      <w:tr>
        <w:tc>
          <w:tcPr>
            <w:tcW w:type="dxa" w:w="3400"/>
          </w:tcPr>
          <w:p>
            <w:r>
              <w:t>Scarti evitati</w:t>
            </w:r>
          </w:p>
        </w:tc>
        <w:tc>
          <w:tcPr>
            <w:tcW w:type="dxa" w:w="3400"/>
          </w:tcPr>
          <w:p>
            <w:r>
              <w:t>Kg/pezzi</w:t>
            </w:r>
          </w:p>
        </w:tc>
        <w:tc>
          <w:tcPr>
            <w:tcW w:type="dxa" w:w="3400"/>
          </w:tcPr>
          <w:p>
            <w:r>
              <w:t>Quantità evitata × costo standard</w:t>
            </w:r>
          </w:p>
        </w:tc>
      </w:tr>
      <w:tr>
        <w:tc>
          <w:tcPr>
            <w:tcW w:type="dxa" w:w="3400"/>
          </w:tcPr>
          <w:p>
            <w:r>
              <w:t>Rilavorazioni evitate</w:t>
            </w:r>
          </w:p>
        </w:tc>
        <w:tc>
          <w:tcPr>
            <w:tcW w:type="dxa" w:w="3400"/>
          </w:tcPr>
          <w:p>
            <w:r>
              <w:t>Ore</w:t>
            </w:r>
          </w:p>
        </w:tc>
        <w:tc>
          <w:tcPr>
            <w:tcW w:type="dxa" w:w="3400"/>
          </w:tcPr>
          <w:p>
            <w:r>
              <w:t>Ore evitate × costo orario</w:t>
            </w:r>
          </w:p>
        </w:tc>
      </w:tr>
      <w:tr>
        <w:tc>
          <w:tcPr>
            <w:tcW w:type="dxa" w:w="3400"/>
          </w:tcPr>
          <w:p>
            <w:r>
              <w:t>Fermi evitati</w:t>
            </w:r>
          </w:p>
        </w:tc>
        <w:tc>
          <w:tcPr>
            <w:tcW w:type="dxa" w:w="3400"/>
          </w:tcPr>
          <w:p>
            <w:r>
              <w:t>Ore</w:t>
            </w:r>
          </w:p>
        </w:tc>
        <w:tc>
          <w:tcPr>
            <w:tcW w:type="dxa" w:w="3400"/>
          </w:tcPr>
          <w:p>
            <w:r>
              <w:t>Ore recuperate × margine convenzionale</w:t>
            </w:r>
          </w:p>
        </w:tc>
      </w:tr>
      <w:tr>
        <w:tc>
          <w:tcPr>
            <w:tcW w:type="dxa" w:w="3400"/>
          </w:tcPr>
          <w:p>
            <w:r>
              <w:t>Energia risparmiata</w:t>
            </w:r>
          </w:p>
        </w:tc>
        <w:tc>
          <w:tcPr>
            <w:tcW w:type="dxa" w:w="3400"/>
          </w:tcPr>
          <w:p>
            <w:r>
              <w:t>kWh per kg buono</w:t>
            </w:r>
          </w:p>
        </w:tc>
        <w:tc>
          <w:tcPr>
            <w:tcW w:type="dxa" w:w="3400"/>
          </w:tcPr>
          <w:p>
            <w:r>
              <w:t>Differenza normalizzata × prezzo medio</w:t>
            </w:r>
          </w:p>
        </w:tc>
      </w:tr>
      <w:tr>
        <w:tc>
          <w:tcPr>
            <w:tcW w:type="dxa" w:w="3400"/>
          </w:tcPr>
          <w:p>
            <w:r>
              <w:t>Migliore resa</w:t>
            </w:r>
          </w:p>
        </w:tc>
        <w:tc>
          <w:tcPr>
            <w:tcW w:type="dxa" w:w="3400"/>
          </w:tcPr>
          <w:p>
            <w:r>
              <w:t>Output buono/ore</w:t>
            </w:r>
          </w:p>
        </w:tc>
        <w:tc>
          <w:tcPr>
            <w:tcW w:type="dxa" w:w="3400"/>
          </w:tcPr>
          <w:p>
            <w:r>
              <w:t>Incremento normalizzato × margine concordato</w:t>
            </w:r>
          </w:p>
        </w:tc>
      </w:tr>
    </w:tbl>
    <w:p/>
    <w:p>
      <w:pPr>
        <w:pStyle w:val="ListBullet"/>
      </w:pPr>
      <w:r>
        <w:t>Baseline proposta: media mobile di 12 mesi, corretta per volumi e mix.</w:t>
      </w:r>
    </w:p>
    <w:p>
      <w:pPr>
        <w:pStyle w:val="ListBullet"/>
      </w:pPr>
      <w:r>
        <w:t>Nessun doppio conteggio del medesimo beneficio.</w:t>
      </w:r>
    </w:p>
    <w:p>
      <w:pPr>
        <w:pStyle w:val="ListBullet"/>
      </w:pPr>
      <w:r>
        <w:t>Esclusi risparmi derivanti dal semplice mancato rispetto di obblighi di legge.</w:t>
      </w:r>
    </w:p>
    <w:p>
      <w:pPr>
        <w:pStyle w:val="ListBullet"/>
      </w:pPr>
      <w:r>
        <w:t>Validazione trimestrale e consuntivo paritetico prima del pagamento.</w:t>
      </w:r>
    </w:p>
    <w:p>
      <w:pPr>
        <w:pStyle w:val="Heading1"/>
      </w:pPr>
      <w:r>
        <w:t>4. Quattro esempi completi</w:t>
      </w:r>
    </w:p>
    <w:p>
      <w:pPr>
        <w:pStyle w:val="Heading2"/>
      </w:pPr>
      <w:r>
        <w:t>Esempio minimo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Indicatore</w:t>
            </w:r>
          </w:p>
        </w:tc>
        <w:tc>
          <w:tcPr>
            <w:tcW w:type="dxa" w:w="5100"/>
          </w:tcPr>
          <w:p>
            <w:r>
              <w:rPr>
                <w:b/>
              </w:rPr>
              <w:t>Coefficiente</w:t>
            </w:r>
          </w:p>
        </w:tc>
      </w:tr>
      <w:tr>
        <w:tc>
          <w:tcPr>
            <w:tcW w:type="dxa" w:w="5100"/>
          </w:tcPr>
          <w:p>
            <w:r>
              <w:t>E</w:t>
            </w:r>
          </w:p>
        </w:tc>
        <w:tc>
          <w:tcPr>
            <w:tcW w:type="dxa" w:w="5100"/>
          </w:tcPr>
          <w:p>
            <w:r>
              <w:t>0,50</w:t>
            </w:r>
          </w:p>
        </w:tc>
      </w:tr>
      <w:tr>
        <w:tc>
          <w:tcPr>
            <w:tcW w:type="dxa" w:w="5100"/>
          </w:tcPr>
          <w:p>
            <w:r>
              <w:t>Q</w:t>
            </w:r>
          </w:p>
        </w:tc>
        <w:tc>
          <w:tcPr>
            <w:tcW w:type="dxa" w:w="5100"/>
          </w:tcPr>
          <w:p>
            <w:r>
              <w:t>0,50</w:t>
            </w:r>
          </w:p>
        </w:tc>
      </w:tr>
      <w:tr>
        <w:tc>
          <w:tcPr>
            <w:tcW w:type="dxa" w:w="5100"/>
          </w:tcPr>
          <w:p>
            <w:r>
              <w:t>F</w:t>
            </w:r>
          </w:p>
        </w:tc>
        <w:tc>
          <w:tcPr>
            <w:tcW w:type="dxa" w:w="5100"/>
          </w:tcPr>
          <w:p>
            <w:r>
              <w:t>0,00</w:t>
            </w:r>
          </w:p>
        </w:tc>
      </w:tr>
      <w:tr>
        <w:tc>
          <w:tcPr>
            <w:tcW w:type="dxa" w:w="5100"/>
          </w:tcPr>
          <w:p>
            <w:r>
              <w:t>Beneficio verificato</w:t>
            </w:r>
          </w:p>
        </w:tc>
        <w:tc>
          <w:tcPr>
            <w:tcW w:type="dxa" w:w="5100"/>
          </w:tcPr>
          <w:p>
            <w:r>
              <w:t>€ 0</w:t>
            </w:r>
          </w:p>
        </w:tc>
      </w:tr>
    </w:tbl>
    <w:p/>
    <w:p>
      <w:r>
        <w:t>Calcolo: Performance: 1.050 × 0,40 = 420; Gain: 0</w:t>
      </w:r>
    </w:p>
    <w:p>
      <w:r>
        <w:rPr>
          <w:b/>
        </w:rPr>
        <w:t>Premio risultante: € 500,00 con pavimento negoziale</w:t>
      </w:r>
    </w:p>
    <w:p>
      <w:r>
        <w:t>La formula produrrebbe € 420. Se sono rispettate le condizioni minime dell'accordo, interviene il pavimento di € 500.</w:t>
      </w:r>
    </w:p>
    <w:p>
      <w:pPr>
        <w:pStyle w:val="Heading2"/>
      </w:pPr>
      <w:r>
        <w:t>Esempio intermedio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Indicatore</w:t>
            </w:r>
          </w:p>
        </w:tc>
        <w:tc>
          <w:tcPr>
            <w:tcW w:type="dxa" w:w="5100"/>
          </w:tcPr>
          <w:p>
            <w:r>
              <w:rPr>
                <w:b/>
              </w:rPr>
              <w:t>Coefficiente</w:t>
            </w:r>
          </w:p>
        </w:tc>
      </w:tr>
      <w:tr>
        <w:tc>
          <w:tcPr>
            <w:tcW w:type="dxa" w:w="5100"/>
          </w:tcPr>
          <w:p>
            <w:r>
              <w:t>E</w:t>
            </w:r>
          </w:p>
        </w:tc>
        <w:tc>
          <w:tcPr>
            <w:tcW w:type="dxa" w:w="5100"/>
          </w:tcPr>
          <w:p>
            <w:r>
              <w:t>0,75</w:t>
            </w:r>
          </w:p>
        </w:tc>
      </w:tr>
      <w:tr>
        <w:tc>
          <w:tcPr>
            <w:tcW w:type="dxa" w:w="5100"/>
          </w:tcPr>
          <w:p>
            <w:r>
              <w:t>Q</w:t>
            </w:r>
          </w:p>
        </w:tc>
        <w:tc>
          <w:tcPr>
            <w:tcW w:type="dxa" w:w="5100"/>
          </w:tcPr>
          <w:p>
            <w:r>
              <w:t>0,80</w:t>
            </w:r>
          </w:p>
        </w:tc>
      </w:tr>
      <w:tr>
        <w:tc>
          <w:tcPr>
            <w:tcW w:type="dxa" w:w="5100"/>
          </w:tcPr>
          <w:p>
            <w:r>
              <w:t>F</w:t>
            </w:r>
          </w:p>
        </w:tc>
        <w:tc>
          <w:tcPr>
            <w:tcW w:type="dxa" w:w="5100"/>
          </w:tcPr>
          <w:p>
            <w:r>
              <w:t>0,50</w:t>
            </w:r>
          </w:p>
        </w:tc>
      </w:tr>
      <w:tr>
        <w:tc>
          <w:tcPr>
            <w:tcW w:type="dxa" w:w="5100"/>
          </w:tcPr>
          <w:p>
            <w:r>
              <w:t>Beneficio netto</w:t>
            </w:r>
          </w:p>
        </w:tc>
        <w:tc>
          <w:tcPr>
            <w:tcW w:type="dxa" w:w="5100"/>
          </w:tcPr>
          <w:p>
            <w:r>
              <w:t>€ 120.000</w:t>
            </w:r>
          </w:p>
        </w:tc>
      </w:tr>
      <w:tr>
        <w:tc>
          <w:tcPr>
            <w:tcW w:type="dxa" w:w="5100"/>
          </w:tcPr>
          <w:p>
            <w:r>
              <w:t>Lavoratori equivalenti</w:t>
            </w:r>
          </w:p>
        </w:tc>
        <w:tc>
          <w:tcPr>
            <w:tcW w:type="dxa" w:w="5100"/>
          </w:tcPr>
          <w:p>
            <w:r>
              <w:t>120</w:t>
            </w:r>
          </w:p>
        </w:tc>
      </w:tr>
    </w:tbl>
    <w:p/>
    <w:p>
      <w:r>
        <w:t>Calcolo: Performance: 1.050 × 0,715 = 750,75; Gain: 120.000 × 25% / 120 = 250</w:t>
      </w:r>
    </w:p>
    <w:p>
      <w:r>
        <w:rPr>
          <w:b/>
        </w:rPr>
        <w:t>Premio risultante: € 1.000,75</w:t>
      </w:r>
    </w:p>
    <w:p>
      <w:r>
        <w:t>Il miglioramento genera una quota aggiuntiva reale, ma il risultato industriale sotto target limita la componente Performance.</w:t>
      </w:r>
    </w:p>
    <w:p>
      <w:pPr>
        <w:pStyle w:val="Heading2"/>
      </w:pPr>
      <w:r>
        <w:t>Esempio intermedio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Indicatore</w:t>
            </w:r>
          </w:p>
        </w:tc>
        <w:tc>
          <w:tcPr>
            <w:tcW w:type="dxa" w:w="5100"/>
          </w:tcPr>
          <w:p>
            <w:r>
              <w:rPr>
                <w:b/>
              </w:rPr>
              <w:t>Coefficiente</w:t>
            </w:r>
          </w:p>
        </w:tc>
      </w:tr>
      <w:tr>
        <w:tc>
          <w:tcPr>
            <w:tcW w:type="dxa" w:w="5100"/>
          </w:tcPr>
          <w:p>
            <w:r>
              <w:t>E</w:t>
            </w:r>
          </w:p>
        </w:tc>
        <w:tc>
          <w:tcPr>
            <w:tcW w:type="dxa" w:w="5100"/>
          </w:tcPr>
          <w:p>
            <w:r>
              <w:t>1,10</w:t>
            </w:r>
          </w:p>
        </w:tc>
      </w:tr>
      <w:tr>
        <w:tc>
          <w:tcPr>
            <w:tcW w:type="dxa" w:w="5100"/>
          </w:tcPr>
          <w:p>
            <w:r>
              <w:t>Q</w:t>
            </w:r>
          </w:p>
        </w:tc>
        <w:tc>
          <w:tcPr>
            <w:tcW w:type="dxa" w:w="5100"/>
          </w:tcPr>
          <w:p>
            <w:r>
              <w:t>1,00</w:t>
            </w:r>
          </w:p>
        </w:tc>
      </w:tr>
      <w:tr>
        <w:tc>
          <w:tcPr>
            <w:tcW w:type="dxa" w:w="5100"/>
          </w:tcPr>
          <w:p>
            <w:r>
              <w:t>F</w:t>
            </w:r>
          </w:p>
        </w:tc>
        <w:tc>
          <w:tcPr>
            <w:tcW w:type="dxa" w:w="5100"/>
          </w:tcPr>
          <w:p>
            <w:r>
              <w:t>0,50</w:t>
            </w:r>
          </w:p>
        </w:tc>
      </w:tr>
      <w:tr>
        <w:tc>
          <w:tcPr>
            <w:tcW w:type="dxa" w:w="5100"/>
          </w:tcPr>
          <w:p>
            <w:r>
              <w:t>Beneficio netto</w:t>
            </w:r>
          </w:p>
        </w:tc>
        <w:tc>
          <w:tcPr>
            <w:tcW w:type="dxa" w:w="5100"/>
          </w:tcPr>
          <w:p>
            <w:r>
              <w:t>€ 240.000</w:t>
            </w:r>
          </w:p>
        </w:tc>
      </w:tr>
      <w:tr>
        <w:tc>
          <w:tcPr>
            <w:tcW w:type="dxa" w:w="5100"/>
          </w:tcPr>
          <w:p>
            <w:r>
              <w:t>Lavoratori equivalenti</w:t>
            </w:r>
          </w:p>
        </w:tc>
        <w:tc>
          <w:tcPr>
            <w:tcW w:type="dxa" w:w="5100"/>
          </w:tcPr>
          <w:p>
            <w:r>
              <w:t>120</w:t>
            </w:r>
          </w:p>
        </w:tc>
      </w:tr>
    </w:tbl>
    <w:p/>
    <w:p>
      <w:r>
        <w:t>Calcolo: Performance: 1.050 × 0,95 = 997,50; Gain: 240.000 × 25% / 120 = 500</w:t>
      </w:r>
    </w:p>
    <w:p>
      <w:r>
        <w:rPr>
          <w:b/>
        </w:rPr>
        <w:t>Premio risultante: € 1.497,50</w:t>
      </w:r>
    </w:p>
    <w:p>
      <w:r>
        <w:t>La fabbrica lavora bene e il beneficio verificato porta il premio quasi al valore obiettivo nonostante l'indicatore economico debole.</w:t>
      </w:r>
    </w:p>
    <w:p>
      <w:pPr>
        <w:pStyle w:val="Heading2"/>
      </w:pPr>
      <w:r>
        <w:t>Esempio massimo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Indicatore</w:t>
            </w:r>
          </w:p>
        </w:tc>
        <w:tc>
          <w:tcPr>
            <w:tcW w:type="dxa" w:w="5100"/>
          </w:tcPr>
          <w:p>
            <w:r>
              <w:rPr>
                <w:b/>
              </w:rPr>
              <w:t>Coefficiente</w:t>
            </w:r>
          </w:p>
        </w:tc>
      </w:tr>
      <w:tr>
        <w:tc>
          <w:tcPr>
            <w:tcW w:type="dxa" w:w="5100"/>
          </w:tcPr>
          <w:p>
            <w:r>
              <w:t>E, Q e F</w:t>
            </w:r>
          </w:p>
        </w:tc>
        <w:tc>
          <w:tcPr>
            <w:tcW w:type="dxa" w:w="5100"/>
          </w:tcPr>
          <w:p>
            <w:r>
              <w:t>1,20</w:t>
            </w:r>
          </w:p>
        </w:tc>
      </w:tr>
      <w:tr>
        <w:tc>
          <w:tcPr>
            <w:tcW w:type="dxa" w:w="5100"/>
          </w:tcPr>
          <w:p>
            <w:r>
              <w:t>Beneficio sufficiente al tetto</w:t>
            </w:r>
          </w:p>
        </w:tc>
        <w:tc>
          <w:tcPr>
            <w:tcW w:type="dxa" w:w="5100"/>
          </w:tcPr>
          <w:p>
            <w:r>
              <w:t>almeno € 259.200 con 120 equivalenti</w:t>
            </w:r>
          </w:p>
        </w:tc>
      </w:tr>
    </w:tbl>
    <w:p/>
    <w:p>
      <w:r>
        <w:t>Calcolo: Performance: 1.050 × 1,20 = 1.260; Gain: 540</w:t>
      </w:r>
    </w:p>
    <w:p>
      <w:r>
        <w:rPr>
          <w:b/>
        </w:rPr>
        <w:t>Premio risultante: € 1.800,00</w:t>
      </w:r>
    </w:p>
    <w:p>
      <w:r>
        <w:t>Il massimo richiede sia eccellenza sui KPI sia un beneficio netto sufficiente e documentato.</w:t>
      </w:r>
    </w:p>
    <w:p>
      <w:pPr>
        <w:pStyle w:val="Heading1"/>
      </w:pPr>
      <w:r>
        <w:t>Disciplina completa di erogazione</w:t>
      </w:r>
    </w:p>
    <w:p>
      <w:pPr>
        <w:pStyle w:val="Heading2"/>
      </w:pPr>
      <w:r>
        <w:t>Destinatari</w:t>
      </w:r>
    </w:p>
    <w:p>
      <w:r>
        <w:t>Il premio spetta ai lavoratori subordinati in forza nel periodo di maturazione, compresi tempo determinato, apprendisti e part-time, secondo criteri non discriminatori. Per il part-time l'importo è proporzionato all'orario contrattuale. Per assunzioni e cessazioni in corso d'anno si applicano i dodicesimi maturati, considerando mese intero quello con almeno 15 giorni utili.</w:t>
      </w:r>
    </w:p>
    <w:p>
      <w:pPr>
        <w:pStyle w:val="Heading2"/>
      </w:pPr>
      <w:r>
        <w:t>Periodo di maturazione</w:t>
      </w:r>
    </w:p>
    <w:p>
      <w:r>
        <w:t>La maturazione decorre dal 1° gennaio al 31 dicembre di ciascun anno. Il risultato viene consuntivato entro maggio dell'anno successivo. Non sono previsti rinnovi taciti oltre il 31 dicembre 2029.</w:t>
      </w:r>
    </w:p>
    <w:p>
      <w:pPr>
        <w:pStyle w:val="Heading2"/>
      </w:pPr>
      <w:r>
        <w:t>Pagamento</w:t>
      </w:r>
    </w:p>
    <w:p>
      <w:r>
        <w:t>Il premio è liquidato dopo il consuntivo, preferibilmente in due rate uguali nei cedolini di giugno e agosto. Il prospetto individuale deve indicare importo target, coefficienti, quote maturate, riproporzionamenti e totale lordo.</w:t>
      </w:r>
    </w:p>
    <w:p>
      <w:pPr>
        <w:pStyle w:val="Heading2"/>
      </w:pPr>
      <w:r>
        <w:t>Welfare</w:t>
      </w:r>
    </w:p>
    <w:p>
      <w:r>
        <w:t>Il lavoratore può scegliere, nei limiti di legge e con scelta libera e informata, la conversione totale o parziale del premio in welfare. L'eventuale incentivo aggiuntivo aziendale deve essere indicato separatamente e non può ridurre l'importo monetario maturato. Termini, piattaforma, residui e casi di cessazione devono essere comunicati per iscritto.</w:t>
      </w:r>
    </w:p>
    <w:p>
      <w:pPr>
        <w:pStyle w:val="Heading2"/>
      </w:pPr>
      <w:r>
        <w:t>Fiscalità e deposito</w:t>
      </w:r>
    </w:p>
    <w:p>
      <w:r>
        <w:t>L'applicazione di imposta sostitutiva, decontribuzione o altri benefici avviene soltanto se ricorrono i requisiti normativi vigenti nell'anno di erogazione. L'azienda cura deposito e dichiarazioni previste. Il testo non garantisce un'aliquota futura determinata.</w:t>
      </w:r>
    </w:p>
    <w:p>
      <w:pPr>
        <w:pStyle w:val="Heading2"/>
      </w:pPr>
      <w:r>
        <w:t>Assenze e riproporzionamenti</w:t>
      </w:r>
    </w:p>
    <w:p>
      <w:r>
        <w:t>Ferie, PAR, permessi sindacali, maternità/paternità, infortuni, donazione sangue, legge 104, ricoveri, terapie salvavita e altre assenze tutelate non possono produrre penalizzazioni ulteriori rispetto alle regole espressamente concordate. Le assenze considerate dal KPI presenza devono essere elencate in modo tassativo.</w:t>
      </w:r>
    </w:p>
    <w:p>
      <w:pPr>
        <w:pStyle w:val="Heading2"/>
      </w:pPr>
      <w:r>
        <w:t>Commissione PDR</w:t>
      </w:r>
    </w:p>
    <w:p>
      <w:r>
        <w:t>È istituita una Commissione paritetica Azienda–RSU con accesso ai dati necessari. Si riunisce almeno trimestralmente, verbalizza valori, anomalie, neutralizzazioni, azioni correttive e stima aggiornata del premio. Le contestazioni sul calcolo sono esaminate prima della liquidazione.</w:t>
      </w:r>
    </w:p>
    <w:p>
      <w:pPr>
        <w:pStyle w:val="Heading2"/>
      </w:pPr>
      <w:r>
        <w:t>Onnicomprensività e TFR</w:t>
      </w:r>
    </w:p>
    <w:p>
      <w:r>
        <w:t>L'eventuale esclusione del premio dal computo di altri istituti e dal TFR deve risultare da clausola espressa, conforme alla normativa e al CCNL applicabile. Gli importi riportati sono lordi e soggetti al trattamento contributivo e fiscale vigente al momento dell'erogazione.</w:t>
      </w:r>
    </w:p>
    <w:p>
      <w:pPr>
        <w:pStyle w:val="Heading2"/>
      </w:pPr>
      <w:r>
        <w:t>Riservatezza</w:t>
      </w:r>
    </w:p>
    <w:p>
      <w:r>
        <w:t>La riservatezza può riguardare dati aziendali specificamente identificati, ma non può impedire alla RSU di verificare il premio né di spiegare ai lavoratori criteri, risultati e importi. I dati personali sono trattati solo per le finalità dell'accordo.</w:t>
      </w:r>
    </w:p>
    <w:p>
      <w:pPr>
        <w:pStyle w:val="Heading1"/>
      </w:pPr>
      <w:r>
        <w:t>Allegato tecnico da completare prima della firma</w:t>
      </w:r>
    </w:p>
    <w:p>
      <w:r>
        <w:t>La proposta diventa calcolabile soltanto compilando questa tabella con dati ufficiali. Le caselle non possono restare indefinite nell'accordo sottoscritto.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>
              <w:rPr>
                <w:b/>
              </w:rPr>
              <w:t>KPI</w:t>
            </w:r>
          </w:p>
        </w:tc>
        <w:tc>
          <w:tcPr>
            <w:tcW w:type="dxa" w:w="1457"/>
          </w:tcPr>
          <w:p>
            <w:r>
              <w:rPr>
                <w:b/>
              </w:rPr>
              <w:t>Fonte</w:t>
            </w:r>
          </w:p>
        </w:tc>
        <w:tc>
          <w:tcPr>
            <w:tcW w:type="dxa" w:w="1457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1457"/>
          </w:tcPr>
          <w:p>
            <w:r>
              <w:rPr>
                <w:b/>
              </w:rPr>
              <w:t>Soglia minima</w:t>
            </w:r>
          </w:p>
        </w:tc>
        <w:tc>
          <w:tcPr>
            <w:tcW w:type="dxa" w:w="1457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457"/>
          </w:tcPr>
          <w:p>
            <w:r>
              <w:rPr>
                <w:b/>
              </w:rPr>
              <w:t>Massimo</w:t>
            </w:r>
          </w:p>
        </w:tc>
        <w:tc>
          <w:tcPr>
            <w:tcW w:type="dxa" w:w="1457"/>
          </w:tcPr>
          <w:p>
            <w:r>
              <w:rPr>
                <w:b/>
              </w:rPr>
              <w:t>Frequenza</w:t>
            </w:r>
          </w:p>
        </w:tc>
      </w:tr>
      <w:tr>
        <w:tc>
          <w:tcPr>
            <w:tcW w:type="dxa" w:w="1457"/>
          </w:tcPr>
          <w:p>
            <w:r>
              <w:t>Efficienza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Mensile</w:t>
            </w:r>
          </w:p>
        </w:tc>
      </w:tr>
      <w:tr>
        <w:tc>
          <w:tcPr>
            <w:tcW w:type="dxa" w:w="1457"/>
          </w:tcPr>
          <w:p>
            <w:r>
              <w:t>Qualità/scarti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Mensile</w:t>
            </w:r>
          </w:p>
        </w:tc>
      </w:tr>
      <w:tr>
        <w:tc>
          <w:tcPr>
            <w:tcW w:type="dxa" w:w="1457"/>
          </w:tcPr>
          <w:p>
            <w:r>
              <w:t>Organizzazione/fermi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Mensile</w:t>
            </w:r>
          </w:p>
        </w:tc>
      </w:tr>
      <w:tr>
        <w:tc>
          <w:tcPr>
            <w:tcW w:type="dxa" w:w="1457"/>
          </w:tcPr>
          <w:p>
            <w:r>
              <w:t>Consegne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Mensile</w:t>
            </w:r>
          </w:p>
        </w:tc>
      </w:tr>
      <w:tr>
        <w:tc>
          <w:tcPr>
            <w:tcW w:type="dxa" w:w="1457"/>
          </w:tcPr>
          <w:p>
            <w:r>
              <w:t>Competenze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Trimestrale</w:t>
            </w:r>
          </w:p>
        </w:tc>
      </w:tr>
      <w:tr>
        <w:tc>
          <w:tcPr>
            <w:tcW w:type="dxa" w:w="1457"/>
          </w:tcPr>
          <w:p>
            <w:r>
              <w:t>Economico/finanziario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Trimestrale</w:t>
            </w:r>
          </w:p>
        </w:tc>
      </w:tr>
      <w:tr>
        <w:tc>
          <w:tcPr>
            <w:tcW w:type="dxa" w:w="1457"/>
          </w:tcPr>
          <w:p>
            <w:r>
              <w:t>Presenza</w:t>
            </w:r>
          </w:p>
        </w:tc>
        <w:tc>
          <w:tcPr>
            <w:tcW w:type="dxa" w:w="1457"/>
          </w:tcPr>
          <w:p>
            <w:r>
              <w:t>Paghe</w:t>
            </w:r>
          </w:p>
        </w:tc>
        <w:tc>
          <w:tcPr>
            <w:tcW w:type="dxa" w:w="1457"/>
          </w:tcPr>
          <w:p>
            <w:r>
              <w:t>Scaglioni accordo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____________</w:t>
            </w:r>
          </w:p>
        </w:tc>
        <w:tc>
          <w:tcPr>
            <w:tcW w:type="dxa" w:w="1457"/>
          </w:tcPr>
          <w:p>
            <w:r>
              <w:t>Annuale</w:t>
            </w:r>
          </w:p>
        </w:tc>
      </w:tr>
    </w:tbl>
    <w:p/>
    <w:p>
      <w:pPr>
        <w:pStyle w:val="Heading2"/>
      </w:pPr>
      <w:r>
        <w:t>Tracciato del cruscotto periodico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</w:tcPr>
          <w:p>
            <w:r>
              <w:rPr>
                <w:b/>
              </w:rPr>
              <w:t>Periodo</w:t>
            </w:r>
          </w:p>
        </w:tc>
        <w:tc>
          <w:tcPr>
            <w:tcW w:type="dxa" w:w="1275"/>
          </w:tcPr>
          <w:p>
            <w:r>
              <w:rPr>
                <w:b/>
              </w:rPr>
              <w:t>KPI</w:t>
            </w:r>
          </w:p>
        </w:tc>
        <w:tc>
          <w:tcPr>
            <w:tcW w:type="dxa" w:w="1275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275"/>
          </w:tcPr>
          <w:p>
            <w:r>
              <w:rPr>
                <w:b/>
              </w:rPr>
              <w:t>Consuntivo</w:t>
            </w:r>
          </w:p>
        </w:tc>
        <w:tc>
          <w:tcPr>
            <w:tcW w:type="dxa" w:w="1275"/>
          </w:tcPr>
          <w:p>
            <w:r>
              <w:rPr>
                <w:b/>
              </w:rPr>
              <w:t>Coeff.</w:t>
            </w:r>
          </w:p>
        </w:tc>
        <w:tc>
          <w:tcPr>
            <w:tcW w:type="dxa" w:w="1275"/>
          </w:tcPr>
          <w:p>
            <w:r>
              <w:rPr>
                <w:b/>
              </w:rPr>
              <w:t>Quota €</w:t>
            </w:r>
          </w:p>
        </w:tc>
        <w:tc>
          <w:tcPr>
            <w:tcW w:type="dxa" w:w="1275"/>
          </w:tcPr>
          <w:p>
            <w:r>
              <w:rPr>
                <w:b/>
              </w:rPr>
              <w:t>Neutralizzazioni</w:t>
            </w:r>
          </w:p>
        </w:tc>
        <w:tc>
          <w:tcPr>
            <w:tcW w:type="dxa" w:w="1275"/>
          </w:tcPr>
          <w:p>
            <w:r>
              <w:rPr>
                <w:b/>
              </w:rPr>
              <w:t>Nota RSU</w:t>
            </w:r>
          </w:p>
        </w:tc>
      </w:tr>
      <w:tr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</w:tr>
      <w:tr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</w:tr>
      <w:tr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  <w:tc>
          <w:tcPr>
            <w:tcW w:type="dxa" w:w="1275"/>
          </w:tcPr>
          <w:p>
            <w:r>
              <w:t>____________</w:t>
            </w:r>
          </w:p>
        </w:tc>
      </w:tr>
    </w:tbl>
    <w:p/>
    <w:p>
      <w:pPr>
        <w:pStyle w:val="Heading1"/>
      </w:pPr>
      <w:r>
        <w:t>Dati Sitem oggi disponibili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Dato</w:t>
            </w:r>
          </w:p>
        </w:tc>
        <w:tc>
          <w:tcPr>
            <w:tcW w:type="dxa" w:w="3400"/>
          </w:tcPr>
          <w:p>
            <w:r>
              <w:rPr>
                <w:b/>
              </w:rPr>
              <w:t>Valore approssimato</w:t>
            </w:r>
          </w:p>
        </w:tc>
        <w:tc>
          <w:tcPr>
            <w:tcW w:type="dxa" w:w="3400"/>
          </w:tcPr>
          <w:p>
            <w:r>
              <w:rPr>
                <w:b/>
              </w:rPr>
              <w:t>Significato</w:t>
            </w:r>
          </w:p>
        </w:tc>
      </w:tr>
      <w:tr>
        <w:tc>
          <w:tcPr>
            <w:tcW w:type="dxa" w:w="3400"/>
          </w:tcPr>
          <w:p>
            <w:r>
              <w:t>Consegne puntuali gen–lug</w:t>
            </w:r>
          </w:p>
        </w:tc>
        <w:tc>
          <w:tcPr>
            <w:tcW w:type="dxa" w:w="3400"/>
          </w:tcPr>
          <w:p>
            <w:r>
              <w:t>79%, 78%, 68%, 71%, 64%, 61%, 67%</w:t>
            </w:r>
          </w:p>
        </w:tc>
        <w:tc>
          <w:tcPr>
            <w:tcW w:type="dxa" w:w="3400"/>
          </w:tcPr>
          <w:p>
            <w:r>
              <w:t>Media 69,7%, inferiore al target dell'80%</w:t>
            </w:r>
          </w:p>
        </w:tc>
      </w:tr>
      <w:tr>
        <w:tc>
          <w:tcPr>
            <w:tcW w:type="dxa" w:w="3400"/>
          </w:tcPr>
          <w:p>
            <w:r>
              <w:t>Proiezione annua consegne</w:t>
            </w:r>
          </w:p>
        </w:tc>
        <w:tc>
          <w:tcPr>
            <w:tcW w:type="dxa" w:w="3400"/>
          </w:tcPr>
          <w:p>
            <w:r>
              <w:t>67–70%</w:t>
            </w:r>
          </w:p>
        </w:tc>
        <w:tc>
          <w:tcPr>
            <w:tcW w:type="dxa" w:w="3400"/>
          </w:tcPr>
          <w:p>
            <w:r>
              <w:t>Per chiudere all'80% servirebbe circa 94,4% medio da agosto a dicembre</w:t>
            </w:r>
          </w:p>
        </w:tc>
      </w:tr>
      <w:tr>
        <w:tc>
          <w:tcPr>
            <w:tcW w:type="dxa" w:w="3400"/>
          </w:tcPr>
          <w:p>
            <w:r>
              <w:t>Produzione pressofusione gen–giu</w:t>
            </w:r>
          </w:p>
        </w:tc>
        <w:tc>
          <w:tcPr>
            <w:tcW w:type="dxa" w:w="3400"/>
          </w:tcPr>
          <w:p>
            <w:r>
              <w:t>circa 1,293 milioni kg</w:t>
            </w:r>
          </w:p>
        </w:tc>
        <w:tc>
          <w:tcPr>
            <w:tcW w:type="dxa" w:w="3400"/>
          </w:tcPr>
          <w:p>
            <w:r>
              <w:t>Proiezione annua circa 2,587 milioni kg</w:t>
            </w:r>
          </w:p>
        </w:tc>
      </w:tr>
      <w:tr>
        <w:tc>
          <w:tcPr>
            <w:tcW w:type="dxa" w:w="3400"/>
          </w:tcPr>
          <w:p>
            <w:r>
              <w:t>Ore lavorate gen–giu</w:t>
            </w:r>
          </w:p>
        </w:tc>
        <w:tc>
          <w:tcPr>
            <w:tcW w:type="dxa" w:w="3400"/>
          </w:tcPr>
          <w:p>
            <w:r>
              <w:t>circa 23.723</w:t>
            </w:r>
          </w:p>
        </w:tc>
        <w:tc>
          <w:tcPr>
            <w:tcW w:type="dxa" w:w="3400"/>
          </w:tcPr>
          <w:p>
            <w:r>
              <w:t>Proiezione annua circa 47.446 ore</w:t>
            </w:r>
          </w:p>
        </w:tc>
      </w:tr>
      <w:tr>
        <w:tc>
          <w:tcPr>
            <w:tcW w:type="dxa" w:w="3400"/>
          </w:tcPr>
          <w:p>
            <w:r>
              <w:t>Produttività apparente</w:t>
            </w:r>
          </w:p>
        </w:tc>
        <w:tc>
          <w:tcPr>
            <w:tcW w:type="dxa" w:w="3400"/>
          </w:tcPr>
          <w:p>
            <w:r>
              <w:t>circa 54,5 kg/ora</w:t>
            </w:r>
          </w:p>
        </w:tc>
        <w:tc>
          <w:tcPr>
            <w:tcW w:type="dxa" w:w="3400"/>
          </w:tcPr>
          <w:p>
            <w:r>
              <w:t>Dato apparentemente stabile, da verificare per mix e pezzi conformi</w:t>
            </w:r>
          </w:p>
        </w:tc>
      </w:tr>
      <w:tr>
        <w:tc>
          <w:tcPr>
            <w:tcW w:type="dxa" w:w="3400"/>
          </w:tcPr>
          <w:p>
            <w:r>
              <w:t>Fermi macchina</w:t>
            </w:r>
          </w:p>
        </w:tc>
        <w:tc>
          <w:tcPr>
            <w:tcW w:type="dxa" w:w="3400"/>
          </w:tcPr>
          <w:p>
            <w:r>
              <w:t>prevalenza componente struttura</w:t>
            </w:r>
          </w:p>
        </w:tc>
        <w:tc>
          <w:tcPr>
            <w:tcW w:type="dxa" w:w="3400"/>
          </w:tcPr>
          <w:p>
            <w:r>
              <w:t>Distinguere struttura, attrezzature, cambi stampo e altre cause</w:t>
            </w:r>
          </w:p>
        </w:tc>
      </w:tr>
    </w:tbl>
    <w:p/>
    <w:p>
      <w:r>
        <w:t>Conclusione prudenziale: il calo delle consegne non dimostra da solo un calo di produttività dei lavoratori. Vanno separati programmazione, materiali, manutenzione, impianti, attrezzaggi, mix e responsabilità operative.</w:t>
      </w:r>
    </w:p>
    <w:p>
      <w:pPr>
        <w:pStyle w:val="Heading1"/>
      </w:pPr>
      <w:r>
        <w:t>Regole di trasparenza e tutela</w:t>
      </w:r>
    </w:p>
    <w:p>
      <w:pPr>
        <w:pStyle w:val="ListBullet"/>
      </w:pPr>
      <w:r>
        <w:t>Ogni KPI deve indicare formula, unità di misura, fonte informatica, responsabile dell'estrazione e periodicità.</w:t>
      </w:r>
    </w:p>
    <w:p>
      <w:pPr>
        <w:pStyle w:val="ListBullet"/>
      </w:pPr>
      <w:r>
        <w:t>Baseline e target devono essere fissati prima dell'inizio del periodo e non modificabili unilateralmente.</w:t>
      </w:r>
    </w:p>
    <w:p>
      <w:pPr>
        <w:pStyle w:val="ListBullet"/>
      </w:pPr>
      <w:r>
        <w:t>Ogni indicatore incide soltanto sulla propria quota: nessun KPI azzera l'intero premio.</w:t>
      </w:r>
    </w:p>
    <w:p>
      <w:pPr>
        <w:pStyle w:val="ListBullet"/>
      </w:pPr>
      <w:r>
        <w:t>Guasti, carenza materiali, fermate aziendali, manutenzioni, prove cliente, forza maggiore e variazioni rilevanti del mix devono essere neutralizzati quando non governabili dai lavoratori.</w:t>
      </w:r>
    </w:p>
    <w:p>
      <w:pPr>
        <w:pStyle w:val="ListBullet"/>
      </w:pPr>
      <w:r>
        <w:t>La RSU riceve un cruscotto mensile e verifica almeno trimestralmente dati, scostamenti, neutralizzazioni e proiezione del premio.</w:t>
      </w:r>
    </w:p>
    <w:p>
      <w:pPr>
        <w:pStyle w:val="ListBullet"/>
      </w:pPr>
      <w:r>
        <w:t>Il consuntivo deve permettere di rifare il calcolo partendo dai dati elementari.</w:t>
      </w:r>
    </w:p>
    <w:p>
      <w:pPr>
        <w:pStyle w:val="Heading1"/>
      </w:pPr>
      <w:r>
        <w:t>Chiusura della proposta</w:t>
      </w:r>
    </w:p>
    <w:p>
      <w:r>
        <w:t>Durata proposta: dal 1° gennaio 2026 al 31 dicembre 2029. Verifica tecnica annuale senza modifica automatica di pesi, formule e soglie.</w:t>
      </w:r>
    </w:p>
    <w:p>
      <w:r>
        <w:t>Luogo e data: ______________________________</w:t>
      </w:r>
    </w:p>
    <w:p>
      <w:r>
        <w:t>Per l'Azienda: _____________________________</w:t>
      </w:r>
    </w:p>
    <w:p>
      <w:r>
        <w:t>Per la RSU / OO.SS.: ______________________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