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PDR Sitem 2026–2029 – Benchmark metalmeccanico</w:t>
      </w:r>
    </w:p>
    <w:p>
      <w:pPr>
        <w:jc w:val="center"/>
      </w:pPr>
      <w:r>
        <w:rPr>
          <w:b/>
          <w:color w:val="1F4E79"/>
        </w:rPr>
        <w:t>KPI esterni adattati a Sitem, privilegiando l'impostazione Magneti Marelli</w:t>
      </w:r>
    </w:p>
    <w:p>
      <w:r>
        <w:t>Bozza completa per assemblea e confronto negoziale. I dati fotografici sono indicativi e devono essere sostituiti dai dati ufficiali prima della sottoscrizione.</w:t>
      </w:r>
    </w:p>
    <w:p>
      <w:pPr>
        <w:pStyle w:val="Heading1"/>
      </w:pPr>
      <w:r>
        <w:t>1. Criterio del benchmark</w:t>
      </w:r>
    </w:p>
    <w:p>
      <w:r>
        <w:t>Il modello riprende la logica tipica dei PDR industriali strutturati: pochi indicatori collettivi, pesi espliciti, curve progressive, target annuali e controllo paritetico. I riferimenti esterni sono strumenti di confronto, non valori automaticamente applicabili a Sitem.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550"/>
          </w:tcPr>
          <w:p>
            <w:r>
              <w:rPr>
                <w:b/>
              </w:rPr>
              <w:t>Peso</w:t>
            </w:r>
          </w:p>
        </w:tc>
        <w:tc>
          <w:tcPr>
            <w:tcW w:type="dxa" w:w="2550"/>
          </w:tcPr>
          <w:p>
            <w:r>
              <w:rPr>
                <w:b/>
              </w:rPr>
              <w:t>KPI adattato a Sitem</w:t>
            </w:r>
          </w:p>
        </w:tc>
        <w:tc>
          <w:tcPr>
            <w:tcW w:type="dxa" w:w="2550"/>
          </w:tcPr>
          <w:p>
            <w:r>
              <w:rPr>
                <w:b/>
              </w:rPr>
              <w:t>Fonte</w:t>
            </w:r>
          </w:p>
        </w:tc>
      </w:tr>
      <w:tr>
        <w:tc>
          <w:tcPr>
            <w:tcW w:type="dxa" w:w="2550"/>
          </w:tcPr>
          <w:p>
            <w:r>
              <w:t>Efficienza/costo diretto</w:t>
            </w:r>
          </w:p>
        </w:tc>
        <w:tc>
          <w:tcPr>
            <w:tcW w:type="dxa" w:w="2550"/>
          </w:tcPr>
          <w:p>
            <w:r>
              <w:t>25%</w:t>
            </w:r>
          </w:p>
        </w:tc>
        <w:tc>
          <w:tcPr>
            <w:tcW w:type="dxa" w:w="2550"/>
          </w:tcPr>
          <w:p>
            <w:r>
              <w:t>Kg buoni per ora disponibile, corretti per mix</w:t>
            </w:r>
          </w:p>
        </w:tc>
        <w:tc>
          <w:tcPr>
            <w:tcW w:type="dxa" w:w="2550"/>
          </w:tcPr>
          <w:p>
            <w:r>
              <w:t>Produzione</w:t>
            </w:r>
          </w:p>
        </w:tc>
      </w:tr>
      <w:tr>
        <w:tc>
          <w:tcPr>
            <w:tcW w:type="dxa" w:w="2550"/>
          </w:tcPr>
          <w:p>
            <w:r>
              <w:t>Non qualità</w:t>
            </w:r>
          </w:p>
        </w:tc>
        <w:tc>
          <w:tcPr>
            <w:tcW w:type="dxa" w:w="2550"/>
          </w:tcPr>
          <w:p>
            <w:r>
              <w:t>25%</w:t>
            </w:r>
          </w:p>
        </w:tc>
        <w:tc>
          <w:tcPr>
            <w:tcW w:type="dxa" w:w="2550"/>
          </w:tcPr>
          <w:p>
            <w:r>
              <w:t>Costo scarti e rilavorazioni / valore prodotto</w:t>
            </w:r>
          </w:p>
        </w:tc>
        <w:tc>
          <w:tcPr>
            <w:tcW w:type="dxa" w:w="2550"/>
          </w:tcPr>
          <w:p>
            <w:r>
              <w:t>Qualità + amministrazione</w:t>
            </w:r>
          </w:p>
        </w:tc>
      </w:tr>
      <w:tr>
        <w:tc>
          <w:tcPr>
            <w:tcW w:type="dxa" w:w="2550"/>
          </w:tcPr>
          <w:p>
            <w:r>
              <w:t>Servizio al cliente</w:t>
            </w:r>
          </w:p>
        </w:tc>
        <w:tc>
          <w:tcPr>
            <w:tcW w:type="dxa" w:w="2550"/>
          </w:tcPr>
          <w:p>
            <w:r>
              <w:t>25%</w:t>
            </w:r>
          </w:p>
        </w:tc>
        <w:tc>
          <w:tcPr>
            <w:tcW w:type="dxa" w:w="2550"/>
          </w:tcPr>
          <w:p>
            <w:r>
              <w:t>15% reclami/PPM + 10% consegne puntuali</w:t>
            </w:r>
          </w:p>
        </w:tc>
        <w:tc>
          <w:tcPr>
            <w:tcW w:type="dxa" w:w="2550"/>
          </w:tcPr>
          <w:p>
            <w:r>
              <w:t>Qualità + logistica</w:t>
            </w:r>
          </w:p>
        </w:tc>
      </w:tr>
      <w:tr>
        <w:tc>
          <w:tcPr>
            <w:tcW w:type="dxa" w:w="2550"/>
          </w:tcPr>
          <w:p>
            <w:r>
              <w:t>Risultato economico</w:t>
            </w:r>
          </w:p>
        </w:tc>
        <w:tc>
          <w:tcPr>
            <w:tcW w:type="dxa" w:w="2550"/>
          </w:tcPr>
          <w:p>
            <w:r>
              <w:t>25%</w:t>
            </w:r>
          </w:p>
        </w:tc>
        <w:tc>
          <w:tcPr>
            <w:tcW w:type="dxa" w:w="2550"/>
          </w:tcPr>
          <w:p>
            <w:r>
              <w:t>Margine operativo rispetto al budget</w:t>
            </w:r>
          </w:p>
        </w:tc>
        <w:tc>
          <w:tcPr>
            <w:tcW w:type="dxa" w:w="2550"/>
          </w:tcPr>
          <w:p>
            <w:r>
              <w:t>Contabilità</w:t>
            </w:r>
          </w:p>
        </w:tc>
      </w:tr>
    </w:tbl>
    <w:p/>
    <w:p>
      <w:pPr>
        <w:pStyle w:val="Heading1"/>
      </w:pPr>
      <w:r>
        <w:t>2. Normalizzazione degli indicatori</w:t>
      </w:r>
    </w:p>
    <w:p>
      <w:r>
        <w:t>Ogni KPI è trasformato in un indice con target 100. Per gli indicatori da aumentare: consuntivo/target × 100. Per quelli da ridurre, come scarti o reclami: target/consuntivo × 100. Questo rende confrontabili misure diverse.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Indice normalizzato</w:t>
            </w:r>
          </w:p>
        </w:tc>
        <w:tc>
          <w:tcPr>
            <w:tcW w:type="dxa" w:w="3400"/>
          </w:tcPr>
          <w:p>
            <w:r>
              <w:rPr>
                <w:b/>
              </w:rPr>
              <w:t>Coefficiente</w:t>
            </w:r>
          </w:p>
        </w:tc>
        <w:tc>
          <w:tcPr>
            <w:tcW w:type="dxa" w:w="3400"/>
          </w:tcPr>
          <w:p>
            <w:r>
              <w:rPr>
                <w:b/>
              </w:rPr>
              <w:t>Interpretazione</w:t>
            </w:r>
          </w:p>
        </w:tc>
      </w:tr>
      <w:tr>
        <w:tc>
          <w:tcPr>
            <w:tcW w:type="dxa" w:w="3400"/>
          </w:tcPr>
          <w:p>
            <w:r>
              <w:t>≤ 90</w:t>
            </w:r>
          </w:p>
        </w:tc>
        <w:tc>
          <w:tcPr>
            <w:tcW w:type="dxa" w:w="3400"/>
          </w:tcPr>
          <w:p>
            <w:r>
              <w:t>0,50</w:t>
            </w:r>
          </w:p>
        </w:tc>
        <w:tc>
          <w:tcPr>
            <w:tcW w:type="dxa" w:w="3400"/>
          </w:tcPr>
          <w:p>
            <w:r>
              <w:t>Minimo</w:t>
            </w:r>
          </w:p>
        </w:tc>
      </w:tr>
      <w:tr>
        <w:tc>
          <w:tcPr>
            <w:tcW w:type="dxa" w:w="3400"/>
          </w:tcPr>
          <w:p>
            <w:r>
              <w:t>95</w:t>
            </w:r>
          </w:p>
        </w:tc>
        <w:tc>
          <w:tcPr>
            <w:tcW w:type="dxa" w:w="3400"/>
          </w:tcPr>
          <w:p>
            <w:r>
              <w:t>0,75</w:t>
            </w:r>
          </w:p>
        </w:tc>
        <w:tc>
          <w:tcPr>
            <w:tcW w:type="dxa" w:w="3400"/>
          </w:tcPr>
          <w:p>
            <w:r>
              <w:t>Recupero parziale</w:t>
            </w:r>
          </w:p>
        </w:tc>
      </w:tr>
      <w:tr>
        <w:tc>
          <w:tcPr>
            <w:tcW w:type="dxa" w:w="3400"/>
          </w:tcPr>
          <w:p>
            <w:r>
              <w:t>100</w:t>
            </w:r>
          </w:p>
        </w:tc>
        <w:tc>
          <w:tcPr>
            <w:tcW w:type="dxa" w:w="3400"/>
          </w:tcPr>
          <w:p>
            <w:r>
              <w:t>1,00</w:t>
            </w:r>
          </w:p>
        </w:tc>
        <w:tc>
          <w:tcPr>
            <w:tcW w:type="dxa" w:w="3400"/>
          </w:tcPr>
          <w:p>
            <w:r>
              <w:t>Target</w:t>
            </w:r>
          </w:p>
        </w:tc>
      </w:tr>
      <w:tr>
        <w:tc>
          <w:tcPr>
            <w:tcW w:type="dxa" w:w="3400"/>
          </w:tcPr>
          <w:p>
            <w:r>
              <w:t>105</w:t>
            </w:r>
          </w:p>
        </w:tc>
        <w:tc>
          <w:tcPr>
            <w:tcW w:type="dxa" w:w="3400"/>
          </w:tcPr>
          <w:p>
            <w:r>
              <w:t>1,10</w:t>
            </w:r>
          </w:p>
        </w:tc>
        <w:tc>
          <w:tcPr>
            <w:tcW w:type="dxa" w:w="3400"/>
          </w:tcPr>
          <w:p>
            <w:r>
              <w:t>Superamento</w:t>
            </w:r>
          </w:p>
        </w:tc>
      </w:tr>
      <w:tr>
        <w:tc>
          <w:tcPr>
            <w:tcW w:type="dxa" w:w="3400"/>
          </w:tcPr>
          <w:p>
            <w:r>
              <w:t>≥ 110</w:t>
            </w:r>
          </w:p>
        </w:tc>
        <w:tc>
          <w:tcPr>
            <w:tcW w:type="dxa" w:w="3400"/>
          </w:tcPr>
          <w:p>
            <w:r>
              <w:t>1,20</w:t>
            </w:r>
          </w:p>
        </w:tc>
        <w:tc>
          <w:tcPr>
            <w:tcW w:type="dxa" w:w="3400"/>
          </w:tcPr>
          <w:p>
            <w:r>
              <w:t>Massimo</w:t>
            </w:r>
          </w:p>
        </w:tc>
      </w:tr>
    </w:tbl>
    <w:p/>
    <w:p>
      <w:r>
        <w:t>PDR = € 1.500 × [(0,25×E) + (0,25×NQ) + (0,25×S) + (0,25×R)]. Tetto massimo € 1.800.</w:t>
      </w:r>
    </w:p>
    <w:p>
      <w:pPr>
        <w:pStyle w:val="Heading1"/>
      </w:pPr>
      <w:r>
        <w:t>3. Schede operative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KPI</w:t>
            </w:r>
          </w:p>
        </w:tc>
        <w:tc>
          <w:tcPr>
            <w:tcW w:type="dxa" w:w="3400"/>
          </w:tcPr>
          <w:p>
            <w:r>
              <w:rPr>
                <w:b/>
              </w:rPr>
              <w:t>Cosa misura</w:t>
            </w:r>
          </w:p>
        </w:tc>
        <w:tc>
          <w:tcPr>
            <w:tcW w:type="dxa" w:w="3400"/>
          </w:tcPr>
          <w:p>
            <w:r>
              <w:rPr>
                <w:b/>
              </w:rPr>
              <w:t>Neutralizzazioni/cautele</w:t>
            </w:r>
          </w:p>
        </w:tc>
      </w:tr>
      <w:tr>
        <w:tc>
          <w:tcPr>
            <w:tcW w:type="dxa" w:w="3400"/>
          </w:tcPr>
          <w:p>
            <w:r>
              <w:t>E</w:t>
            </w:r>
          </w:p>
        </w:tc>
        <w:tc>
          <w:tcPr>
            <w:tcW w:type="dxa" w:w="3400"/>
          </w:tcPr>
          <w:p>
            <w:r>
              <w:t>Produzione buona ottenuta nelle ore realmente disponibili</w:t>
            </w:r>
          </w:p>
        </w:tc>
        <w:tc>
          <w:tcPr>
            <w:tcW w:type="dxa" w:w="3400"/>
          </w:tcPr>
          <w:p>
            <w:r>
              <w:t>Guasti, materiali, manutenzioni, cambi mix e fermate aziendali</w:t>
            </w:r>
          </w:p>
        </w:tc>
      </w:tr>
      <w:tr>
        <w:tc>
          <w:tcPr>
            <w:tcW w:type="dxa" w:w="3400"/>
          </w:tcPr>
          <w:p>
            <w:r>
              <w:t>NQ</w:t>
            </w:r>
          </w:p>
        </w:tc>
        <w:tc>
          <w:tcPr>
            <w:tcW w:type="dxa" w:w="3400"/>
          </w:tcPr>
          <w:p>
            <w:r>
              <w:t>Costo economico di scarti, rilavorazioni e resi</w:t>
            </w:r>
          </w:p>
        </w:tc>
        <w:tc>
          <w:tcPr>
            <w:tcW w:type="dxa" w:w="3400"/>
          </w:tcPr>
          <w:p>
            <w:r>
              <w:t>Separare cause macchina, stampo, materiale, processo e operatore</w:t>
            </w:r>
          </w:p>
        </w:tc>
      </w:tr>
      <w:tr>
        <w:tc>
          <w:tcPr>
            <w:tcW w:type="dxa" w:w="3400"/>
          </w:tcPr>
          <w:p>
            <w:r>
              <w:t>S</w:t>
            </w:r>
          </w:p>
        </w:tc>
        <w:tc>
          <w:tcPr>
            <w:tcW w:type="dxa" w:w="3400"/>
          </w:tcPr>
          <w:p>
            <w:r>
              <w:t>Qualità percepita dal cliente e puntualità</w:t>
            </w:r>
          </w:p>
        </w:tc>
        <w:tc>
          <w:tcPr>
            <w:tcW w:type="dxa" w:w="3400"/>
          </w:tcPr>
          <w:p>
            <w:r>
              <w:t>Non imputare ritardi dovuti a materiali, decisioni commerciali o variazioni cliente</w:t>
            </w:r>
          </w:p>
        </w:tc>
      </w:tr>
      <w:tr>
        <w:tc>
          <w:tcPr>
            <w:tcW w:type="dxa" w:w="3400"/>
          </w:tcPr>
          <w:p>
            <w:r>
              <w:t>R</w:t>
            </w:r>
          </w:p>
        </w:tc>
        <w:tc>
          <w:tcPr>
            <w:tcW w:type="dxa" w:w="3400"/>
          </w:tcPr>
          <w:p>
            <w:r>
              <w:t>Capacità dell'azienda di produrre margine</w:t>
            </w:r>
          </w:p>
        </w:tc>
        <w:tc>
          <w:tcPr>
            <w:tcW w:type="dxa" w:w="3400"/>
          </w:tcPr>
          <w:p>
            <w:r>
              <w:t>Budget verificabile e confronto omogeneo con mercato e volumi</w:t>
            </w:r>
          </w:p>
        </w:tc>
      </w:tr>
    </w:tbl>
    <w:p/>
    <w:p>
      <w:pPr>
        <w:pStyle w:val="Heading1"/>
      </w:pPr>
      <w:r>
        <w:t>4. Quattro esempi completi</w:t>
      </w:r>
    </w:p>
    <w:p>
      <w:pPr>
        <w:pStyle w:val="Heading2"/>
      </w:pPr>
      <w:r>
        <w:t>Esempio minimo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</w:t>
            </w:r>
          </w:p>
        </w:tc>
      </w:tr>
      <w:tr>
        <w:tc>
          <w:tcPr>
            <w:tcW w:type="dxa" w:w="5100"/>
          </w:tcPr>
          <w:p>
            <w:r>
              <w:t>E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NQ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S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R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</w:tbl>
    <w:p/>
    <w:p>
      <w:r>
        <w:t>Calcolo: 1.500 × 0,50</w:t>
      </w:r>
    </w:p>
    <w:p>
      <w:r>
        <w:rPr>
          <w:b/>
        </w:rPr>
        <w:t>Premio risultante: € 750,00</w:t>
      </w:r>
    </w:p>
    <w:p>
      <w:r>
        <w:t>Tutte le aree sono al livello minimo. Un eventuale pavimento inferiore va negoziato separatamente.</w:t>
      </w:r>
    </w:p>
    <w:p>
      <w:pPr>
        <w:pStyle w:val="Heading2"/>
      </w:pPr>
      <w:r>
        <w:t>Esempio intermedio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</w:t>
            </w:r>
          </w:p>
        </w:tc>
      </w:tr>
      <w:tr>
        <w:tc>
          <w:tcPr>
            <w:tcW w:type="dxa" w:w="5100"/>
          </w:tcPr>
          <w:p>
            <w:r>
              <w:t>E</w:t>
            </w:r>
          </w:p>
        </w:tc>
        <w:tc>
          <w:tcPr>
            <w:tcW w:type="dxa" w:w="5100"/>
          </w:tcPr>
          <w:p>
            <w:r>
              <w:t>0,75</w:t>
            </w:r>
          </w:p>
        </w:tc>
      </w:tr>
      <w:tr>
        <w:tc>
          <w:tcPr>
            <w:tcW w:type="dxa" w:w="5100"/>
          </w:tcPr>
          <w:p>
            <w:r>
              <w:t>NQ</w:t>
            </w:r>
          </w:p>
        </w:tc>
        <w:tc>
          <w:tcPr>
            <w:tcW w:type="dxa" w:w="5100"/>
          </w:tcPr>
          <w:p>
            <w:r>
              <w:t>0,80</w:t>
            </w:r>
          </w:p>
        </w:tc>
      </w:tr>
      <w:tr>
        <w:tc>
          <w:tcPr>
            <w:tcW w:type="dxa" w:w="5100"/>
          </w:tcPr>
          <w:p>
            <w:r>
              <w:t>S</w:t>
            </w:r>
          </w:p>
        </w:tc>
        <w:tc>
          <w:tcPr>
            <w:tcW w:type="dxa" w:w="5100"/>
          </w:tcPr>
          <w:p>
            <w:r>
              <w:t>0,75</w:t>
            </w:r>
          </w:p>
        </w:tc>
      </w:tr>
      <w:tr>
        <w:tc>
          <w:tcPr>
            <w:tcW w:type="dxa" w:w="5100"/>
          </w:tcPr>
          <w:p>
            <w:r>
              <w:t>R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</w:tbl>
    <w:p/>
    <w:p>
      <w:r>
        <w:t>Calcolo: 1.500 × [(0,25×0,75)+(0,25×0,80)+(0,25×0,75)+(0,25×0,50)]</w:t>
      </w:r>
    </w:p>
    <w:p>
      <w:r>
        <w:rPr>
          <w:b/>
        </w:rPr>
        <w:t>Premio risultante: € 1.050,00</w:t>
      </w:r>
    </w:p>
    <w:p>
      <w:r>
        <w:t>Prestazioni industriali parziali e risultato economico debole producono il 70% del premio target.</w:t>
      </w:r>
    </w:p>
    <w:p>
      <w:pPr>
        <w:pStyle w:val="Heading2"/>
      </w:pPr>
      <w:r>
        <w:t>Esempio intermedio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</w:t>
            </w:r>
          </w:p>
        </w:tc>
      </w:tr>
      <w:tr>
        <w:tc>
          <w:tcPr>
            <w:tcW w:type="dxa" w:w="5100"/>
          </w:tcPr>
          <w:p>
            <w:r>
              <w:t>E</w:t>
            </w:r>
          </w:p>
        </w:tc>
        <w:tc>
          <w:tcPr>
            <w:tcW w:type="dxa" w:w="5100"/>
          </w:tcPr>
          <w:p>
            <w:r>
              <w:t>1,10</w:t>
            </w:r>
          </w:p>
        </w:tc>
      </w:tr>
      <w:tr>
        <w:tc>
          <w:tcPr>
            <w:tcW w:type="dxa" w:w="5100"/>
          </w:tcPr>
          <w:p>
            <w:r>
              <w:t>NQ</w:t>
            </w:r>
          </w:p>
        </w:tc>
        <w:tc>
          <w:tcPr>
            <w:tcW w:type="dxa" w:w="5100"/>
          </w:tcPr>
          <w:p>
            <w:r>
              <w:t>1,00</w:t>
            </w:r>
          </w:p>
        </w:tc>
      </w:tr>
      <w:tr>
        <w:tc>
          <w:tcPr>
            <w:tcW w:type="dxa" w:w="5100"/>
          </w:tcPr>
          <w:p>
            <w:r>
              <w:t>S</w:t>
            </w:r>
          </w:p>
        </w:tc>
        <w:tc>
          <w:tcPr>
            <w:tcW w:type="dxa" w:w="5100"/>
          </w:tcPr>
          <w:p>
            <w:r>
              <w:t>1,10</w:t>
            </w:r>
          </w:p>
        </w:tc>
      </w:tr>
      <w:tr>
        <w:tc>
          <w:tcPr>
            <w:tcW w:type="dxa" w:w="5100"/>
          </w:tcPr>
          <w:p>
            <w:r>
              <w:t>R</w:t>
            </w:r>
          </w:p>
        </w:tc>
        <w:tc>
          <w:tcPr>
            <w:tcW w:type="dxa" w:w="5100"/>
          </w:tcPr>
          <w:p>
            <w:r>
              <w:t>0,75</w:t>
            </w:r>
          </w:p>
        </w:tc>
      </w:tr>
    </w:tbl>
    <w:p/>
    <w:p>
      <w:r>
        <w:t>Calcolo: 1.500 × 0,9875</w:t>
      </w:r>
    </w:p>
    <w:p>
      <w:r>
        <w:rPr>
          <w:b/>
        </w:rPr>
        <w:t>Premio risultante: € 1.481,25</w:t>
      </w:r>
    </w:p>
    <w:p>
      <w:r>
        <w:t>Efficienza e servizio sopra target compensano solo in parte il risultato economico inferiore al target.</w:t>
      </w:r>
    </w:p>
    <w:p>
      <w:pPr>
        <w:pStyle w:val="Heading2"/>
      </w:pPr>
      <w:r>
        <w:t>Esempio massimo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</w:t>
            </w:r>
          </w:p>
        </w:tc>
      </w:tr>
      <w:tr>
        <w:tc>
          <w:tcPr>
            <w:tcW w:type="dxa" w:w="5100"/>
          </w:tcPr>
          <w:p>
            <w:r>
              <w:t>E, NQ, S e R</w:t>
            </w:r>
          </w:p>
        </w:tc>
        <w:tc>
          <w:tcPr>
            <w:tcW w:type="dxa" w:w="5100"/>
          </w:tcPr>
          <w:p>
            <w:r>
              <w:t>1,20</w:t>
            </w:r>
          </w:p>
        </w:tc>
      </w:tr>
    </w:tbl>
    <w:p/>
    <w:p>
      <w:r>
        <w:t>Calcolo: 1.500 × 1,20</w:t>
      </w:r>
    </w:p>
    <w:p>
      <w:r>
        <w:rPr>
          <w:b/>
        </w:rPr>
        <w:t>Premio risultante: € 1.800,00</w:t>
      </w:r>
    </w:p>
    <w:p>
      <w:r>
        <w:t>Il massimo richiede il livello di eccellenza in tutte le quattro aree.</w:t>
      </w:r>
    </w:p>
    <w:p>
      <w:pPr>
        <w:pStyle w:val="Heading1"/>
      </w:pPr>
      <w:r>
        <w:t>Disciplina completa di erogazione</w:t>
      </w:r>
    </w:p>
    <w:p>
      <w:pPr>
        <w:pStyle w:val="Heading2"/>
      </w:pPr>
      <w:r>
        <w:t>Destinatari</w:t>
      </w:r>
    </w:p>
    <w:p>
      <w:r>
        <w:t>Il premio spetta ai lavoratori subordinati in forza nel periodo di maturazione, compresi tempo determinato, apprendisti e part-time, secondo criteri non discriminatori. Per il part-time l'importo è proporzionato all'orario contrattuale. Per assunzioni e cessazioni in corso d'anno si applicano i dodicesimi maturati, considerando mese intero quello con almeno 15 giorni utili.</w:t>
      </w:r>
    </w:p>
    <w:p>
      <w:pPr>
        <w:pStyle w:val="Heading2"/>
      </w:pPr>
      <w:r>
        <w:t>Periodo di maturazione</w:t>
      </w:r>
    </w:p>
    <w:p>
      <w:r>
        <w:t>La maturazione decorre dal 1° gennaio al 31 dicembre di ciascun anno. Il risultato viene consuntivato entro maggio dell'anno successivo. Non sono previsti rinnovi taciti oltre il 31 dicembre 2029.</w:t>
      </w:r>
    </w:p>
    <w:p>
      <w:pPr>
        <w:pStyle w:val="Heading2"/>
      </w:pPr>
      <w:r>
        <w:t>Pagamento</w:t>
      </w:r>
    </w:p>
    <w:p>
      <w:r>
        <w:t>Il premio è liquidato dopo il consuntivo, preferibilmente in due rate uguali nei cedolini di giugno e agosto. Il prospetto individuale deve indicare importo target, coefficienti, quote maturate, riproporzionamenti e totale lordo.</w:t>
      </w:r>
    </w:p>
    <w:p>
      <w:pPr>
        <w:pStyle w:val="Heading2"/>
      </w:pPr>
      <w:r>
        <w:t>Welfare</w:t>
      </w:r>
    </w:p>
    <w:p>
      <w:r>
        <w:t>Il lavoratore può scegliere, nei limiti di legge e con scelta libera e informata, la conversione totale o parziale del premio in welfare. L'eventuale incentivo aggiuntivo aziendale deve essere indicato separatamente e non può ridurre l'importo monetario maturato. Termini, piattaforma, residui e casi di cessazione devono essere comunicati per iscritto.</w:t>
      </w:r>
    </w:p>
    <w:p>
      <w:pPr>
        <w:pStyle w:val="Heading2"/>
      </w:pPr>
      <w:r>
        <w:t>Fiscalità e deposito</w:t>
      </w:r>
    </w:p>
    <w:p>
      <w:r>
        <w:t>L'applicazione di imposta sostitutiva, decontribuzione o altri benefici avviene soltanto se ricorrono i requisiti normativi vigenti nell'anno di erogazione. L'azienda cura deposito e dichiarazioni previste. Il testo non garantisce un'aliquota futura determinata.</w:t>
      </w:r>
    </w:p>
    <w:p>
      <w:pPr>
        <w:pStyle w:val="Heading2"/>
      </w:pPr>
      <w:r>
        <w:t>Assenze e riproporzionamenti</w:t>
      </w:r>
    </w:p>
    <w:p>
      <w:r>
        <w:t>Ferie, PAR, permessi sindacali, maternità/paternità, infortuni, donazione sangue, legge 104, ricoveri, terapie salvavita e altre assenze tutelate non possono produrre penalizzazioni ulteriori rispetto alle regole espressamente concordate. Le assenze considerate dal KPI presenza devono essere elencate in modo tassativo.</w:t>
      </w:r>
    </w:p>
    <w:p>
      <w:pPr>
        <w:pStyle w:val="Heading2"/>
      </w:pPr>
      <w:r>
        <w:t>Commissione PDR</w:t>
      </w:r>
    </w:p>
    <w:p>
      <w:r>
        <w:t>È istituita una Commissione paritetica Azienda–RSU con accesso ai dati necessari. Si riunisce almeno trimestralmente, verbalizza valori, anomalie, neutralizzazioni, azioni correttive e stima aggiornata del premio. Le contestazioni sul calcolo sono esaminate prima della liquidazione.</w:t>
      </w:r>
    </w:p>
    <w:p>
      <w:pPr>
        <w:pStyle w:val="Heading2"/>
      </w:pPr>
      <w:r>
        <w:t>Onnicomprensività e TFR</w:t>
      </w:r>
    </w:p>
    <w:p>
      <w:r>
        <w:t>L'eventuale esclusione del premio dal computo di altri istituti e dal TFR deve risultare da clausola espressa, conforme alla normativa e al CCNL applicabile. Gli importi riportati sono lordi e soggetti al trattamento contributivo e fiscale vigente al momento dell'erogazione.</w:t>
      </w:r>
    </w:p>
    <w:p>
      <w:pPr>
        <w:pStyle w:val="Heading2"/>
      </w:pPr>
      <w:r>
        <w:t>Riservatezza</w:t>
      </w:r>
    </w:p>
    <w:p>
      <w:r>
        <w:t>La riservatezza può riguardare dati aziendali specificamente identificati, ma non può impedire alla RSU di verificare il premio né di spiegare ai lavoratori criteri, risultati e importi. I dati personali sono trattati solo per le finalità dell'accordo.</w:t>
      </w:r>
    </w:p>
    <w:p>
      <w:pPr>
        <w:pStyle w:val="Heading1"/>
      </w:pPr>
      <w:r>
        <w:t>Allegato tecnico da completare prima della firma</w:t>
      </w:r>
    </w:p>
    <w:p>
      <w:r>
        <w:t>La proposta diventa calcolabile soltanto compilando questa tabella con dati ufficiali. Le caselle non possono restare indefinite nell'accordo sottoscritto.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rPr>
                <w:b/>
              </w:rPr>
              <w:t>KPI</w:t>
            </w:r>
          </w:p>
        </w:tc>
        <w:tc>
          <w:tcPr>
            <w:tcW w:type="dxa" w:w="1457"/>
          </w:tcPr>
          <w:p>
            <w:r>
              <w:rPr>
                <w:b/>
              </w:rPr>
              <w:t>Fonte</w:t>
            </w:r>
          </w:p>
        </w:tc>
        <w:tc>
          <w:tcPr>
            <w:tcW w:type="dxa" w:w="1457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1457"/>
          </w:tcPr>
          <w:p>
            <w:r>
              <w:rPr>
                <w:b/>
              </w:rPr>
              <w:t>Soglia minima</w:t>
            </w:r>
          </w:p>
        </w:tc>
        <w:tc>
          <w:tcPr>
            <w:tcW w:type="dxa" w:w="145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457"/>
          </w:tcPr>
          <w:p>
            <w:r>
              <w:rPr>
                <w:b/>
              </w:rPr>
              <w:t>Massimo</w:t>
            </w:r>
          </w:p>
        </w:tc>
        <w:tc>
          <w:tcPr>
            <w:tcW w:type="dxa" w:w="1457"/>
          </w:tcPr>
          <w:p>
            <w:r>
              <w:rPr>
                <w:b/>
              </w:rPr>
              <w:t>Frequenza</w:t>
            </w:r>
          </w:p>
        </w:tc>
      </w:tr>
      <w:tr>
        <w:tc>
          <w:tcPr>
            <w:tcW w:type="dxa" w:w="1457"/>
          </w:tcPr>
          <w:p>
            <w:r>
              <w:t>Efficienza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Mensile</w:t>
            </w:r>
          </w:p>
        </w:tc>
      </w:tr>
      <w:tr>
        <w:tc>
          <w:tcPr>
            <w:tcW w:type="dxa" w:w="1457"/>
          </w:tcPr>
          <w:p>
            <w:r>
              <w:t>Qualità/scarti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Mensile</w:t>
            </w:r>
          </w:p>
        </w:tc>
      </w:tr>
      <w:tr>
        <w:tc>
          <w:tcPr>
            <w:tcW w:type="dxa" w:w="1457"/>
          </w:tcPr>
          <w:p>
            <w:r>
              <w:t>Organizzazione/fermi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Mensile</w:t>
            </w:r>
          </w:p>
        </w:tc>
      </w:tr>
      <w:tr>
        <w:tc>
          <w:tcPr>
            <w:tcW w:type="dxa" w:w="1457"/>
          </w:tcPr>
          <w:p>
            <w:r>
              <w:t>Consegne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Mensile</w:t>
            </w:r>
          </w:p>
        </w:tc>
      </w:tr>
      <w:tr>
        <w:tc>
          <w:tcPr>
            <w:tcW w:type="dxa" w:w="1457"/>
          </w:tcPr>
          <w:p>
            <w:r>
              <w:t>Competenze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Trimestrale</w:t>
            </w:r>
          </w:p>
        </w:tc>
      </w:tr>
      <w:tr>
        <w:tc>
          <w:tcPr>
            <w:tcW w:type="dxa" w:w="1457"/>
          </w:tcPr>
          <w:p>
            <w:r>
              <w:t>Economico/finanziario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Trimestrale</w:t>
            </w:r>
          </w:p>
        </w:tc>
      </w:tr>
      <w:tr>
        <w:tc>
          <w:tcPr>
            <w:tcW w:type="dxa" w:w="1457"/>
          </w:tcPr>
          <w:p>
            <w:r>
              <w:t>Presenza</w:t>
            </w:r>
          </w:p>
        </w:tc>
        <w:tc>
          <w:tcPr>
            <w:tcW w:type="dxa" w:w="1457"/>
          </w:tcPr>
          <w:p>
            <w:r>
              <w:t>Paghe</w:t>
            </w:r>
          </w:p>
        </w:tc>
        <w:tc>
          <w:tcPr>
            <w:tcW w:type="dxa" w:w="1457"/>
          </w:tcPr>
          <w:p>
            <w:r>
              <w:t>Scaglioni accordo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Annuale</w:t>
            </w:r>
          </w:p>
        </w:tc>
      </w:tr>
    </w:tbl>
    <w:p/>
    <w:p>
      <w:pPr>
        <w:pStyle w:val="Heading2"/>
      </w:pPr>
      <w:r>
        <w:t>Tracciato del cruscotto periodico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>
              <w:rPr>
                <w:b/>
              </w:rPr>
              <w:t>Periodo</w:t>
            </w:r>
          </w:p>
        </w:tc>
        <w:tc>
          <w:tcPr>
            <w:tcW w:type="dxa" w:w="1275"/>
          </w:tcPr>
          <w:p>
            <w:r>
              <w:rPr>
                <w:b/>
              </w:rPr>
              <w:t>KPI</w:t>
            </w:r>
          </w:p>
        </w:tc>
        <w:tc>
          <w:tcPr>
            <w:tcW w:type="dxa" w:w="1275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275"/>
          </w:tcPr>
          <w:p>
            <w:r>
              <w:rPr>
                <w:b/>
              </w:rPr>
              <w:t>Consuntivo</w:t>
            </w:r>
          </w:p>
        </w:tc>
        <w:tc>
          <w:tcPr>
            <w:tcW w:type="dxa" w:w="1275"/>
          </w:tcPr>
          <w:p>
            <w:r>
              <w:rPr>
                <w:b/>
              </w:rPr>
              <w:t>Coeff.</w:t>
            </w:r>
          </w:p>
        </w:tc>
        <w:tc>
          <w:tcPr>
            <w:tcW w:type="dxa" w:w="1275"/>
          </w:tcPr>
          <w:p>
            <w:r>
              <w:rPr>
                <w:b/>
              </w:rPr>
              <w:t>Quota €</w:t>
            </w:r>
          </w:p>
        </w:tc>
        <w:tc>
          <w:tcPr>
            <w:tcW w:type="dxa" w:w="1275"/>
          </w:tcPr>
          <w:p>
            <w:r>
              <w:rPr>
                <w:b/>
              </w:rPr>
              <w:t>Neutralizzazioni</w:t>
            </w:r>
          </w:p>
        </w:tc>
        <w:tc>
          <w:tcPr>
            <w:tcW w:type="dxa" w:w="1275"/>
          </w:tcPr>
          <w:p>
            <w:r>
              <w:rPr>
                <w:b/>
              </w:rPr>
              <w:t>Nota RSU</w:t>
            </w:r>
          </w:p>
        </w:tc>
      </w:tr>
      <w:tr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</w:tr>
      <w:tr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</w:tr>
      <w:tr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</w:tr>
    </w:tbl>
    <w:p/>
    <w:p>
      <w:pPr>
        <w:pStyle w:val="Heading1"/>
      </w:pPr>
      <w:r>
        <w:t>Dati Sitem oggi disponibili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3400"/>
          </w:tcPr>
          <w:p>
            <w:r>
              <w:rPr>
                <w:b/>
              </w:rPr>
              <w:t>Valore approssimato</w:t>
            </w:r>
          </w:p>
        </w:tc>
        <w:tc>
          <w:tcPr>
            <w:tcW w:type="dxa" w:w="3400"/>
          </w:tcPr>
          <w:p>
            <w:r>
              <w:rPr>
                <w:b/>
              </w:rPr>
              <w:t>Significato</w:t>
            </w:r>
          </w:p>
        </w:tc>
      </w:tr>
      <w:tr>
        <w:tc>
          <w:tcPr>
            <w:tcW w:type="dxa" w:w="3400"/>
          </w:tcPr>
          <w:p>
            <w:r>
              <w:t>Consegne puntuali gen–lug</w:t>
            </w:r>
          </w:p>
        </w:tc>
        <w:tc>
          <w:tcPr>
            <w:tcW w:type="dxa" w:w="3400"/>
          </w:tcPr>
          <w:p>
            <w:r>
              <w:t>79%, 78%, 68%, 71%, 64%, 61%, 67%</w:t>
            </w:r>
          </w:p>
        </w:tc>
        <w:tc>
          <w:tcPr>
            <w:tcW w:type="dxa" w:w="3400"/>
          </w:tcPr>
          <w:p>
            <w:r>
              <w:t>Media 69,7%, inferiore al target dell'80%</w:t>
            </w:r>
          </w:p>
        </w:tc>
      </w:tr>
      <w:tr>
        <w:tc>
          <w:tcPr>
            <w:tcW w:type="dxa" w:w="3400"/>
          </w:tcPr>
          <w:p>
            <w:r>
              <w:t>Proiezione annua consegne</w:t>
            </w:r>
          </w:p>
        </w:tc>
        <w:tc>
          <w:tcPr>
            <w:tcW w:type="dxa" w:w="3400"/>
          </w:tcPr>
          <w:p>
            <w:r>
              <w:t>67–70%</w:t>
            </w:r>
          </w:p>
        </w:tc>
        <w:tc>
          <w:tcPr>
            <w:tcW w:type="dxa" w:w="3400"/>
          </w:tcPr>
          <w:p>
            <w:r>
              <w:t>Per chiudere all'80% servirebbe circa 94,4% medio da agosto a dicembre</w:t>
            </w:r>
          </w:p>
        </w:tc>
      </w:tr>
      <w:tr>
        <w:tc>
          <w:tcPr>
            <w:tcW w:type="dxa" w:w="3400"/>
          </w:tcPr>
          <w:p>
            <w:r>
              <w:t>Produzione pressofusione gen–giu</w:t>
            </w:r>
          </w:p>
        </w:tc>
        <w:tc>
          <w:tcPr>
            <w:tcW w:type="dxa" w:w="3400"/>
          </w:tcPr>
          <w:p>
            <w:r>
              <w:t>circa 1,293 milioni kg</w:t>
            </w:r>
          </w:p>
        </w:tc>
        <w:tc>
          <w:tcPr>
            <w:tcW w:type="dxa" w:w="3400"/>
          </w:tcPr>
          <w:p>
            <w:r>
              <w:t>Proiezione annua circa 2,587 milioni kg</w:t>
            </w:r>
          </w:p>
        </w:tc>
      </w:tr>
      <w:tr>
        <w:tc>
          <w:tcPr>
            <w:tcW w:type="dxa" w:w="3400"/>
          </w:tcPr>
          <w:p>
            <w:r>
              <w:t>Ore lavorate gen–giu</w:t>
            </w:r>
          </w:p>
        </w:tc>
        <w:tc>
          <w:tcPr>
            <w:tcW w:type="dxa" w:w="3400"/>
          </w:tcPr>
          <w:p>
            <w:r>
              <w:t>circa 23.723</w:t>
            </w:r>
          </w:p>
        </w:tc>
        <w:tc>
          <w:tcPr>
            <w:tcW w:type="dxa" w:w="3400"/>
          </w:tcPr>
          <w:p>
            <w:r>
              <w:t>Proiezione annua circa 47.446 ore</w:t>
            </w:r>
          </w:p>
        </w:tc>
      </w:tr>
      <w:tr>
        <w:tc>
          <w:tcPr>
            <w:tcW w:type="dxa" w:w="3400"/>
          </w:tcPr>
          <w:p>
            <w:r>
              <w:t>Produttività apparente</w:t>
            </w:r>
          </w:p>
        </w:tc>
        <w:tc>
          <w:tcPr>
            <w:tcW w:type="dxa" w:w="3400"/>
          </w:tcPr>
          <w:p>
            <w:r>
              <w:t>circa 54,5 kg/ora</w:t>
            </w:r>
          </w:p>
        </w:tc>
        <w:tc>
          <w:tcPr>
            <w:tcW w:type="dxa" w:w="3400"/>
          </w:tcPr>
          <w:p>
            <w:r>
              <w:t>Dato apparentemente stabile, da verificare per mix e pezzi conformi</w:t>
            </w:r>
          </w:p>
        </w:tc>
      </w:tr>
      <w:tr>
        <w:tc>
          <w:tcPr>
            <w:tcW w:type="dxa" w:w="3400"/>
          </w:tcPr>
          <w:p>
            <w:r>
              <w:t>Fermi macchina</w:t>
            </w:r>
          </w:p>
        </w:tc>
        <w:tc>
          <w:tcPr>
            <w:tcW w:type="dxa" w:w="3400"/>
          </w:tcPr>
          <w:p>
            <w:r>
              <w:t>prevalenza componente struttura</w:t>
            </w:r>
          </w:p>
        </w:tc>
        <w:tc>
          <w:tcPr>
            <w:tcW w:type="dxa" w:w="3400"/>
          </w:tcPr>
          <w:p>
            <w:r>
              <w:t>Distinguere struttura, attrezzature, cambi stampo e altre cause</w:t>
            </w:r>
          </w:p>
        </w:tc>
      </w:tr>
    </w:tbl>
    <w:p/>
    <w:p>
      <w:r>
        <w:t>Conclusione prudenziale: il calo delle consegne non dimostra da solo un calo di produttività dei lavoratori. Vanno separati programmazione, materiali, manutenzione, impianti, attrezzaggi, mix e responsabilità operative.</w:t>
      </w:r>
    </w:p>
    <w:p>
      <w:pPr>
        <w:pStyle w:val="Heading1"/>
      </w:pPr>
      <w:r>
        <w:t>Regole di trasparenza e tutela</w:t>
      </w:r>
    </w:p>
    <w:p>
      <w:pPr>
        <w:pStyle w:val="ListBullet"/>
      </w:pPr>
      <w:r>
        <w:t>Ogni KPI deve indicare formula, unità di misura, fonte informatica, responsabile dell'estrazione e periodicità.</w:t>
      </w:r>
    </w:p>
    <w:p>
      <w:pPr>
        <w:pStyle w:val="ListBullet"/>
      </w:pPr>
      <w:r>
        <w:t>Baseline e target devono essere fissati prima dell'inizio del periodo e non modificabili unilateralmente.</w:t>
      </w:r>
    </w:p>
    <w:p>
      <w:pPr>
        <w:pStyle w:val="ListBullet"/>
      </w:pPr>
      <w:r>
        <w:t>Ogni indicatore incide soltanto sulla propria quota: nessun KPI azzera l'intero premio.</w:t>
      </w:r>
    </w:p>
    <w:p>
      <w:pPr>
        <w:pStyle w:val="ListBullet"/>
      </w:pPr>
      <w:r>
        <w:t>Guasti, carenza materiali, fermate aziendali, manutenzioni, prove cliente, forza maggiore e variazioni rilevanti del mix devono essere neutralizzati quando non governabili dai lavoratori.</w:t>
      </w:r>
    </w:p>
    <w:p>
      <w:pPr>
        <w:pStyle w:val="ListBullet"/>
      </w:pPr>
      <w:r>
        <w:t>La RSU riceve un cruscotto mensile e verifica almeno trimestralmente dati, scostamenti, neutralizzazioni e proiezione del premio.</w:t>
      </w:r>
    </w:p>
    <w:p>
      <w:pPr>
        <w:pStyle w:val="ListBullet"/>
      </w:pPr>
      <w:r>
        <w:t>Il consuntivo deve permettere di rifare il calcolo partendo dai dati elementari.</w:t>
      </w:r>
    </w:p>
    <w:p>
      <w:pPr>
        <w:pStyle w:val="Heading1"/>
      </w:pPr>
      <w:r>
        <w:t>Chiusura della proposta</w:t>
      </w:r>
    </w:p>
    <w:p>
      <w:r>
        <w:t>Durata proposta: dal 1° gennaio 2026 al 31 dicembre 2029. Verifica tecnica annuale senza modifica automatica di pesi, formule e soglie.</w:t>
      </w:r>
    </w:p>
    <w:p>
      <w:r>
        <w:t>Luogo e data: ______________________________</w:t>
      </w:r>
    </w:p>
    <w:p>
      <w:r>
        <w:t>Per l'Azienda: _____________________________</w:t>
      </w:r>
    </w:p>
    <w:p>
      <w:r>
        <w:t>Per la RSU / OO.SS.: ______________________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