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Modello finanziario-amministrativo</w:t>
      </w:r>
    </w:p>
    <w:p>
      <w:pPr>
        <w:jc w:val="center"/>
      </w:pPr>
      <w:r>
        <w:rPr>
          <w:b/>
          <w:color w:val="1F4E79"/>
        </w:rPr>
        <w:t>KPI industriali con EBITDA/MOL e qualità degli incassi</w:t>
      </w:r>
    </w:p>
    <w:p>
      <w:r>
        <w:t>Bozza completa per assemblea e confronto negoziale. I dati fotografici sono indicativi e devono essere sostituiti dai dati ufficiali prima della sottoscrizione.</w:t>
      </w:r>
    </w:p>
    <w:p>
      <w:pPr>
        <w:pStyle w:val="Heading1"/>
      </w:pPr>
      <w:r>
        <w:t>1. Finalità</w:t>
      </w:r>
    </w:p>
    <w:p>
      <w:r>
        <w:t>Il modello aggiunge due indicatori economico-amministrativi misurabili e comunicabili durante l'anno, senza trasformarli in condizioni che annullano il premio industriale.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55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Quota target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Frequenza</w:t>
            </w:r>
          </w:p>
        </w:tc>
      </w:tr>
      <w:tr>
        <w:tc>
          <w:tcPr>
            <w:tcW w:type="dxa" w:w="2550"/>
          </w:tcPr>
          <w:p>
            <w:r>
              <w:t>E – Efficienza</w:t>
            </w:r>
          </w:p>
        </w:tc>
        <w:tc>
          <w:tcPr>
            <w:tcW w:type="dxa" w:w="2550"/>
          </w:tcPr>
          <w:p>
            <w:r>
              <w:t>25%</w:t>
            </w:r>
          </w:p>
        </w:tc>
        <w:tc>
          <w:tcPr>
            <w:tcW w:type="dxa" w:w="2550"/>
          </w:tcPr>
          <w:p>
            <w:r>
              <w:t>€ 375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</w:tr>
      <w:tr>
        <w:tc>
          <w:tcPr>
            <w:tcW w:type="dxa" w:w="2550"/>
          </w:tcPr>
          <w:p>
            <w:r>
              <w:t>Q – Qualità</w:t>
            </w:r>
          </w:p>
        </w:tc>
        <w:tc>
          <w:tcPr>
            <w:tcW w:type="dxa" w:w="2550"/>
          </w:tcPr>
          <w:p>
            <w:r>
              <w:t>20%</w:t>
            </w:r>
          </w:p>
        </w:tc>
        <w:tc>
          <w:tcPr>
            <w:tcW w:type="dxa" w:w="2550"/>
          </w:tcPr>
          <w:p>
            <w:r>
              <w:t>€ 300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</w:tr>
      <w:tr>
        <w:tc>
          <w:tcPr>
            <w:tcW w:type="dxa" w:w="2550"/>
          </w:tcPr>
          <w:p>
            <w:r>
              <w:t>O – Consegne/organizzazione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</w:tr>
      <w:tr>
        <w:tc>
          <w:tcPr>
            <w:tcW w:type="dxa" w:w="2550"/>
          </w:tcPr>
          <w:p>
            <w:r>
              <w:t>C – Fermi governabili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€ 150</w:t>
            </w:r>
          </w:p>
        </w:tc>
        <w:tc>
          <w:tcPr>
            <w:tcW w:type="dxa" w:w="2550"/>
          </w:tcPr>
          <w:p>
            <w:r>
              <w:t>Mensile</w:t>
            </w:r>
          </w:p>
        </w:tc>
      </w:tr>
      <w:tr>
        <w:tc>
          <w:tcPr>
            <w:tcW w:type="dxa" w:w="2550"/>
          </w:tcPr>
          <w:p>
            <w:r>
              <w:t>M – Margine EBITDA/MOL</w:t>
            </w:r>
          </w:p>
        </w:tc>
        <w:tc>
          <w:tcPr>
            <w:tcW w:type="dxa" w:w="2550"/>
          </w:tcPr>
          <w:p>
            <w:r>
              <w:t>15%</w:t>
            </w:r>
          </w:p>
        </w:tc>
        <w:tc>
          <w:tcPr>
            <w:tcW w:type="dxa" w:w="2550"/>
          </w:tcPr>
          <w:p>
            <w:r>
              <w:t>€ 225</w:t>
            </w:r>
          </w:p>
        </w:tc>
        <w:tc>
          <w:tcPr>
            <w:tcW w:type="dxa" w:w="2550"/>
          </w:tcPr>
          <w:p>
            <w:r>
              <w:t>Trimestrale</w:t>
            </w:r>
          </w:p>
        </w:tc>
      </w:tr>
      <w:tr>
        <w:tc>
          <w:tcPr>
            <w:tcW w:type="dxa" w:w="2550"/>
          </w:tcPr>
          <w:p>
            <w:r>
              <w:t>I – Qualità degli incassi</w:t>
            </w:r>
          </w:p>
        </w:tc>
        <w:tc>
          <w:tcPr>
            <w:tcW w:type="dxa" w:w="2550"/>
          </w:tcPr>
          <w:p>
            <w:r>
              <w:t>10%</w:t>
            </w:r>
          </w:p>
        </w:tc>
        <w:tc>
          <w:tcPr>
            <w:tcW w:type="dxa" w:w="2550"/>
          </w:tcPr>
          <w:p>
            <w:r>
              <w:t>€ 150</w:t>
            </w:r>
          </w:p>
        </w:tc>
        <w:tc>
          <w:tcPr>
            <w:tcW w:type="dxa" w:w="2550"/>
          </w:tcPr>
          <w:p>
            <w:r>
              <w:t>Mensile/trimestrale</w:t>
            </w:r>
          </w:p>
        </w:tc>
      </w:tr>
      <w:tr>
        <w:tc>
          <w:tcPr>
            <w:tcW w:type="dxa" w:w="2550"/>
          </w:tcPr>
          <w:p>
            <w:r>
              <w:t>P – Presenza individuale</w:t>
            </w:r>
          </w:p>
        </w:tc>
        <w:tc>
          <w:tcPr>
            <w:tcW w:type="dxa" w:w="2550"/>
          </w:tcPr>
          <w:p>
            <w:r>
              <w:t>5%</w:t>
            </w:r>
          </w:p>
        </w:tc>
        <w:tc>
          <w:tcPr>
            <w:tcW w:type="dxa" w:w="2550"/>
          </w:tcPr>
          <w:p>
            <w:r>
              <w:t>€ 75</w:t>
            </w:r>
          </w:p>
        </w:tc>
        <w:tc>
          <w:tcPr>
            <w:tcW w:type="dxa" w:w="2550"/>
          </w:tcPr>
          <w:p>
            <w:r>
              <w:t>Annuale</w:t>
            </w:r>
          </w:p>
        </w:tc>
      </w:tr>
    </w:tbl>
    <w:p/>
    <w:p>
      <w:pPr>
        <w:pStyle w:val="Heading1"/>
      </w:pPr>
      <w:r>
        <w:t>2. KPI finanziario: margine EBITDA/MOL</w:t>
      </w:r>
    </w:p>
    <w:p>
      <w:r>
        <w:t>Formula: EBITDA o MOL / ricavi netti × 100. Misura il risultato della gestione operativa prima di interessi, imposte e componenti straordinarie. Il budget usato come target deve essere consegnato alla RSU in forma verificabile.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Risultato rispetto al target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Coeff. M</w:t>
            </w:r>
          </w:p>
        </w:tc>
      </w:tr>
      <w:tr>
        <w:tc>
          <w:tcPr>
            <w:tcW w:type="dxa" w:w="5100"/>
          </w:tcPr>
          <w:p>
            <w:r>
              <w:t>≤ -10%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-5%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+5%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≥ +10%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pPr>
        <w:pStyle w:val="Heading1"/>
      </w:pPr>
      <w:r>
        <w:t>3. KPI amministrativo: qualità degli incassi</w:t>
      </w:r>
    </w:p>
    <w:p>
      <w:r>
        <w:t>Formula: crediti commerciali scaduti da oltre 90 giorni / crediti commerciali totali × 100. Essendo un indicatore da ridurre, il miglioramento corrisponde a una percentuale più bassa. In alternativa può essere usato il DSO, purché la formula sia allegata.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Scostamento dal target di scaduto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Coeff. I</w:t>
            </w:r>
          </w:p>
        </w:tc>
      </w:tr>
      <w:tr>
        <w:tc>
          <w:tcPr>
            <w:tcW w:type="dxa" w:w="5100"/>
          </w:tcPr>
          <w:p>
            <w:r>
              <w:t>Peggioramento ≥ 20%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Peggioramento 10%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Miglioramento 10%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Miglioramento ≥ 20%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pPr>
        <w:pStyle w:val="Heading1"/>
      </w:pPr>
      <w:r>
        <w:t>4. Cruscotto periodico obbligatorio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Contenuto</w:t>
            </w:r>
          </w:p>
        </w:tc>
      </w:tr>
      <w:tr>
        <w:tc>
          <w:tcPr>
            <w:tcW w:type="dxa" w:w="5100"/>
          </w:tcPr>
          <w:p>
            <w:r>
              <w:t>Target</w:t>
            </w:r>
          </w:p>
        </w:tc>
        <w:tc>
          <w:tcPr>
            <w:tcW w:type="dxa" w:w="5100"/>
          </w:tcPr>
          <w:p>
            <w:r>
              <w:t>Valore approvato a inizio esercizio</w:t>
            </w:r>
          </w:p>
        </w:tc>
      </w:tr>
      <w:tr>
        <w:tc>
          <w:tcPr>
            <w:tcW w:type="dxa" w:w="5100"/>
          </w:tcPr>
          <w:p>
            <w:r>
              <w:t>Consuntivo</w:t>
            </w:r>
          </w:p>
        </w:tc>
        <w:tc>
          <w:tcPr>
            <w:tcW w:type="dxa" w:w="5100"/>
          </w:tcPr>
          <w:p>
            <w:r>
              <w:t>Valore del mese o trimestre</w:t>
            </w:r>
          </w:p>
        </w:tc>
      </w:tr>
      <w:tr>
        <w:tc>
          <w:tcPr>
            <w:tcW w:type="dxa" w:w="5100"/>
          </w:tcPr>
          <w:p>
            <w:r>
              <w:t>Progressivo</w:t>
            </w:r>
          </w:p>
        </w:tc>
        <w:tc>
          <w:tcPr>
            <w:tcW w:type="dxa" w:w="5100"/>
          </w:tcPr>
          <w:p>
            <w:r>
              <w:t>Valore cumulato dall'inizio dell'anno</w:t>
            </w:r>
          </w:p>
        </w:tc>
      </w:tr>
      <w:tr>
        <w:tc>
          <w:tcPr>
            <w:tcW w:type="dxa" w:w="5100"/>
          </w:tcPr>
          <w:p>
            <w:r>
              <w:t>Scostamento</w:t>
            </w:r>
          </w:p>
        </w:tc>
        <w:tc>
          <w:tcPr>
            <w:tcW w:type="dxa" w:w="5100"/>
          </w:tcPr>
          <w:p>
            <w:r>
              <w:t>Differenza assoluta e percentuale</w:t>
            </w:r>
          </w:p>
        </w:tc>
      </w:tr>
      <w:tr>
        <w:tc>
          <w:tcPr>
            <w:tcW w:type="dxa" w:w="5100"/>
          </w:tcPr>
          <w:p>
            <w:r>
              <w:t>Coefficiente</w:t>
            </w:r>
          </w:p>
        </w:tc>
        <w:tc>
          <w:tcPr>
            <w:tcW w:type="dxa" w:w="5100"/>
          </w:tcPr>
          <w:p>
            <w:r>
              <w:t>Fascia maturata</w:t>
            </w:r>
          </w:p>
        </w:tc>
      </w:tr>
      <w:tr>
        <w:tc>
          <w:tcPr>
            <w:tcW w:type="dxa" w:w="5100"/>
          </w:tcPr>
          <w:p>
            <w:r>
              <w:t>Quota PDR</w:t>
            </w:r>
          </w:p>
        </w:tc>
        <w:tc>
          <w:tcPr>
            <w:tcW w:type="dxa" w:w="5100"/>
          </w:tcPr>
          <w:p>
            <w:r>
              <w:t>Euro maturati dal KPI</w:t>
            </w:r>
          </w:p>
        </w:tc>
      </w:tr>
      <w:tr>
        <w:tc>
          <w:tcPr>
            <w:tcW w:type="dxa" w:w="5100"/>
          </w:tcPr>
          <w:p>
            <w:r>
              <w:t>Neutralizzazioni</w:t>
            </w:r>
          </w:p>
        </w:tc>
        <w:tc>
          <w:tcPr>
            <w:tcW w:type="dxa" w:w="5100"/>
          </w:tcPr>
          <w:p>
            <w:r>
              <w:t>Evento, causa e impatto numerico</w:t>
            </w:r>
          </w:p>
        </w:tc>
      </w:tr>
    </w:tbl>
    <w:p/>
    <w:p>
      <w:pPr>
        <w:pStyle w:val="Heading1"/>
      </w:pPr>
      <w:r>
        <w:t>5. Formula complessiva</w:t>
      </w:r>
    </w:p>
    <w:p>
      <w:r>
        <w:t>PDR = € 1.500 × [(0,25×E)+(0,20×Q)+(0,15×O)+(0,10×C)+(0,15×M)+(0,10×I)+(0,05×P)]. Ogni coefficiente opera esclusivamente sulla propria quota; massimo complessivo € 1.800.</w:t>
      </w:r>
    </w:p>
    <w:p>
      <w:pPr>
        <w:pStyle w:val="Heading1"/>
      </w:pPr>
      <w:r>
        <w:t>6. Quattro esempi completi</w:t>
      </w:r>
    </w:p>
    <w:p>
      <w:pPr>
        <w:pStyle w:val="Heading2"/>
      </w:pPr>
      <w:r>
        <w:t>Esempio minimo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M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I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</w:tbl>
    <w:p/>
    <w:p>
      <w:r>
        <w:t>Calcolo: 1.500 × 0,425</w:t>
      </w:r>
    </w:p>
    <w:p>
      <w:r>
        <w:rPr>
          <w:b/>
        </w:rPr>
        <w:t>Premio risultante: € 637,50</w:t>
      </w:r>
    </w:p>
    <w:p>
      <w:r>
        <w:t>Il risultato economico nullo incide solo sul proprio 15%; le altre quote restano maturate.</w:t>
      </w:r>
    </w:p>
    <w:p>
      <w:pPr>
        <w:pStyle w:val="Heading2"/>
      </w:pPr>
      <w:r>
        <w:t>Esempio intermedio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0,70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M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I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</w:tbl>
    <w:p/>
    <w:p>
      <w:r>
        <w:t>Calcolo: 1.500 × 0,7325</w:t>
      </w:r>
    </w:p>
    <w:p>
      <w:r>
        <w:rPr>
          <w:b/>
        </w:rPr>
        <w:t>Premio risultante: € 1.098,75</w:t>
      </w:r>
    </w:p>
    <w:p>
      <w:r>
        <w:t>Situazione sotto target ma non disastrosa: il premio cresce in modo progressivo, senza salti o azzeramenti.</w:t>
      </w:r>
    </w:p>
    <w:p>
      <w:pPr>
        <w:pStyle w:val="Heading2"/>
      </w:pPr>
      <w:r>
        <w:t>Esempio intermedio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O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C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M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I</w:t>
            </w:r>
          </w:p>
        </w:tc>
        <w:tc>
          <w:tcPr>
            <w:tcW w:type="dxa" w:w="5100"/>
          </w:tcPr>
          <w:p>
            <w:r>
              <w:t>0,90</w:t>
            </w:r>
          </w:p>
        </w:tc>
      </w:tr>
      <w:tr>
        <w:tc>
          <w:tcPr>
            <w:tcW w:type="dxa" w:w="5100"/>
          </w:tcPr>
          <w:p>
            <w:r>
              <w:t>P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</w:tbl>
    <w:p/>
    <w:p>
      <w:r>
        <w:t>Calcolo: 1.500 × 1,025</w:t>
      </w:r>
    </w:p>
    <w:p>
      <w:r>
        <w:rPr>
          <w:b/>
        </w:rPr>
        <w:t>Premio risultante: € 1.537,50</w:t>
      </w:r>
    </w:p>
    <w:p>
      <w:r>
        <w:t>Buona fabbrica e margine a target compensano una qualità degli incassi leggermente debole.</w:t>
      </w:r>
    </w:p>
    <w:p>
      <w:pPr>
        <w:pStyle w:val="Heading2"/>
      </w:pPr>
      <w:r>
        <w:t>Esempio massimo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Tutti i KPI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</w:tbl>
    <w:p/>
    <w:p>
      <w:r>
        <w:t>Calcolo: 1.500 × 1,20</w:t>
      </w:r>
    </w:p>
    <w:p>
      <w:r>
        <w:rPr>
          <w:b/>
        </w:rPr>
        <w:t>Premio risultante: € 1.800,00</w:t>
      </w:r>
    </w:p>
    <w:p>
      <w:r>
        <w:t>Il massimo richiede il superamento pieno di tutti gli indicatori.</w:t>
      </w:r>
    </w:p>
    <w:p>
      <w:pPr>
        <w:pStyle w:val="Heading1"/>
      </w:pPr>
      <w:r>
        <w:t>Disciplina completa di erogazione</w:t>
      </w:r>
    </w:p>
    <w:p>
      <w:pPr>
        <w:pStyle w:val="Heading2"/>
      </w:pPr>
      <w:r>
        <w:t>Destinatari</w:t>
      </w:r>
    </w:p>
    <w:p>
      <w:r>
        <w:t>Il premio spetta ai lavoratori subordinati in forza nel periodo di maturazione, compresi tempo determinato, apprendisti e part-time, secondo criteri non discriminatori. Per il part-time l'importo è proporzionato all'orario contrattuale. Per assunzioni e cessazioni in corso d'anno si applicano i dodicesimi maturati, considerando mese intero quello con almeno 15 giorni utili.</w:t>
      </w:r>
    </w:p>
    <w:p>
      <w:pPr>
        <w:pStyle w:val="Heading2"/>
      </w:pPr>
      <w:r>
        <w:t>Periodo di maturazione</w:t>
      </w:r>
    </w:p>
    <w:p>
      <w:r>
        <w:t>La maturazione decorre dal 1° gennaio al 31 dicembre di ciascun anno. Il risultato viene consuntivato entro maggio dell'anno successivo. Non sono previsti rinnovi taciti oltre il 31 dicembre 2029.</w:t>
      </w:r>
    </w:p>
    <w:p>
      <w:pPr>
        <w:pStyle w:val="Heading2"/>
      </w:pPr>
      <w:r>
        <w:t>Pagamento</w:t>
      </w:r>
    </w:p>
    <w:p>
      <w:r>
        <w:t>Il premio è liquidato dopo il consuntivo, preferibilmente in due rate uguali nei cedolini di giugno e agosto. Il prospetto individuale deve indicare importo target, coefficienti, quote maturate, riproporzionamenti e totale lordo.</w:t>
      </w:r>
    </w:p>
    <w:p>
      <w:pPr>
        <w:pStyle w:val="Heading2"/>
      </w:pPr>
      <w:r>
        <w:t>Welfare</w:t>
      </w:r>
    </w:p>
    <w:p>
      <w:r>
        <w:t>Il lavoratore può scegliere, nei limiti di legge e con scelta libera e informata, la conversione totale o parziale del premio in welfare. L'eventuale incentivo aggiuntivo aziendale deve essere indicato separatamente e non può ridurre l'importo monetario maturato. Termini, piattaforma, residui e casi di cessazione devono essere comunicati per iscritto.</w:t>
      </w:r>
    </w:p>
    <w:p>
      <w:pPr>
        <w:pStyle w:val="Heading2"/>
      </w:pPr>
      <w:r>
        <w:t>Fiscalità e deposito</w:t>
      </w:r>
    </w:p>
    <w:p>
      <w:r>
        <w:t>L'applicazione di imposta sostitutiva, decontribuzione o altri benefici avviene soltanto se ricorrono i requisiti normativi vigenti nell'anno di erogazione. L'azienda cura deposito e dichiarazioni previste. Il testo non garantisce un'aliquota futura determinata.</w:t>
      </w:r>
    </w:p>
    <w:p>
      <w:pPr>
        <w:pStyle w:val="Heading2"/>
      </w:pPr>
      <w:r>
        <w:t>Assenze e riproporzionamenti</w:t>
      </w:r>
    </w:p>
    <w:p>
      <w:r>
        <w:t>Ferie, PAR, permessi sindacali, maternità/paternità, infortuni, donazione sangue, legge 104, ricoveri, terapie salvavita e altre assenze tutelate non possono produrre penalizzazioni ulteriori rispetto alle regole espressamente concordate. Le assenze considerate dal KPI presenza devono essere elencate in modo tassativo.</w:t>
      </w:r>
    </w:p>
    <w:p>
      <w:pPr>
        <w:pStyle w:val="Heading2"/>
      </w:pPr>
      <w:r>
        <w:t>Commissione PDR</w:t>
      </w:r>
    </w:p>
    <w:p>
      <w:r>
        <w:t>È istituita una Commissione paritetica Azienda–RSU con accesso ai dati necessari. Si riunisce almeno trimestralmente, verbalizza valori, anomalie, neutralizzazioni, azioni correttive e stima aggiornata del premio. Le contestazioni sul calcolo sono esaminate prima della liquidazione.</w:t>
      </w:r>
    </w:p>
    <w:p>
      <w:pPr>
        <w:pStyle w:val="Heading2"/>
      </w:pPr>
      <w:r>
        <w:t>Onnicomprensività e TFR</w:t>
      </w:r>
    </w:p>
    <w:p>
      <w:r>
        <w:t>L'eventuale esclusione del premio dal computo di altri istituti e dal TFR deve risultare da clausola espressa, conforme alla normativa e al CCNL applicabile. Gli importi riportati sono lordi e soggetti al trattamento contributivo e fiscale vigente al momento dell'erogazione.</w:t>
      </w:r>
    </w:p>
    <w:p>
      <w:pPr>
        <w:pStyle w:val="Heading2"/>
      </w:pPr>
      <w:r>
        <w:t>Riservatezza</w:t>
      </w:r>
    </w:p>
    <w:p>
      <w:r>
        <w:t>La riservatezza può riguardare dati aziendali specificamente identificati, ma non può impedire alla RSU di verificare il premio né di spiegare ai lavoratori criteri, risultati e importi. I dati personali sono trattati solo per le finalità dell'accordo.</w:t>
      </w:r>
    </w:p>
    <w:p>
      <w:pPr>
        <w:pStyle w:val="Heading1"/>
      </w:pPr>
      <w:r>
        <w:t>Allegato tecnico da completare prima della firma</w:t>
      </w:r>
    </w:p>
    <w:p>
      <w:r>
        <w:t>La proposta diventa calcolabile soltanto compilando questa tabella con dati ufficiali. Le caselle non possono restare indefinite nell'accordo sottoscritto.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Soglia minima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57"/>
          </w:tcPr>
          <w:p>
            <w:r>
              <w:rPr>
                <w:b/>
              </w:rPr>
              <w:t>Massimo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Frequenza</w:t>
            </w:r>
          </w:p>
        </w:tc>
      </w:tr>
      <w:tr>
        <w:tc>
          <w:tcPr>
            <w:tcW w:type="dxa" w:w="1457"/>
          </w:tcPr>
          <w:p>
            <w:r>
              <w:t>Efficienza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Qualità/scarti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Organizzazione/fermi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Consegne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Competenze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Economico/finanziario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Presenza</w:t>
            </w:r>
          </w:p>
        </w:tc>
        <w:tc>
          <w:tcPr>
            <w:tcW w:type="dxa" w:w="1457"/>
          </w:tcPr>
          <w:p>
            <w:r>
              <w:t>Paghe</w:t>
            </w:r>
          </w:p>
        </w:tc>
        <w:tc>
          <w:tcPr>
            <w:tcW w:type="dxa" w:w="1457"/>
          </w:tcPr>
          <w:p>
            <w:r>
              <w:t>Scaglioni accordo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Annuale</w:t>
            </w:r>
          </w:p>
        </w:tc>
      </w:tr>
    </w:tbl>
    <w:p/>
    <w:p>
      <w:pPr>
        <w:pStyle w:val="Heading2"/>
      </w:pPr>
      <w:r>
        <w:t>Tracciato del cruscotto periodico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KPI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Consuntivo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Coeff.</w:t>
            </w:r>
          </w:p>
        </w:tc>
        <w:tc>
          <w:tcPr>
            <w:tcW w:type="dxa" w:w="1275"/>
          </w:tcPr>
          <w:p>
            <w:r>
              <w:rPr>
                <w:b/>
              </w:rPr>
              <w:t>Quota €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Neutralizzazioni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Nota RSU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Dati Sitem oggi disponibili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Valore approssimato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Significato</w:t>
            </w:r>
          </w:p>
        </w:tc>
      </w:tr>
      <w:tr>
        <w:tc>
          <w:tcPr>
            <w:tcW w:type="dxa" w:w="3400"/>
          </w:tcPr>
          <w:p>
            <w:r>
              <w:t>Consegne puntuali gen–lug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69,7%, inferiore al target dell'80%</w:t>
            </w:r>
          </w:p>
        </w:tc>
      </w:tr>
      <w:tr>
        <w:tc>
          <w:tcPr>
            <w:tcW w:type="dxa" w:w="3400"/>
          </w:tcPr>
          <w:p>
            <w:r>
              <w:t>Proiezione annua consegne</w:t>
            </w:r>
          </w:p>
        </w:tc>
        <w:tc>
          <w:tcPr>
            <w:tcW w:type="dxa" w:w="3400"/>
          </w:tcPr>
          <w:p>
            <w:r>
              <w:t>67–70%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 gen–giu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circa 2,587 milioni kg</w:t>
            </w:r>
          </w:p>
        </w:tc>
      </w:tr>
      <w:tr>
        <w:tc>
          <w:tcPr>
            <w:tcW w:type="dxa" w:w="3400"/>
          </w:tcPr>
          <w:p>
            <w:r>
              <w:t>Ore lavorate gen–giu</w:t>
            </w:r>
          </w:p>
        </w:tc>
        <w:tc>
          <w:tcPr>
            <w:tcW w:type="dxa" w:w="3400"/>
          </w:tcPr>
          <w:p>
            <w:r>
              <w:t>circa 23.723</w:t>
            </w:r>
          </w:p>
        </w:tc>
        <w:tc>
          <w:tcPr>
            <w:tcW w:type="dxa" w:w="3400"/>
          </w:tcPr>
          <w:p>
            <w:r>
              <w:t>Proiezione annua circa 47.446 ore</w:t>
            </w:r>
          </w:p>
        </w:tc>
      </w:tr>
      <w:tr>
        <w:tc>
          <w:tcPr>
            <w:tcW w:type="dxa" w:w="3400"/>
          </w:tcPr>
          <w:p>
            <w:r>
              <w:t>Produttività apparente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Dato apparentemente stabile, da verificare per mix e pezzi conformi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prevalenza componente struttura</w:t>
            </w:r>
          </w:p>
        </w:tc>
        <w:tc>
          <w:tcPr>
            <w:tcW w:type="dxa" w:w="3400"/>
          </w:tcPr>
          <w:p>
            <w:r>
              <w:t>Distinguere struttura, attrezzature, cambi stampo e altre cause</w:t>
            </w:r>
          </w:p>
        </w:tc>
      </w:tr>
    </w:tbl>
    <w:p/>
    <w:p>
      <w:r>
        <w:t>Conclusione prudenziale: il calo delle consegne non dimostra da solo un calo di produttività dei lavoratori. Vanno separati programmazione, materiali, manutenzione, impianti, attrezzaggi, mix e responsabilità operative.</w:t>
      </w:r>
    </w:p>
    <w:p>
      <w:pPr>
        <w:pStyle w:val="Heading1"/>
      </w:pPr>
      <w:r>
        <w:t>Regole di trasparenza e tutela</w:t>
      </w:r>
    </w:p>
    <w:p>
      <w:pPr>
        <w:pStyle w:val="ListBullet"/>
      </w:pPr>
      <w:r>
        <w:t>Ogni KPI deve indicare formula, unità di misura, fonte informatica, responsabile dell'estrazione e periodicità.</w:t>
      </w:r>
    </w:p>
    <w:p>
      <w:pPr>
        <w:pStyle w:val="ListBullet"/>
      </w:pPr>
      <w:r>
        <w:t>Baseline e target devono essere fissati prima dell'inizio del periodo e non modificabili unilateralmente.</w:t>
      </w:r>
    </w:p>
    <w:p>
      <w:pPr>
        <w:pStyle w:val="ListBullet"/>
      </w:pPr>
      <w:r>
        <w:t>Ogni indicatore incide soltanto sulla propria quota: nessun KPI azzera l'intero premio.</w:t>
      </w:r>
    </w:p>
    <w:p>
      <w:pPr>
        <w:pStyle w:val="ListBullet"/>
      </w:pPr>
      <w:r>
        <w:t>Guasti, carenza materiali, fermate aziendali, manutenzioni, prove cliente, forza maggiore e variazioni rilevanti del mix devono essere neutralizzati quando non governabili dai lavoratori.</w:t>
      </w:r>
    </w:p>
    <w:p>
      <w:pPr>
        <w:pStyle w:val="ListBullet"/>
      </w:pPr>
      <w:r>
        <w:t>La RSU riceve un cruscotto mensile e verifica almeno trimestralmente dati, scostamenti, neutralizzazioni e proiezione del premio.</w:t>
      </w:r>
    </w:p>
    <w:p>
      <w:pPr>
        <w:pStyle w:val="ListBullet"/>
      </w:pPr>
      <w:r>
        <w:t>Il consuntivo deve permettere di rifare il calcolo partendo dai dati elementari.</w:t>
      </w:r>
    </w:p>
    <w:p>
      <w:pPr>
        <w:pStyle w:val="Heading1"/>
      </w:pPr>
      <w:r>
        <w:t>Chiusura della proposta</w:t>
      </w:r>
    </w:p>
    <w:p>
      <w:r>
        <w:t>Durata proposta: dal 1° gennaio 2026 al 31 dicembre 2029. Verifica tecnica annuale senza modifica automatica di pesi, formule e soglie.</w:t>
      </w:r>
    </w:p>
    <w:p>
      <w:r>
        <w:t>Luogo e data: ______________________________</w:t>
      </w:r>
    </w:p>
    <w:p>
      <w:r>
        <w:t>Per l'Azienda: _____________________________</w:t>
      </w:r>
    </w:p>
    <w:p>
      <w:r>
        <w:t>Per la RSU / OO.SS.: ______________________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