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A6B"/>
          <w:sz w:val="44"/>
        </w:rPr>
        <w:t>TANIP-1 Amendment I</w:t>
      </w:r>
    </w:p>
    <w:p>
      <w:pPr>
        <w:jc w:val="center"/>
      </w:pPr>
      <w:r>
        <w:rPr>
          <w:rFonts w:ascii="Calibri" w:hAnsi="Calibri"/>
          <w:color w:val="5A5A5A"/>
          <w:sz w:val="26"/>
        </w:rPr>
        <w:t>Zero-Distribution Period Bridge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1984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7087"/>
          </w:tcPr>
          <w:p>
            <w:r>
              <w:rPr>
                <w:rFonts w:ascii="Calibri" w:hAnsi="Calibri"/>
                <w:sz w:val="20"/>
              </w:rPr>
              <w:t>Draft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7087"/>
          </w:tcPr>
          <w:p>
            <w:r>
              <w:rPr>
                <w:rFonts w:ascii="Calibri" w:hAnsi="Calibri"/>
                <w:sz w:val="20"/>
              </w:rPr>
              <w:t>Amendment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b/>
                <w:sz w:val="20"/>
              </w:rPr>
              <w:t>Amends</w:t>
            </w:r>
          </w:p>
        </w:tc>
        <w:tc>
          <w:tcPr>
            <w:tcW w:type="dxa" w:w="7087"/>
          </w:tcPr>
          <w:p>
            <w:r>
              <w:rPr>
                <w:rFonts w:ascii="Calibri" w:hAnsi="Calibri"/>
                <w:sz w:val="20"/>
              </w:rPr>
              <w:t>TANIP-1 — Trading Fee Rebate Program</w:t>
              <w:br/>
              <w:t>https://forum.telcoin.org/t/tanip-trading-fee-rebate-program/824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b/>
                <w:sz w:val="20"/>
              </w:rPr>
              <w:t>Date</w:t>
            </w:r>
          </w:p>
        </w:tc>
        <w:tc>
          <w:tcPr>
            <w:tcW w:type="dxa" w:w="7087"/>
          </w:tcPr>
          <w:p>
            <w:r>
              <w:rPr>
                <w:rFonts w:ascii="Calibri" w:hAnsi="Calibri"/>
                <w:sz w:val="20"/>
              </w:rPr>
              <w:t>April 2026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1B3A6B"/>
          <w:sz w:val="26"/>
        </w:rPr>
        <w:t>Context</w:t>
      </w:r>
    </w:p>
    <w:p>
      <w:pPr>
        <w:spacing w:after="160"/>
      </w:pPr>
      <w:r>
        <w:rPr>
          <w:rFonts w:ascii="Calibri" w:hAnsi="Calibri"/>
          <w:sz w:val="22"/>
        </w:rPr>
        <w:t>TANIP-1 was paused for approximately 16 weeks. The on-chain calculator contract tracks cumulative user balances across sequential weekly periods. To resume, the contract's period index must be brought up to date before live distributions can continue.</w:t>
      </w:r>
    </w:p>
    <w:p>
      <w:pPr>
        <w:pStyle w:val="Heading2"/>
      </w:pPr>
      <w:r>
        <w:rPr>
          <w:rFonts w:ascii="Calibri" w:hAnsi="Calibri"/>
          <w:b/>
          <w:color w:val="1B3A6B"/>
          <w:sz w:val="26"/>
        </w:rPr>
        <w:t>Change</w:t>
      </w:r>
    </w:p>
    <w:p>
      <w:pPr>
        <w:spacing w:after="160"/>
      </w:pPr>
      <w:r>
        <w:rPr>
          <w:rFonts w:ascii="Calibri" w:hAnsi="Calibri"/>
          <w:sz w:val="22"/>
        </w:rPr>
        <w:t xml:space="preserve">Rather than redeploying new contracts — which would erase users' </w:t>
      </w:r>
      <w:r>
        <w:rPr>
          <w:rFonts w:ascii="Courier New" w:hAnsi="Courier New"/>
          <w:sz w:val="20"/>
        </w:rPr>
        <w:t>total_earned</w:t>
      </w:r>
      <w:r>
        <w:rPr>
          <w:rFonts w:ascii="Calibri" w:hAnsi="Calibri"/>
          <w:sz w:val="22"/>
        </w:rPr>
        <w:t xml:space="preserve"> histories — the program will resume using the </w:t>
      </w:r>
      <w:r>
        <w:rPr>
          <w:rFonts w:ascii="Calibri" w:hAnsi="Calibri"/>
          <w:b/>
          <w:sz w:val="22"/>
        </w:rPr>
        <w:t>existing contracts</w:t>
      </w:r>
      <w:r>
        <w:rPr>
          <w:rFonts w:ascii="Calibri" w:hAnsi="Calibri"/>
          <w:sz w:val="22"/>
        </w:rPr>
        <w:t xml:space="preserve">. The paused weeks will be bridged by submitting one or more </w:t>
      </w:r>
      <w:r>
        <w:rPr>
          <w:rFonts w:ascii="Calibri" w:hAnsi="Calibri"/>
          <w:b/>
          <w:sz w:val="22"/>
        </w:rPr>
        <w:t>periods with zero distributions</w:t>
      </w:r>
      <w:r>
        <w:rPr>
          <w:rFonts w:ascii="Calibri" w:hAnsi="Calibri"/>
          <w:sz w:val="22"/>
        </w:rPr>
        <w:t>, advancing the contract's internal period index to the present without crediting any rewards or altering any user balances.</w:t>
      </w:r>
    </w:p>
    <w:p>
      <w:pPr>
        <w:spacing w:after="160"/>
      </w:pPr>
      <w:r>
        <w:rPr>
          <w:rFonts w:ascii="Calibri" w:hAnsi="Calibri"/>
          <w:sz w:val="22"/>
        </w:rPr>
        <w:t>This was tested end-to-end and confirmed: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The smart contract accepts zero-value period inputs without reverting or corrupting state.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The off-chain distribution script handles zero-value data correctly, producing no payouts and no errors.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Subsequent live distribution periods process correctly after the bridge.</w:t>
      </w:r>
    </w:p>
    <w:p/>
    <w:p>
      <w:pPr>
        <w:pStyle w:val="Heading2"/>
      </w:pPr>
      <w:r>
        <w:rPr>
          <w:rFonts w:ascii="Calibri" w:hAnsi="Calibri"/>
          <w:b/>
          <w:color w:val="1B3A6B"/>
          <w:sz w:val="26"/>
        </w:rPr>
        <w:t>Effect on the Calculation</w:t>
      </w:r>
    </w:p>
    <w:p>
      <w:pPr>
        <w:spacing w:after="160"/>
      </w:pPr>
      <w:r>
        <w:rPr>
          <w:rFonts w:ascii="Calibri" w:hAnsi="Calibri"/>
          <w:sz w:val="22"/>
        </w:rPr>
        <w:t xml:space="preserve">No change to the formula defined in TANIP-1. Zero-distribution periods contribute </w:t>
      </w:r>
      <w:r>
        <w:rPr>
          <w:rFonts w:ascii="Courier New" w:hAnsi="Courier New"/>
          <w:sz w:val="20"/>
        </w:rPr>
        <w:t>0</w:t>
      </w:r>
      <w:r>
        <w:rPr>
          <w:rFonts w:ascii="Calibri" w:hAnsi="Calibri"/>
          <w:sz w:val="22"/>
        </w:rPr>
        <w:t xml:space="preserve"> to </w:t>
      </w:r>
      <w:r>
        <w:rPr>
          <w:rFonts w:ascii="Courier New" w:hAnsi="Courier New"/>
          <w:sz w:val="20"/>
        </w:rPr>
        <w:t>R</w:t>
      </w:r>
      <w:r>
        <w:rPr>
          <w:rFonts w:ascii="Calibri" w:hAnsi="Calibri"/>
          <w:sz w:val="22"/>
        </w:rPr>
        <w:t xml:space="preserve"> for all users, so </w:t>
      </w:r>
      <w:r>
        <w:rPr>
          <w:rFonts w:ascii="Courier New" w:hAnsi="Courier New"/>
          <w:sz w:val="20"/>
        </w:rPr>
        <w:t>previously_earned</w:t>
      </w:r>
      <w:r>
        <w:rPr>
          <w:rFonts w:ascii="Calibri" w:hAnsi="Calibri"/>
          <w:sz w:val="22"/>
        </w:rPr>
        <w:t xml:space="preserve"> balances are unaffected. The stake cap resumes correctly from each user's existing history.</w:t>
      </w:r>
    </w:p>
    <w:p>
      <w:pPr>
        <w:pStyle w:val="Heading2"/>
      </w:pPr>
      <w:r>
        <w:rPr>
          <w:rFonts w:ascii="Calibri" w:hAnsi="Calibri"/>
          <w:b/>
          <w:color w:val="1B3A6B"/>
          <w:sz w:val="26"/>
        </w:rPr>
        <w:t>Budget</w:t>
      </w:r>
    </w:p>
    <w:p>
      <w:pPr>
        <w:spacing w:after="160"/>
      </w:pPr>
      <w:r>
        <w:rPr>
          <w:rFonts w:ascii="Calibri" w:hAnsi="Calibri"/>
          <w:sz w:val="22"/>
        </w:rPr>
        <w:t>The paused weeks are not retroactively distributed. The ~51.2M TEL saved during the pause (16 weeks × 3,205,128.205 TEL) is not reallocated by this amendment.</w:t>
      </w:r>
    </w:p>
    <w:p>
      <w:pPr>
        <w:pStyle w:val="Heading2"/>
      </w:pPr>
      <w:r>
        <w:rPr>
          <w:rFonts w:ascii="Calibri" w:hAnsi="Calibri"/>
          <w:b/>
          <w:color w:val="1B3A6B"/>
          <w:sz w:val="26"/>
        </w:rPr>
        <w:t>All Other Terms</w:t>
      </w:r>
    </w:p>
    <w:p>
      <w:pPr>
        <w:spacing w:after="160"/>
      </w:pPr>
      <w:r>
        <w:rPr>
          <w:rFonts w:ascii="Calibri" w:hAnsi="Calibri"/>
          <w:sz w:val="22"/>
        </w:rPr>
        <w:t>All other terms of TANIP-1 remain unchanged. Target relaunch is within 2 weeks of this amendment passing.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