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D7B0" w14:textId="77777777" w:rsidR="00C76240" w:rsidRDefault="00C76240">
      <w:pPr>
        <w:tabs>
          <w:tab w:val="left" w:pos="3950"/>
        </w:tabs>
        <w:rPr>
          <w:rFonts w:ascii="Arial" w:eastAsia="Arial" w:hAnsi="Arial" w:cs="Arial"/>
        </w:rPr>
      </w:pPr>
    </w:p>
    <w:p w14:paraId="35B55DD8" w14:textId="7B53B39E" w:rsidR="00C76240" w:rsidRDefault="001670B0" w:rsidP="00BA57C7">
      <w:pPr>
        <w:tabs>
          <w:tab w:val="left" w:pos="3950"/>
        </w:tabs>
        <w:jc w:val="center"/>
        <w:rPr>
          <w:rFonts w:ascii="Arial" w:eastAsia="Arial" w:hAnsi="Arial" w:cs="Arial"/>
          <w:b/>
        </w:rPr>
      </w:pPr>
      <w:r>
        <w:rPr>
          <w:rFonts w:ascii="Arial" w:eastAsia="Arial" w:hAnsi="Arial" w:cs="Arial"/>
          <w:b/>
        </w:rPr>
        <w:t>PRODUCTO</w:t>
      </w:r>
      <w:r w:rsidR="00BA57C7" w:rsidRPr="00BA57C7">
        <w:t xml:space="preserve"> </w:t>
      </w:r>
      <w:r w:rsidR="00BA57C7" w:rsidRPr="00BA57C7">
        <w:rPr>
          <w:rFonts w:ascii="Arial" w:eastAsia="Arial" w:hAnsi="Arial" w:cs="Arial"/>
          <w:b/>
        </w:rPr>
        <w:t xml:space="preserve">3.05 Desarrollo y despliegue de un sistema de gestión de investigación, desarrollo tecnológico e innovación en el marco de la cuarta revolución industrial para la CGR y definir los componentes técnicos que hacen parte del producto final </w:t>
      </w:r>
      <w:r w:rsidR="00BA57C7">
        <w:rPr>
          <w:rFonts w:ascii="Arial" w:eastAsia="Arial" w:hAnsi="Arial" w:cs="Arial"/>
          <w:b/>
        </w:rPr>
        <w:t>–</w:t>
      </w:r>
      <w:r>
        <w:rPr>
          <w:rFonts w:ascii="Arial" w:eastAsia="Arial" w:hAnsi="Arial" w:cs="Arial"/>
          <w:b/>
        </w:rPr>
        <w:t xml:space="preserve"> </w:t>
      </w:r>
      <w:r w:rsidR="00BA57C7">
        <w:rPr>
          <w:rFonts w:ascii="Arial" w:eastAsia="Arial" w:hAnsi="Arial" w:cs="Arial"/>
          <w:b/>
        </w:rPr>
        <w:t xml:space="preserve">LEY </w:t>
      </w:r>
      <w:r w:rsidR="00BA57C7" w:rsidRPr="00BA57C7">
        <w:rPr>
          <w:rFonts w:ascii="Arial" w:eastAsia="Arial" w:hAnsi="Arial" w:cs="Arial"/>
          <w:b/>
        </w:rPr>
        <w:t>403 de 2020</w:t>
      </w:r>
    </w:p>
    <w:p w14:paraId="09DDF852" w14:textId="77777777" w:rsidR="00C76240" w:rsidRDefault="00C76240">
      <w:pPr>
        <w:tabs>
          <w:tab w:val="left" w:pos="3950"/>
        </w:tabs>
      </w:pPr>
    </w:p>
    <w:p w14:paraId="238C14E4" w14:textId="77777777" w:rsidR="00C76240" w:rsidRDefault="001670B0">
      <w:pPr>
        <w:tabs>
          <w:tab w:val="left" w:pos="3950"/>
        </w:tabs>
        <w:rPr>
          <w:rFonts w:ascii="Arial" w:eastAsia="Arial" w:hAnsi="Arial" w:cs="Arial"/>
          <w:b/>
        </w:rPr>
      </w:pPr>
      <w:r>
        <w:rPr>
          <w:rFonts w:ascii="Arial" w:eastAsia="Arial" w:hAnsi="Arial" w:cs="Arial"/>
          <w:b/>
        </w:rPr>
        <w:t xml:space="preserve">OBJETIVO </w:t>
      </w:r>
    </w:p>
    <w:p w14:paraId="500A4405" w14:textId="77777777" w:rsidR="00C76240" w:rsidRDefault="001670B0">
      <w:pPr>
        <w:tabs>
          <w:tab w:val="left" w:pos="3950"/>
        </w:tabs>
        <w:jc w:val="both"/>
        <w:rPr>
          <w:rFonts w:ascii="Arial" w:eastAsia="Arial" w:hAnsi="Arial" w:cs="Arial"/>
        </w:rPr>
      </w:pPr>
      <w:r>
        <w:rPr>
          <w:rFonts w:ascii="Arial" w:eastAsia="Arial" w:hAnsi="Arial" w:cs="Arial"/>
        </w:rPr>
        <w:t xml:space="preserve">Presentar el estado actualizado de los incidentes y requerimientos registrados hasta el 12 de junio de 2025, detallando los tiempos de resolución en días hábiles y el tratamiento dado a cada caso. Asimismo, se informará sobre los casos que han sido resueltos técnicamente pero que aún requieren validación por parte de los funcionarios de la Contraloría General de la República (CGR), con el fin de cerrar formalmente su atención. </w:t>
      </w:r>
    </w:p>
    <w:p w14:paraId="34E061D0" w14:textId="77777777" w:rsidR="00C76240" w:rsidRDefault="00C76240">
      <w:pPr>
        <w:tabs>
          <w:tab w:val="left" w:pos="3950"/>
        </w:tabs>
        <w:jc w:val="both"/>
        <w:rPr>
          <w:rFonts w:ascii="Arial" w:eastAsia="Arial" w:hAnsi="Arial" w:cs="Arial"/>
        </w:rPr>
      </w:pPr>
    </w:p>
    <w:p w14:paraId="1F1534EB" w14:textId="77777777" w:rsidR="00C76240" w:rsidRDefault="001670B0">
      <w:pPr>
        <w:tabs>
          <w:tab w:val="left" w:pos="3950"/>
        </w:tabs>
        <w:jc w:val="both"/>
        <w:rPr>
          <w:rFonts w:ascii="Arial" w:eastAsia="Arial" w:hAnsi="Arial" w:cs="Arial"/>
        </w:rPr>
      </w:pPr>
      <w:r>
        <w:rPr>
          <w:rFonts w:ascii="Arial" w:eastAsia="Arial" w:hAnsi="Arial" w:cs="Arial"/>
        </w:rPr>
        <w:t>En la sección que sigue se muestran las solicitudes, el estado y la fecha de realización del ajuste, en el caso que aplique dentro del alcance del producto.</w:t>
      </w:r>
    </w:p>
    <w:p w14:paraId="73E2466C" w14:textId="7185B336" w:rsidR="00C76240" w:rsidRDefault="002F23F1">
      <w:pPr>
        <w:tabs>
          <w:tab w:val="left" w:pos="3950"/>
        </w:tabs>
        <w:jc w:val="both"/>
        <w:rPr>
          <w:rFonts w:ascii="Arial" w:eastAsia="Arial" w:hAnsi="Arial" w:cs="Arial"/>
        </w:rPr>
      </w:pPr>
      <w:r w:rsidRPr="002F23F1">
        <w:rPr>
          <w:rFonts w:ascii="Arial" w:eastAsia="Arial" w:hAnsi="Arial" w:cs="Arial"/>
        </w:rPr>
        <w:t xml:space="preserve">El equipo de desarrollo de </w:t>
      </w:r>
      <w:proofErr w:type="gramStart"/>
      <w:r w:rsidRPr="002F23F1">
        <w:rPr>
          <w:rFonts w:ascii="Arial" w:eastAsia="Arial" w:hAnsi="Arial" w:cs="Arial"/>
        </w:rPr>
        <w:t>UdeA,</w:t>
      </w:r>
      <w:proofErr w:type="gramEnd"/>
      <w:r w:rsidRPr="002F23F1">
        <w:rPr>
          <w:rFonts w:ascii="Arial" w:eastAsia="Arial" w:hAnsi="Arial" w:cs="Arial"/>
        </w:rPr>
        <w:t xml:space="preserve"> mencionó en las sesiones de pruebas y transferencia de conocimiento, el origen de los ajustes emitido por parte de la CGR. Los primeros se denominan incidentes y se enmarcan en ajustes que se derivan de los requerimientos establecidos en los criterios de aceptación.  Por su parte, los requerimientos involucran desarrollos adicionales a los establecidos en los criterios; en los cuales el equipo evalúa la posibilidad de entrega en términos del esfuerzo de desarrollo para generar un valor agregado en el desarrollo.</w:t>
      </w:r>
    </w:p>
    <w:p w14:paraId="733E5FA0" w14:textId="77777777" w:rsidR="002F23F1" w:rsidRDefault="002F23F1">
      <w:pPr>
        <w:tabs>
          <w:tab w:val="left" w:pos="3950"/>
        </w:tabs>
        <w:jc w:val="both"/>
      </w:pPr>
    </w:p>
    <w:p w14:paraId="2587377C" w14:textId="77777777" w:rsidR="0032446B" w:rsidRDefault="0032446B">
      <w:pPr>
        <w:tabs>
          <w:tab w:val="left" w:pos="3950"/>
        </w:tabs>
        <w:jc w:val="both"/>
      </w:pPr>
    </w:p>
    <w:p w14:paraId="713D7775" w14:textId="77777777" w:rsidR="0032446B" w:rsidRDefault="0032446B">
      <w:pPr>
        <w:tabs>
          <w:tab w:val="left" w:pos="3950"/>
        </w:tabs>
        <w:jc w:val="both"/>
      </w:pPr>
    </w:p>
    <w:p w14:paraId="0DC108C8" w14:textId="77777777" w:rsidR="0032446B" w:rsidRDefault="0032446B">
      <w:pPr>
        <w:tabs>
          <w:tab w:val="left" w:pos="3950"/>
        </w:tabs>
        <w:jc w:val="both"/>
      </w:pPr>
    </w:p>
    <w:p w14:paraId="1724476E" w14:textId="77777777" w:rsidR="0032446B" w:rsidRDefault="0032446B">
      <w:pPr>
        <w:tabs>
          <w:tab w:val="left" w:pos="3950"/>
        </w:tabs>
        <w:jc w:val="both"/>
      </w:pPr>
    </w:p>
    <w:p w14:paraId="3E1B64B6" w14:textId="77777777" w:rsidR="0032446B" w:rsidRDefault="0032446B">
      <w:pPr>
        <w:tabs>
          <w:tab w:val="left" w:pos="3950"/>
        </w:tabs>
        <w:jc w:val="both"/>
      </w:pPr>
    </w:p>
    <w:p w14:paraId="0DAF875F" w14:textId="608DC6A4" w:rsidR="00C76240" w:rsidRDefault="001670B0">
      <w:pPr>
        <w:tabs>
          <w:tab w:val="left" w:pos="3950"/>
        </w:tabs>
        <w:rPr>
          <w:rFonts w:ascii="Arial" w:eastAsia="Arial" w:hAnsi="Arial" w:cs="Arial"/>
          <w:b/>
        </w:rPr>
      </w:pPr>
      <w:r>
        <w:rPr>
          <w:rFonts w:ascii="Arial" w:eastAsia="Arial" w:hAnsi="Arial" w:cs="Arial"/>
          <w:b/>
        </w:rPr>
        <w:t>INCIDENTES</w:t>
      </w:r>
    </w:p>
    <w:tbl>
      <w:tblPr>
        <w:tblW w:w="11840" w:type="dxa"/>
        <w:jc w:val="center"/>
        <w:tblCellMar>
          <w:left w:w="70" w:type="dxa"/>
          <w:right w:w="70" w:type="dxa"/>
        </w:tblCellMar>
        <w:tblLook w:val="04A0" w:firstRow="1" w:lastRow="0" w:firstColumn="1" w:lastColumn="0" w:noHBand="0" w:noVBand="1"/>
      </w:tblPr>
      <w:tblGrid>
        <w:gridCol w:w="1187"/>
        <w:gridCol w:w="1869"/>
        <w:gridCol w:w="1444"/>
        <w:gridCol w:w="1793"/>
        <w:gridCol w:w="1585"/>
        <w:gridCol w:w="2781"/>
        <w:gridCol w:w="1181"/>
      </w:tblGrid>
      <w:tr w:rsidR="00305792" w:rsidRPr="00305792" w14:paraId="109784FD" w14:textId="77777777" w:rsidTr="00305792">
        <w:trPr>
          <w:trHeight w:val="560"/>
          <w:jc w:val="center"/>
        </w:trPr>
        <w:tc>
          <w:tcPr>
            <w:tcW w:w="1187"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B8A189F"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Código</w:t>
            </w:r>
          </w:p>
        </w:tc>
        <w:tc>
          <w:tcPr>
            <w:tcW w:w="1869" w:type="dxa"/>
            <w:tcBorders>
              <w:top w:val="single" w:sz="4" w:space="0" w:color="auto"/>
              <w:left w:val="nil"/>
              <w:bottom w:val="single" w:sz="4" w:space="0" w:color="auto"/>
              <w:right w:val="single" w:sz="4" w:space="0" w:color="auto"/>
            </w:tcBorders>
            <w:shd w:val="clear" w:color="000000" w:fill="E7E6E6"/>
            <w:vAlign w:val="center"/>
            <w:hideMark/>
          </w:tcPr>
          <w:p w14:paraId="2BDF7BC8"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Tipo de solicitud</w:t>
            </w:r>
          </w:p>
        </w:tc>
        <w:tc>
          <w:tcPr>
            <w:tcW w:w="1334" w:type="dxa"/>
            <w:tcBorders>
              <w:top w:val="single" w:sz="4" w:space="0" w:color="auto"/>
              <w:left w:val="nil"/>
              <w:bottom w:val="single" w:sz="4" w:space="0" w:color="auto"/>
              <w:right w:val="single" w:sz="4" w:space="0" w:color="auto"/>
            </w:tcBorders>
            <w:shd w:val="clear" w:color="000000" w:fill="E7E6E6"/>
            <w:vAlign w:val="center"/>
            <w:hideMark/>
          </w:tcPr>
          <w:p w14:paraId="379C706A"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Titulo</w:t>
            </w:r>
          </w:p>
        </w:tc>
        <w:tc>
          <w:tcPr>
            <w:tcW w:w="1809" w:type="dxa"/>
            <w:tcBorders>
              <w:top w:val="single" w:sz="4" w:space="0" w:color="auto"/>
              <w:left w:val="nil"/>
              <w:bottom w:val="single" w:sz="4" w:space="0" w:color="auto"/>
              <w:right w:val="single" w:sz="4" w:space="0" w:color="auto"/>
            </w:tcBorders>
            <w:shd w:val="clear" w:color="000000" w:fill="E7E6E6"/>
            <w:vAlign w:val="center"/>
            <w:hideMark/>
          </w:tcPr>
          <w:p w14:paraId="0791544C"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Descripción</w:t>
            </w:r>
          </w:p>
        </w:tc>
        <w:tc>
          <w:tcPr>
            <w:tcW w:w="1585" w:type="dxa"/>
            <w:tcBorders>
              <w:top w:val="single" w:sz="4" w:space="0" w:color="auto"/>
              <w:left w:val="nil"/>
              <w:bottom w:val="single" w:sz="4" w:space="0" w:color="auto"/>
              <w:right w:val="single" w:sz="4" w:space="0" w:color="auto"/>
            </w:tcBorders>
            <w:shd w:val="clear" w:color="000000" w:fill="E7E6E6"/>
            <w:vAlign w:val="center"/>
            <w:hideMark/>
          </w:tcPr>
          <w:p w14:paraId="6D5BAD84"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Estado</w:t>
            </w:r>
          </w:p>
        </w:tc>
        <w:tc>
          <w:tcPr>
            <w:tcW w:w="2875" w:type="dxa"/>
            <w:tcBorders>
              <w:top w:val="single" w:sz="4" w:space="0" w:color="auto"/>
              <w:left w:val="nil"/>
              <w:bottom w:val="single" w:sz="4" w:space="0" w:color="auto"/>
              <w:right w:val="single" w:sz="4" w:space="0" w:color="auto"/>
            </w:tcBorders>
            <w:shd w:val="clear" w:color="000000" w:fill="E7E6E6"/>
            <w:vAlign w:val="center"/>
            <w:hideMark/>
          </w:tcPr>
          <w:p w14:paraId="711C8CD9"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Observación</w:t>
            </w:r>
          </w:p>
        </w:tc>
        <w:tc>
          <w:tcPr>
            <w:tcW w:w="1181" w:type="dxa"/>
            <w:tcBorders>
              <w:top w:val="single" w:sz="4" w:space="0" w:color="auto"/>
              <w:left w:val="nil"/>
              <w:bottom w:val="single" w:sz="4" w:space="0" w:color="auto"/>
              <w:right w:val="single" w:sz="4" w:space="0" w:color="auto"/>
            </w:tcBorders>
            <w:shd w:val="clear" w:color="000000" w:fill="E7E6E6"/>
            <w:vAlign w:val="center"/>
            <w:hideMark/>
          </w:tcPr>
          <w:p w14:paraId="6F54503F" w14:textId="77777777" w:rsidR="00305792" w:rsidRPr="00305792" w:rsidRDefault="00305792" w:rsidP="00305792">
            <w:pPr>
              <w:spacing w:after="0" w:line="240" w:lineRule="auto"/>
              <w:jc w:val="center"/>
              <w:rPr>
                <w:rFonts w:ascii="Arial" w:eastAsia="Times New Roman" w:hAnsi="Arial" w:cs="Arial"/>
                <w:b/>
                <w:bCs/>
                <w:color w:val="000000"/>
                <w:lang w:val="es-ES" w:eastAsia="es-ES"/>
              </w:rPr>
            </w:pPr>
            <w:r w:rsidRPr="00305792">
              <w:rPr>
                <w:rFonts w:ascii="Arial" w:eastAsia="Times New Roman" w:hAnsi="Arial" w:cs="Arial"/>
                <w:b/>
                <w:bCs/>
                <w:color w:val="000000"/>
                <w:lang w:val="es-ES" w:eastAsia="es-ES"/>
              </w:rPr>
              <w:t>VoBo CGR</w:t>
            </w:r>
          </w:p>
        </w:tc>
      </w:tr>
      <w:tr w:rsidR="00305792" w:rsidRPr="00305792" w14:paraId="1A2BB64D" w14:textId="77777777" w:rsidTr="00305792">
        <w:trPr>
          <w:trHeight w:val="3190"/>
          <w:jc w:val="center"/>
        </w:trPr>
        <w:tc>
          <w:tcPr>
            <w:tcW w:w="1187" w:type="dxa"/>
            <w:tcBorders>
              <w:top w:val="nil"/>
              <w:left w:val="single" w:sz="4" w:space="0" w:color="auto"/>
              <w:bottom w:val="single" w:sz="4" w:space="0" w:color="auto"/>
              <w:right w:val="single" w:sz="4" w:space="0" w:color="auto"/>
            </w:tcBorders>
            <w:noWrap/>
            <w:vAlign w:val="center"/>
            <w:hideMark/>
          </w:tcPr>
          <w:p w14:paraId="1FD59A61"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1</w:t>
            </w:r>
          </w:p>
        </w:tc>
        <w:tc>
          <w:tcPr>
            <w:tcW w:w="1869" w:type="dxa"/>
            <w:tcBorders>
              <w:top w:val="nil"/>
              <w:left w:val="nil"/>
              <w:bottom w:val="single" w:sz="4" w:space="0" w:color="auto"/>
              <w:right w:val="single" w:sz="4" w:space="0" w:color="auto"/>
            </w:tcBorders>
            <w:noWrap/>
            <w:vAlign w:val="center"/>
            <w:hideMark/>
          </w:tcPr>
          <w:p w14:paraId="6090451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19B86D7D"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Validación fechas formulario del rol registro</w:t>
            </w:r>
          </w:p>
        </w:tc>
        <w:tc>
          <w:tcPr>
            <w:tcW w:w="1809" w:type="dxa"/>
            <w:tcBorders>
              <w:top w:val="nil"/>
              <w:left w:val="nil"/>
              <w:bottom w:val="single" w:sz="4" w:space="0" w:color="auto"/>
              <w:right w:val="single" w:sz="4" w:space="0" w:color="auto"/>
            </w:tcBorders>
            <w:vAlign w:val="center"/>
            <w:hideMark/>
          </w:tcPr>
          <w:p w14:paraId="534D02DD"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requiere ajustar los campos Inicio y Fin para que las fechas aquí diligenciadas no sean posteriores a la fecha de registro de la buena práctica.</w:t>
            </w:r>
          </w:p>
        </w:tc>
        <w:tc>
          <w:tcPr>
            <w:tcW w:w="1585" w:type="dxa"/>
            <w:tcBorders>
              <w:top w:val="nil"/>
              <w:left w:val="nil"/>
              <w:bottom w:val="single" w:sz="4" w:space="0" w:color="auto"/>
              <w:right w:val="single" w:sz="4" w:space="0" w:color="auto"/>
            </w:tcBorders>
            <w:noWrap/>
            <w:vAlign w:val="center"/>
            <w:hideMark/>
          </w:tcPr>
          <w:p w14:paraId="4C73C9CD"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11119E6F"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validaron los campos obligatorios del formulario, permitiendo su envío sin errores. Además, se implementó la restricción que impide registrar fechas posteriores a la fecha de registro de la buena práctica, conforme a los criterios definidos en la historia de usuario HU001.</w:t>
            </w:r>
          </w:p>
        </w:tc>
        <w:tc>
          <w:tcPr>
            <w:tcW w:w="1181" w:type="dxa"/>
            <w:tcBorders>
              <w:top w:val="nil"/>
              <w:left w:val="nil"/>
              <w:bottom w:val="single" w:sz="4" w:space="0" w:color="auto"/>
              <w:right w:val="single" w:sz="4" w:space="0" w:color="auto"/>
            </w:tcBorders>
            <w:noWrap/>
            <w:vAlign w:val="center"/>
            <w:hideMark/>
          </w:tcPr>
          <w:p w14:paraId="6BF7BD72"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23095DB3" w14:textId="77777777" w:rsidTr="00305792">
        <w:trPr>
          <w:trHeight w:val="4080"/>
          <w:jc w:val="center"/>
        </w:trPr>
        <w:tc>
          <w:tcPr>
            <w:tcW w:w="1187" w:type="dxa"/>
            <w:tcBorders>
              <w:top w:val="nil"/>
              <w:left w:val="single" w:sz="4" w:space="0" w:color="auto"/>
              <w:bottom w:val="single" w:sz="4" w:space="0" w:color="auto"/>
              <w:right w:val="single" w:sz="4" w:space="0" w:color="auto"/>
            </w:tcBorders>
            <w:noWrap/>
            <w:vAlign w:val="center"/>
            <w:hideMark/>
          </w:tcPr>
          <w:p w14:paraId="19FD736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lastRenderedPageBreak/>
              <w:t>2</w:t>
            </w:r>
          </w:p>
        </w:tc>
        <w:tc>
          <w:tcPr>
            <w:tcW w:w="1869" w:type="dxa"/>
            <w:tcBorders>
              <w:top w:val="nil"/>
              <w:left w:val="nil"/>
              <w:bottom w:val="single" w:sz="4" w:space="0" w:color="auto"/>
              <w:right w:val="single" w:sz="4" w:space="0" w:color="auto"/>
            </w:tcBorders>
            <w:noWrap/>
            <w:vAlign w:val="center"/>
            <w:hideMark/>
          </w:tcPr>
          <w:p w14:paraId="2B41F311"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1C169E2E" w14:textId="6AB07366"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xml:space="preserve">Error de mensaje en él envió del formulario, rol registro </w:t>
            </w:r>
          </w:p>
        </w:tc>
        <w:tc>
          <w:tcPr>
            <w:tcW w:w="1809" w:type="dxa"/>
            <w:tcBorders>
              <w:top w:val="nil"/>
              <w:left w:val="nil"/>
              <w:bottom w:val="single" w:sz="4" w:space="0" w:color="auto"/>
              <w:right w:val="single" w:sz="4" w:space="0" w:color="auto"/>
            </w:tcBorders>
            <w:vAlign w:val="center"/>
            <w:hideMark/>
          </w:tcPr>
          <w:p w14:paraId="2ABF1DBC"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Cuando se muestre un mensaje de error, debe resaltar o mostrar un mensaje de texto sobre cuál es el error que se está presentando, actualmente no es claro el error que se debe corregir.</w:t>
            </w:r>
          </w:p>
        </w:tc>
        <w:tc>
          <w:tcPr>
            <w:tcW w:w="1585" w:type="dxa"/>
            <w:tcBorders>
              <w:top w:val="nil"/>
              <w:left w:val="nil"/>
              <w:bottom w:val="single" w:sz="4" w:space="0" w:color="auto"/>
              <w:right w:val="single" w:sz="4" w:space="0" w:color="auto"/>
            </w:tcBorders>
            <w:noWrap/>
            <w:vAlign w:val="center"/>
            <w:hideMark/>
          </w:tcPr>
          <w:p w14:paraId="00E472AB"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570FB488"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verificó que, en caso de inactividad prolongada del usuario durante el diligenciamiento del formulario, el sistema permite el ingreso de información, pero al intentar enviarlo se genera un error debido a la expiración del token de sesión. Este comportamiento es consistente con las políticas de seguridad establecidas.</w:t>
            </w:r>
          </w:p>
        </w:tc>
        <w:tc>
          <w:tcPr>
            <w:tcW w:w="1181" w:type="dxa"/>
            <w:tcBorders>
              <w:top w:val="nil"/>
              <w:left w:val="nil"/>
              <w:bottom w:val="single" w:sz="4" w:space="0" w:color="auto"/>
              <w:right w:val="single" w:sz="4" w:space="0" w:color="auto"/>
            </w:tcBorders>
            <w:noWrap/>
            <w:vAlign w:val="center"/>
            <w:hideMark/>
          </w:tcPr>
          <w:p w14:paraId="108D97E8"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0074DF32" w14:textId="77777777" w:rsidTr="00305792">
        <w:trPr>
          <w:trHeight w:val="4300"/>
          <w:jc w:val="center"/>
        </w:trPr>
        <w:tc>
          <w:tcPr>
            <w:tcW w:w="1187" w:type="dxa"/>
            <w:tcBorders>
              <w:top w:val="nil"/>
              <w:left w:val="single" w:sz="4" w:space="0" w:color="auto"/>
              <w:bottom w:val="single" w:sz="4" w:space="0" w:color="auto"/>
              <w:right w:val="single" w:sz="4" w:space="0" w:color="auto"/>
            </w:tcBorders>
            <w:noWrap/>
            <w:vAlign w:val="center"/>
            <w:hideMark/>
          </w:tcPr>
          <w:p w14:paraId="395C5B44"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3</w:t>
            </w:r>
          </w:p>
        </w:tc>
        <w:tc>
          <w:tcPr>
            <w:tcW w:w="1869" w:type="dxa"/>
            <w:tcBorders>
              <w:top w:val="nil"/>
              <w:left w:val="nil"/>
              <w:bottom w:val="single" w:sz="4" w:space="0" w:color="auto"/>
              <w:right w:val="single" w:sz="4" w:space="0" w:color="auto"/>
            </w:tcBorders>
            <w:noWrap/>
            <w:vAlign w:val="center"/>
            <w:hideMark/>
          </w:tcPr>
          <w:p w14:paraId="2726253C"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7D6F26FD"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Validación de campos en el formulario, rol registro</w:t>
            </w:r>
          </w:p>
        </w:tc>
        <w:tc>
          <w:tcPr>
            <w:tcW w:w="1809" w:type="dxa"/>
            <w:tcBorders>
              <w:top w:val="nil"/>
              <w:left w:val="nil"/>
              <w:bottom w:val="single" w:sz="4" w:space="0" w:color="auto"/>
              <w:right w:val="single" w:sz="4" w:space="0" w:color="auto"/>
            </w:tcBorders>
            <w:vAlign w:val="center"/>
            <w:hideMark/>
          </w:tcPr>
          <w:p w14:paraId="2C37C0F5"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A pesar de realizar diversas modificaciones de texto en campos de escritura libre, no permitió registrar la buena práctica y continuó mostrando este error.</w:t>
            </w:r>
          </w:p>
        </w:tc>
        <w:tc>
          <w:tcPr>
            <w:tcW w:w="1585" w:type="dxa"/>
            <w:tcBorders>
              <w:top w:val="nil"/>
              <w:left w:val="nil"/>
              <w:bottom w:val="single" w:sz="4" w:space="0" w:color="auto"/>
              <w:right w:val="single" w:sz="4" w:space="0" w:color="auto"/>
            </w:tcBorders>
            <w:noWrap/>
            <w:vAlign w:val="center"/>
            <w:hideMark/>
          </w:tcPr>
          <w:p w14:paraId="71F23305"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739C339C"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verificó que, en caso de inactividad prolongada del usuario durante el diligenciamiento del formulario, el sistema permite el ingreso de información, pero al intentar enviarlo se genera un error debido a la expiración del token de sesión. Este comportamiento es consistente con las políticas de seguridad establecidas.</w:t>
            </w:r>
          </w:p>
        </w:tc>
        <w:tc>
          <w:tcPr>
            <w:tcW w:w="1181" w:type="dxa"/>
            <w:tcBorders>
              <w:top w:val="nil"/>
              <w:left w:val="nil"/>
              <w:bottom w:val="single" w:sz="4" w:space="0" w:color="auto"/>
              <w:right w:val="single" w:sz="4" w:space="0" w:color="auto"/>
            </w:tcBorders>
            <w:noWrap/>
            <w:vAlign w:val="center"/>
            <w:hideMark/>
          </w:tcPr>
          <w:p w14:paraId="4A74DDFC"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3C75DE1F" w14:textId="77777777" w:rsidTr="00305792">
        <w:trPr>
          <w:trHeight w:val="6110"/>
          <w:jc w:val="center"/>
        </w:trPr>
        <w:tc>
          <w:tcPr>
            <w:tcW w:w="1187" w:type="dxa"/>
            <w:tcBorders>
              <w:top w:val="nil"/>
              <w:left w:val="single" w:sz="4" w:space="0" w:color="auto"/>
              <w:bottom w:val="single" w:sz="4" w:space="0" w:color="auto"/>
              <w:right w:val="single" w:sz="4" w:space="0" w:color="auto"/>
            </w:tcBorders>
            <w:noWrap/>
            <w:vAlign w:val="center"/>
            <w:hideMark/>
          </w:tcPr>
          <w:p w14:paraId="1EA3420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lastRenderedPageBreak/>
              <w:t>4</w:t>
            </w:r>
          </w:p>
        </w:tc>
        <w:tc>
          <w:tcPr>
            <w:tcW w:w="1869" w:type="dxa"/>
            <w:tcBorders>
              <w:top w:val="nil"/>
              <w:left w:val="nil"/>
              <w:bottom w:val="single" w:sz="4" w:space="0" w:color="auto"/>
              <w:right w:val="single" w:sz="4" w:space="0" w:color="auto"/>
            </w:tcBorders>
            <w:noWrap/>
            <w:vAlign w:val="center"/>
            <w:hideMark/>
          </w:tcPr>
          <w:p w14:paraId="7829D219"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776E0B91" w14:textId="458A371B"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Botón devolver práctica en el rol validador</w:t>
            </w:r>
          </w:p>
        </w:tc>
        <w:tc>
          <w:tcPr>
            <w:tcW w:w="1809" w:type="dxa"/>
            <w:tcBorders>
              <w:top w:val="nil"/>
              <w:left w:val="nil"/>
              <w:bottom w:val="single" w:sz="4" w:space="0" w:color="auto"/>
              <w:right w:val="single" w:sz="4" w:space="0" w:color="auto"/>
            </w:tcBorders>
            <w:vAlign w:val="center"/>
            <w:hideMark/>
          </w:tcPr>
          <w:p w14:paraId="53BEB349" w14:textId="1FBA0B54"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Posterior a asignación se llega hasta el botón el cual regresa la práctica previa al momento de la Asignación. No me queda claro que función tiene tomando en cuenta que no existe un cambio visible entre una práctica asignada y una que no lo esté. (Para el ejemplo estoy revisando la práctica BP-2985 con Id 2985)</w:t>
            </w:r>
          </w:p>
        </w:tc>
        <w:tc>
          <w:tcPr>
            <w:tcW w:w="1585" w:type="dxa"/>
            <w:tcBorders>
              <w:top w:val="nil"/>
              <w:left w:val="nil"/>
              <w:bottom w:val="single" w:sz="4" w:space="0" w:color="auto"/>
              <w:right w:val="single" w:sz="4" w:space="0" w:color="auto"/>
            </w:tcBorders>
            <w:noWrap/>
            <w:vAlign w:val="center"/>
            <w:hideMark/>
          </w:tcPr>
          <w:p w14:paraId="55F0C9DD"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117D1508"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validó la funcionalidad de un botón identificado como innecesario para el flujo del formulario. Como resultado, se procedió a ocultarlo para evitar confusiones en la interfaz de usuario.</w:t>
            </w:r>
          </w:p>
        </w:tc>
        <w:tc>
          <w:tcPr>
            <w:tcW w:w="1181" w:type="dxa"/>
            <w:tcBorders>
              <w:top w:val="nil"/>
              <w:left w:val="nil"/>
              <w:bottom w:val="single" w:sz="4" w:space="0" w:color="auto"/>
              <w:right w:val="single" w:sz="4" w:space="0" w:color="auto"/>
            </w:tcBorders>
            <w:noWrap/>
            <w:vAlign w:val="center"/>
            <w:hideMark/>
          </w:tcPr>
          <w:p w14:paraId="069C7D0C"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312865EC" w14:textId="77777777" w:rsidTr="00305792">
        <w:trPr>
          <w:trHeight w:val="5390"/>
          <w:jc w:val="center"/>
        </w:trPr>
        <w:tc>
          <w:tcPr>
            <w:tcW w:w="1187" w:type="dxa"/>
            <w:vMerge w:val="restart"/>
            <w:tcBorders>
              <w:top w:val="nil"/>
              <w:left w:val="single" w:sz="4" w:space="0" w:color="auto"/>
              <w:bottom w:val="single" w:sz="4" w:space="0" w:color="000000"/>
              <w:right w:val="single" w:sz="4" w:space="0" w:color="auto"/>
            </w:tcBorders>
            <w:noWrap/>
            <w:vAlign w:val="center"/>
            <w:hideMark/>
          </w:tcPr>
          <w:p w14:paraId="10D71DE9"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lastRenderedPageBreak/>
              <w:t>5</w:t>
            </w:r>
          </w:p>
        </w:tc>
        <w:tc>
          <w:tcPr>
            <w:tcW w:w="1869" w:type="dxa"/>
            <w:vMerge w:val="restart"/>
            <w:tcBorders>
              <w:top w:val="nil"/>
              <w:left w:val="single" w:sz="4" w:space="0" w:color="auto"/>
              <w:bottom w:val="single" w:sz="4" w:space="0" w:color="000000"/>
              <w:right w:val="single" w:sz="4" w:space="0" w:color="auto"/>
            </w:tcBorders>
            <w:noWrap/>
            <w:vAlign w:val="center"/>
            <w:hideMark/>
          </w:tcPr>
          <w:p w14:paraId="27A33489"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vMerge w:val="restart"/>
            <w:tcBorders>
              <w:top w:val="nil"/>
              <w:left w:val="single" w:sz="4" w:space="0" w:color="auto"/>
              <w:bottom w:val="single" w:sz="4" w:space="0" w:color="000000"/>
              <w:right w:val="single" w:sz="4" w:space="0" w:color="auto"/>
            </w:tcBorders>
            <w:vAlign w:val="center"/>
            <w:hideMark/>
          </w:tcPr>
          <w:p w14:paraId="3B232AC9"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Opción de asignación de usuario en el rol validador</w:t>
            </w:r>
          </w:p>
        </w:tc>
        <w:tc>
          <w:tcPr>
            <w:tcW w:w="1809" w:type="dxa"/>
            <w:tcBorders>
              <w:top w:val="nil"/>
              <w:left w:val="nil"/>
              <w:bottom w:val="single" w:sz="4" w:space="0" w:color="auto"/>
              <w:right w:val="single" w:sz="4" w:space="0" w:color="auto"/>
            </w:tcBorders>
            <w:vAlign w:val="center"/>
            <w:hideMark/>
          </w:tcPr>
          <w:p w14:paraId="4F2D31A4"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La observación aquí relacionada no se encuentra dentro del documento “ACTA DE SEGUIMIENTO PRUEBAS DE ACEPTACIÓN”, se revisa en plataforma y permite a la práctica del ejemplo realizar proceso de caracterización más de una vez.</w:t>
            </w:r>
          </w:p>
        </w:tc>
        <w:tc>
          <w:tcPr>
            <w:tcW w:w="1585" w:type="dxa"/>
            <w:tcBorders>
              <w:top w:val="nil"/>
              <w:left w:val="nil"/>
              <w:bottom w:val="single" w:sz="4" w:space="0" w:color="auto"/>
              <w:right w:val="single" w:sz="4" w:space="0" w:color="auto"/>
            </w:tcBorders>
            <w:noWrap/>
            <w:vAlign w:val="center"/>
            <w:hideMark/>
          </w:tcPr>
          <w:p w14:paraId="13D64B81"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vMerge w:val="restart"/>
            <w:tcBorders>
              <w:top w:val="nil"/>
              <w:left w:val="single" w:sz="4" w:space="0" w:color="auto"/>
              <w:bottom w:val="single" w:sz="4" w:space="0" w:color="000000"/>
              <w:right w:val="single" w:sz="4" w:space="0" w:color="auto"/>
            </w:tcBorders>
            <w:vAlign w:val="center"/>
            <w:hideMark/>
          </w:tcPr>
          <w:p w14:paraId="1F1B4F0F"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validó el comportamiento del botón para asignar un caracterizador. Al seleccionar el usuario correspondiente y registrar el comentario, el sistema redirige correctamente a la página principal del buzón. Asimismo, se comprobó que, una vez asignado, el caso desaparece del buzón de origen.</w:t>
            </w:r>
          </w:p>
        </w:tc>
        <w:tc>
          <w:tcPr>
            <w:tcW w:w="1181" w:type="dxa"/>
            <w:vMerge w:val="restart"/>
            <w:tcBorders>
              <w:top w:val="nil"/>
              <w:left w:val="single" w:sz="4" w:space="0" w:color="auto"/>
              <w:bottom w:val="single" w:sz="4" w:space="0" w:color="000000"/>
              <w:right w:val="single" w:sz="4" w:space="0" w:color="auto"/>
            </w:tcBorders>
            <w:noWrap/>
            <w:vAlign w:val="center"/>
            <w:hideMark/>
          </w:tcPr>
          <w:p w14:paraId="75B4B8F4"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66A877F7" w14:textId="77777777" w:rsidTr="00305792">
        <w:trPr>
          <w:trHeight w:val="4690"/>
          <w:jc w:val="center"/>
        </w:trPr>
        <w:tc>
          <w:tcPr>
            <w:tcW w:w="1187" w:type="dxa"/>
            <w:vMerge/>
            <w:tcBorders>
              <w:top w:val="nil"/>
              <w:left w:val="single" w:sz="4" w:space="0" w:color="auto"/>
              <w:bottom w:val="single" w:sz="4" w:space="0" w:color="000000"/>
              <w:right w:val="single" w:sz="4" w:space="0" w:color="auto"/>
            </w:tcBorders>
            <w:vAlign w:val="center"/>
            <w:hideMark/>
          </w:tcPr>
          <w:p w14:paraId="75DADD2E" w14:textId="77777777" w:rsidR="00305792" w:rsidRPr="00305792" w:rsidRDefault="00305792" w:rsidP="00305792">
            <w:pPr>
              <w:spacing w:after="0" w:line="240" w:lineRule="auto"/>
              <w:rPr>
                <w:rFonts w:ascii="Aptos Narrow" w:eastAsia="Times New Roman" w:hAnsi="Aptos Narrow" w:cs="Times New Roman"/>
                <w:color w:val="000000"/>
                <w:lang w:val="es-ES" w:eastAsia="es-ES"/>
              </w:rPr>
            </w:pPr>
          </w:p>
        </w:tc>
        <w:tc>
          <w:tcPr>
            <w:tcW w:w="1869" w:type="dxa"/>
            <w:vMerge/>
            <w:tcBorders>
              <w:top w:val="nil"/>
              <w:left w:val="single" w:sz="4" w:space="0" w:color="auto"/>
              <w:bottom w:val="single" w:sz="4" w:space="0" w:color="000000"/>
              <w:right w:val="single" w:sz="4" w:space="0" w:color="auto"/>
            </w:tcBorders>
            <w:vAlign w:val="center"/>
            <w:hideMark/>
          </w:tcPr>
          <w:p w14:paraId="686434BB" w14:textId="77777777" w:rsidR="00305792" w:rsidRPr="00305792" w:rsidRDefault="00305792" w:rsidP="00305792">
            <w:pPr>
              <w:spacing w:after="0" w:line="240" w:lineRule="auto"/>
              <w:rPr>
                <w:rFonts w:ascii="Aptos Narrow" w:eastAsia="Times New Roman" w:hAnsi="Aptos Narrow" w:cs="Times New Roman"/>
                <w:color w:val="000000"/>
                <w:lang w:val="es-ES" w:eastAsia="es-ES"/>
              </w:rPr>
            </w:pPr>
          </w:p>
        </w:tc>
        <w:tc>
          <w:tcPr>
            <w:tcW w:w="1334" w:type="dxa"/>
            <w:vMerge/>
            <w:tcBorders>
              <w:top w:val="nil"/>
              <w:left w:val="single" w:sz="4" w:space="0" w:color="auto"/>
              <w:bottom w:val="single" w:sz="4" w:space="0" w:color="000000"/>
              <w:right w:val="single" w:sz="4" w:space="0" w:color="auto"/>
            </w:tcBorders>
            <w:vAlign w:val="center"/>
            <w:hideMark/>
          </w:tcPr>
          <w:p w14:paraId="6747D00F" w14:textId="77777777" w:rsidR="00305792" w:rsidRPr="00305792" w:rsidRDefault="00305792" w:rsidP="00305792">
            <w:pPr>
              <w:spacing w:after="0" w:line="240" w:lineRule="auto"/>
              <w:rPr>
                <w:rFonts w:ascii="Aptos Narrow" w:eastAsia="Times New Roman" w:hAnsi="Aptos Narrow" w:cs="Times New Roman"/>
                <w:color w:val="000000"/>
                <w:lang w:val="es-ES" w:eastAsia="es-ES"/>
              </w:rPr>
            </w:pPr>
          </w:p>
        </w:tc>
        <w:tc>
          <w:tcPr>
            <w:tcW w:w="1809" w:type="dxa"/>
            <w:tcBorders>
              <w:top w:val="nil"/>
              <w:left w:val="nil"/>
              <w:bottom w:val="single" w:sz="4" w:space="0" w:color="auto"/>
              <w:right w:val="single" w:sz="4" w:space="0" w:color="auto"/>
            </w:tcBorders>
            <w:vAlign w:val="center"/>
            <w:hideMark/>
          </w:tcPr>
          <w:p w14:paraId="4905BF64" w14:textId="1E57CE40"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Una vez revisados los formularios presenta la opción de Caracterización, permitiendo asignar Caracterizador. Esta opción ya no debería aparecer en este momento, aunque mantenga el estado en “validación”</w:t>
            </w:r>
          </w:p>
        </w:tc>
        <w:tc>
          <w:tcPr>
            <w:tcW w:w="1585" w:type="dxa"/>
            <w:tcBorders>
              <w:top w:val="nil"/>
              <w:left w:val="nil"/>
              <w:bottom w:val="single" w:sz="4" w:space="0" w:color="auto"/>
              <w:right w:val="single" w:sz="4" w:space="0" w:color="auto"/>
            </w:tcBorders>
            <w:noWrap/>
            <w:vAlign w:val="center"/>
            <w:hideMark/>
          </w:tcPr>
          <w:p w14:paraId="7C8C4766"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vMerge/>
            <w:tcBorders>
              <w:top w:val="nil"/>
              <w:left w:val="single" w:sz="4" w:space="0" w:color="auto"/>
              <w:bottom w:val="single" w:sz="4" w:space="0" w:color="000000"/>
              <w:right w:val="single" w:sz="4" w:space="0" w:color="auto"/>
            </w:tcBorders>
            <w:vAlign w:val="center"/>
            <w:hideMark/>
          </w:tcPr>
          <w:p w14:paraId="2C9C1FB9" w14:textId="77777777" w:rsidR="00305792" w:rsidRPr="00305792" w:rsidRDefault="00305792" w:rsidP="00305792">
            <w:pPr>
              <w:spacing w:after="0" w:line="240" w:lineRule="auto"/>
              <w:rPr>
                <w:rFonts w:ascii="Aptos Narrow" w:eastAsia="Times New Roman" w:hAnsi="Aptos Narrow" w:cs="Times New Roman"/>
                <w:color w:val="000000"/>
                <w:lang w:val="es-ES" w:eastAsia="es-ES"/>
              </w:rPr>
            </w:pPr>
          </w:p>
        </w:tc>
        <w:tc>
          <w:tcPr>
            <w:tcW w:w="1181" w:type="dxa"/>
            <w:vMerge/>
            <w:tcBorders>
              <w:top w:val="nil"/>
              <w:left w:val="single" w:sz="4" w:space="0" w:color="auto"/>
              <w:bottom w:val="single" w:sz="4" w:space="0" w:color="000000"/>
              <w:right w:val="single" w:sz="4" w:space="0" w:color="auto"/>
            </w:tcBorders>
            <w:vAlign w:val="center"/>
            <w:hideMark/>
          </w:tcPr>
          <w:p w14:paraId="7C79C5DC" w14:textId="77777777" w:rsidR="00305792" w:rsidRPr="00305792" w:rsidRDefault="00305792" w:rsidP="00305792">
            <w:pPr>
              <w:spacing w:after="0" w:line="240" w:lineRule="auto"/>
              <w:rPr>
                <w:rFonts w:ascii="Aptos Narrow" w:eastAsia="Times New Roman" w:hAnsi="Aptos Narrow" w:cs="Times New Roman"/>
                <w:color w:val="000000"/>
                <w:lang w:val="es-ES" w:eastAsia="es-ES"/>
              </w:rPr>
            </w:pPr>
          </w:p>
        </w:tc>
      </w:tr>
      <w:tr w:rsidR="00305792" w:rsidRPr="00305792" w14:paraId="08E1CBB2" w14:textId="77777777" w:rsidTr="00305792">
        <w:trPr>
          <w:trHeight w:val="2030"/>
          <w:jc w:val="center"/>
        </w:trPr>
        <w:tc>
          <w:tcPr>
            <w:tcW w:w="1187" w:type="dxa"/>
            <w:tcBorders>
              <w:top w:val="nil"/>
              <w:left w:val="single" w:sz="4" w:space="0" w:color="auto"/>
              <w:bottom w:val="single" w:sz="4" w:space="0" w:color="auto"/>
              <w:right w:val="single" w:sz="4" w:space="0" w:color="auto"/>
            </w:tcBorders>
            <w:noWrap/>
            <w:vAlign w:val="center"/>
            <w:hideMark/>
          </w:tcPr>
          <w:p w14:paraId="680F200F"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5</w:t>
            </w:r>
          </w:p>
        </w:tc>
        <w:tc>
          <w:tcPr>
            <w:tcW w:w="1869" w:type="dxa"/>
            <w:tcBorders>
              <w:top w:val="nil"/>
              <w:left w:val="nil"/>
              <w:bottom w:val="single" w:sz="4" w:space="0" w:color="auto"/>
              <w:right w:val="single" w:sz="4" w:space="0" w:color="auto"/>
            </w:tcBorders>
            <w:noWrap/>
            <w:vAlign w:val="center"/>
            <w:hideMark/>
          </w:tcPr>
          <w:p w14:paraId="274DDDC8"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7141FE92"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Validación desestimar practica para visualizarlos en rol jefe de unidad</w:t>
            </w:r>
          </w:p>
        </w:tc>
        <w:tc>
          <w:tcPr>
            <w:tcW w:w="1809" w:type="dxa"/>
            <w:tcBorders>
              <w:top w:val="nil"/>
              <w:left w:val="nil"/>
              <w:bottom w:val="single" w:sz="4" w:space="0" w:color="auto"/>
              <w:right w:val="single" w:sz="4" w:space="0" w:color="auto"/>
            </w:tcBorders>
            <w:vAlign w:val="center"/>
            <w:hideMark/>
          </w:tcPr>
          <w:p w14:paraId="0BD01ABB" w14:textId="1AA30178"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Este ROL debería poder ver la práctica que se desestimo</w:t>
            </w:r>
          </w:p>
        </w:tc>
        <w:tc>
          <w:tcPr>
            <w:tcW w:w="1585" w:type="dxa"/>
            <w:tcBorders>
              <w:top w:val="nil"/>
              <w:left w:val="nil"/>
              <w:bottom w:val="single" w:sz="4" w:space="0" w:color="auto"/>
              <w:right w:val="single" w:sz="4" w:space="0" w:color="auto"/>
            </w:tcBorders>
            <w:noWrap/>
            <w:vAlign w:val="center"/>
            <w:hideMark/>
          </w:tcPr>
          <w:p w14:paraId="499E3CCB"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568F0ED0"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xml:space="preserve">Se verificó el flujo de prácticas desestimadas y se detectó que estas no se visualizan correctamente en el buzón del rol </w:t>
            </w:r>
            <w:proofErr w:type="gramStart"/>
            <w:r w:rsidRPr="00305792">
              <w:rPr>
                <w:rFonts w:ascii="Aptos Narrow" w:eastAsia="Times New Roman" w:hAnsi="Aptos Narrow" w:cs="Times New Roman"/>
                <w:color w:val="000000"/>
                <w:lang w:val="es-ES" w:eastAsia="es-ES"/>
              </w:rPr>
              <w:t>Jefe</w:t>
            </w:r>
            <w:proofErr w:type="gramEnd"/>
            <w:r w:rsidRPr="00305792">
              <w:rPr>
                <w:rFonts w:ascii="Aptos Narrow" w:eastAsia="Times New Roman" w:hAnsi="Aptos Narrow" w:cs="Times New Roman"/>
                <w:color w:val="000000"/>
                <w:lang w:val="es-ES" w:eastAsia="es-ES"/>
              </w:rPr>
              <w:t xml:space="preserve"> de Unidad, incumpliendo con el comportamiento esperado.</w:t>
            </w:r>
          </w:p>
        </w:tc>
        <w:tc>
          <w:tcPr>
            <w:tcW w:w="1181" w:type="dxa"/>
            <w:tcBorders>
              <w:top w:val="nil"/>
              <w:left w:val="nil"/>
              <w:bottom w:val="single" w:sz="4" w:space="0" w:color="auto"/>
              <w:right w:val="single" w:sz="4" w:space="0" w:color="auto"/>
            </w:tcBorders>
            <w:noWrap/>
            <w:vAlign w:val="center"/>
            <w:hideMark/>
          </w:tcPr>
          <w:p w14:paraId="49381DF3"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3247DD81" w14:textId="77777777" w:rsidTr="00305792">
        <w:trPr>
          <w:trHeight w:val="2610"/>
          <w:jc w:val="center"/>
        </w:trPr>
        <w:tc>
          <w:tcPr>
            <w:tcW w:w="1187" w:type="dxa"/>
            <w:tcBorders>
              <w:top w:val="nil"/>
              <w:left w:val="single" w:sz="4" w:space="0" w:color="auto"/>
              <w:bottom w:val="single" w:sz="4" w:space="0" w:color="auto"/>
              <w:right w:val="single" w:sz="4" w:space="0" w:color="auto"/>
            </w:tcBorders>
            <w:noWrap/>
            <w:vAlign w:val="center"/>
            <w:hideMark/>
          </w:tcPr>
          <w:p w14:paraId="59502C07"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lastRenderedPageBreak/>
              <w:t>6</w:t>
            </w:r>
          </w:p>
        </w:tc>
        <w:tc>
          <w:tcPr>
            <w:tcW w:w="1869" w:type="dxa"/>
            <w:tcBorders>
              <w:top w:val="nil"/>
              <w:left w:val="nil"/>
              <w:bottom w:val="single" w:sz="4" w:space="0" w:color="auto"/>
              <w:right w:val="single" w:sz="4" w:space="0" w:color="auto"/>
            </w:tcBorders>
            <w:noWrap/>
            <w:vAlign w:val="center"/>
            <w:hideMark/>
          </w:tcPr>
          <w:p w14:paraId="73B5E381"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23E5B956"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Visualización de archivos adjuntos en el rol validador</w:t>
            </w:r>
          </w:p>
        </w:tc>
        <w:tc>
          <w:tcPr>
            <w:tcW w:w="1809" w:type="dxa"/>
            <w:tcBorders>
              <w:top w:val="nil"/>
              <w:left w:val="nil"/>
              <w:bottom w:val="single" w:sz="4" w:space="0" w:color="auto"/>
              <w:right w:val="single" w:sz="4" w:space="0" w:color="auto"/>
            </w:tcBorders>
            <w:vAlign w:val="center"/>
            <w:hideMark/>
          </w:tcPr>
          <w:p w14:paraId="3F03DA41"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Este ROL debería poder revisar la documentación que se adjunta en el momento del registro.</w:t>
            </w:r>
          </w:p>
        </w:tc>
        <w:tc>
          <w:tcPr>
            <w:tcW w:w="1585" w:type="dxa"/>
            <w:tcBorders>
              <w:top w:val="nil"/>
              <w:left w:val="nil"/>
              <w:bottom w:val="single" w:sz="4" w:space="0" w:color="auto"/>
              <w:right w:val="single" w:sz="4" w:space="0" w:color="auto"/>
            </w:tcBorders>
            <w:noWrap/>
            <w:vAlign w:val="center"/>
            <w:hideMark/>
          </w:tcPr>
          <w:p w14:paraId="11D8CA6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44DA9722"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validó que, tras asignar un caracterizador desde el rol Validador, el caso aparece correctamente en el buzón de dicho rol. También se comprobó que los documentos adjuntos se visualizan correctamente desde este contexto.</w:t>
            </w:r>
          </w:p>
        </w:tc>
        <w:tc>
          <w:tcPr>
            <w:tcW w:w="1181" w:type="dxa"/>
            <w:tcBorders>
              <w:top w:val="nil"/>
              <w:left w:val="nil"/>
              <w:bottom w:val="single" w:sz="4" w:space="0" w:color="auto"/>
              <w:right w:val="single" w:sz="4" w:space="0" w:color="auto"/>
            </w:tcBorders>
            <w:noWrap/>
            <w:vAlign w:val="center"/>
            <w:hideMark/>
          </w:tcPr>
          <w:p w14:paraId="10E4BD89"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r w:rsidR="00305792" w:rsidRPr="00305792" w14:paraId="2014AE3F" w14:textId="77777777" w:rsidTr="00305792">
        <w:trPr>
          <w:trHeight w:val="3480"/>
          <w:jc w:val="center"/>
        </w:trPr>
        <w:tc>
          <w:tcPr>
            <w:tcW w:w="1187" w:type="dxa"/>
            <w:tcBorders>
              <w:top w:val="nil"/>
              <w:left w:val="single" w:sz="4" w:space="0" w:color="auto"/>
              <w:bottom w:val="single" w:sz="4" w:space="0" w:color="auto"/>
              <w:right w:val="single" w:sz="4" w:space="0" w:color="auto"/>
            </w:tcBorders>
            <w:noWrap/>
            <w:vAlign w:val="center"/>
            <w:hideMark/>
          </w:tcPr>
          <w:p w14:paraId="0A096234"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7</w:t>
            </w:r>
          </w:p>
        </w:tc>
        <w:tc>
          <w:tcPr>
            <w:tcW w:w="1869" w:type="dxa"/>
            <w:tcBorders>
              <w:top w:val="nil"/>
              <w:left w:val="nil"/>
              <w:bottom w:val="single" w:sz="4" w:space="0" w:color="auto"/>
              <w:right w:val="single" w:sz="4" w:space="0" w:color="auto"/>
            </w:tcBorders>
            <w:noWrap/>
            <w:vAlign w:val="center"/>
            <w:hideMark/>
          </w:tcPr>
          <w:p w14:paraId="25090B2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Incidente</w:t>
            </w:r>
          </w:p>
        </w:tc>
        <w:tc>
          <w:tcPr>
            <w:tcW w:w="1334" w:type="dxa"/>
            <w:tcBorders>
              <w:top w:val="nil"/>
              <w:left w:val="nil"/>
              <w:bottom w:val="single" w:sz="4" w:space="0" w:color="auto"/>
              <w:right w:val="single" w:sz="4" w:space="0" w:color="auto"/>
            </w:tcBorders>
            <w:vAlign w:val="center"/>
            <w:hideMark/>
          </w:tcPr>
          <w:p w14:paraId="66FEB694"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Validación del buzón con el ingreso de nuevas prácticas en el rol Caracterizador</w:t>
            </w:r>
          </w:p>
        </w:tc>
        <w:tc>
          <w:tcPr>
            <w:tcW w:w="1809" w:type="dxa"/>
            <w:tcBorders>
              <w:top w:val="nil"/>
              <w:left w:val="nil"/>
              <w:bottom w:val="single" w:sz="4" w:space="0" w:color="auto"/>
              <w:right w:val="single" w:sz="4" w:space="0" w:color="auto"/>
            </w:tcBorders>
            <w:vAlign w:val="center"/>
            <w:hideMark/>
          </w:tcPr>
          <w:p w14:paraId="54AF47EC" w14:textId="7BEE77E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Las prácticas de la imagen anterior no se encuentran en buzón de caracterizador. Se realizó prueba con la práctica BP-2987 asignado le él Caracterizador, sin embargo, no apareció en el buzón del rol.</w:t>
            </w:r>
          </w:p>
        </w:tc>
        <w:tc>
          <w:tcPr>
            <w:tcW w:w="1585" w:type="dxa"/>
            <w:tcBorders>
              <w:top w:val="nil"/>
              <w:left w:val="nil"/>
              <w:bottom w:val="single" w:sz="4" w:space="0" w:color="auto"/>
              <w:right w:val="single" w:sz="4" w:space="0" w:color="auto"/>
            </w:tcBorders>
            <w:noWrap/>
            <w:vAlign w:val="center"/>
            <w:hideMark/>
          </w:tcPr>
          <w:p w14:paraId="636701BF"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Solucionado</w:t>
            </w:r>
          </w:p>
        </w:tc>
        <w:tc>
          <w:tcPr>
            <w:tcW w:w="2875" w:type="dxa"/>
            <w:tcBorders>
              <w:top w:val="nil"/>
              <w:left w:val="nil"/>
              <w:bottom w:val="single" w:sz="4" w:space="0" w:color="auto"/>
              <w:right w:val="single" w:sz="4" w:space="0" w:color="auto"/>
            </w:tcBorders>
            <w:vAlign w:val="center"/>
            <w:hideMark/>
          </w:tcPr>
          <w:p w14:paraId="01BAF480"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Se revisó el buzón del rol Caracterizador, confirmando que se muestran los casos asignados desde el rol Validador, y que los documentos adjuntos están disponibles para su visualización.</w:t>
            </w:r>
          </w:p>
        </w:tc>
        <w:tc>
          <w:tcPr>
            <w:tcW w:w="1181" w:type="dxa"/>
            <w:tcBorders>
              <w:top w:val="nil"/>
              <w:left w:val="nil"/>
              <w:bottom w:val="single" w:sz="4" w:space="0" w:color="auto"/>
              <w:right w:val="single" w:sz="4" w:space="0" w:color="auto"/>
            </w:tcBorders>
            <w:noWrap/>
            <w:vAlign w:val="center"/>
            <w:hideMark/>
          </w:tcPr>
          <w:p w14:paraId="7C428C7E" w14:textId="77777777" w:rsidR="00305792" w:rsidRPr="00305792" w:rsidRDefault="00305792" w:rsidP="00305792">
            <w:pPr>
              <w:spacing w:after="0" w:line="240" w:lineRule="auto"/>
              <w:jc w:val="center"/>
              <w:rPr>
                <w:rFonts w:ascii="Aptos Narrow" w:eastAsia="Times New Roman" w:hAnsi="Aptos Narrow" w:cs="Times New Roman"/>
                <w:color w:val="000000"/>
                <w:lang w:val="es-ES" w:eastAsia="es-ES"/>
              </w:rPr>
            </w:pPr>
            <w:r w:rsidRPr="00305792">
              <w:rPr>
                <w:rFonts w:ascii="Aptos Narrow" w:eastAsia="Times New Roman" w:hAnsi="Aptos Narrow" w:cs="Times New Roman"/>
                <w:color w:val="000000"/>
                <w:lang w:val="es-ES" w:eastAsia="es-ES"/>
              </w:rPr>
              <w:t> </w:t>
            </w:r>
          </w:p>
        </w:tc>
      </w:tr>
    </w:tbl>
    <w:p w14:paraId="432F38A0" w14:textId="77777777" w:rsidR="00305792" w:rsidRPr="00AE43E5" w:rsidRDefault="00305792">
      <w:pPr>
        <w:tabs>
          <w:tab w:val="left" w:pos="3950"/>
        </w:tabs>
        <w:rPr>
          <w:rFonts w:ascii="Arial" w:eastAsia="Arial" w:hAnsi="Arial" w:cs="Arial"/>
          <w:b/>
        </w:rPr>
      </w:pPr>
    </w:p>
    <w:p w14:paraId="1DE24694" w14:textId="77777777" w:rsidR="00906588" w:rsidRDefault="00906588">
      <w:pPr>
        <w:tabs>
          <w:tab w:val="left" w:pos="3950"/>
        </w:tabs>
        <w:rPr>
          <w:rFonts w:ascii="Arial" w:eastAsia="Arial" w:hAnsi="Arial" w:cs="Arial"/>
          <w:b/>
        </w:rPr>
      </w:pPr>
    </w:p>
    <w:p w14:paraId="6303093F" w14:textId="77777777" w:rsidR="00906588" w:rsidRDefault="00906588">
      <w:pPr>
        <w:tabs>
          <w:tab w:val="left" w:pos="3950"/>
        </w:tabs>
        <w:rPr>
          <w:rFonts w:ascii="Arial" w:eastAsia="Arial" w:hAnsi="Arial" w:cs="Arial"/>
          <w:b/>
        </w:rPr>
      </w:pPr>
    </w:p>
    <w:p w14:paraId="301EF129" w14:textId="77777777" w:rsidR="00D5696F" w:rsidRDefault="00D5696F">
      <w:pPr>
        <w:tabs>
          <w:tab w:val="left" w:pos="3950"/>
        </w:tabs>
        <w:rPr>
          <w:rFonts w:ascii="Arial" w:eastAsia="Arial" w:hAnsi="Arial" w:cs="Arial"/>
          <w:b/>
        </w:rPr>
      </w:pPr>
    </w:p>
    <w:p w14:paraId="2D837071" w14:textId="77777777" w:rsidR="00D5696F" w:rsidRDefault="00D5696F">
      <w:pPr>
        <w:tabs>
          <w:tab w:val="left" w:pos="3950"/>
        </w:tabs>
        <w:rPr>
          <w:rFonts w:ascii="Arial" w:eastAsia="Arial" w:hAnsi="Arial" w:cs="Arial"/>
          <w:b/>
        </w:rPr>
      </w:pPr>
    </w:p>
    <w:p w14:paraId="7BF9AA0C" w14:textId="509FB45F" w:rsidR="00C76240" w:rsidRDefault="00C76240">
      <w:pPr>
        <w:tabs>
          <w:tab w:val="left" w:pos="3950"/>
        </w:tabs>
        <w:rPr>
          <w:rFonts w:ascii="Arial" w:eastAsia="Arial" w:hAnsi="Arial" w:cs="Arial"/>
          <w:b/>
        </w:rPr>
      </w:pPr>
    </w:p>
    <w:tbl>
      <w:tblPr>
        <w:tblStyle w:val="a1"/>
        <w:tblpPr w:leftFromText="141" w:rightFromText="141" w:tblpY="1170"/>
        <w:tblW w:w="1260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8"/>
      </w:tblGrid>
      <w:tr w:rsidR="00C76240" w14:paraId="51D1A03A"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E8E8E8"/>
          </w:tcPr>
          <w:p w14:paraId="3F80F8B2" w14:textId="77777777" w:rsidR="00C76240" w:rsidRDefault="001670B0" w:rsidP="0032446B">
            <w:pPr>
              <w:tabs>
                <w:tab w:val="left" w:pos="3950"/>
              </w:tabs>
              <w:jc w:val="center"/>
              <w:rPr>
                <w:rFonts w:ascii="Arial" w:eastAsia="Arial" w:hAnsi="Arial" w:cs="Arial"/>
              </w:rPr>
            </w:pPr>
            <w:r>
              <w:rPr>
                <w:rFonts w:ascii="Arial" w:eastAsia="Arial" w:hAnsi="Arial" w:cs="Arial"/>
                <w:b/>
              </w:rPr>
              <w:t>BLOQUEANTES DETECTADOS</w:t>
            </w:r>
          </w:p>
        </w:tc>
      </w:tr>
      <w:tr w:rsidR="00C76240" w14:paraId="2DF69666"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FFFFFF"/>
          </w:tcPr>
          <w:p w14:paraId="71FCA98F" w14:textId="77777777" w:rsidR="00C76240" w:rsidRDefault="00C76240" w:rsidP="0032446B">
            <w:pPr>
              <w:pBdr>
                <w:top w:val="nil"/>
                <w:left w:val="nil"/>
                <w:bottom w:val="nil"/>
                <w:right w:val="nil"/>
                <w:between w:val="nil"/>
              </w:pBdr>
              <w:tabs>
                <w:tab w:val="left" w:pos="3950"/>
              </w:tabs>
              <w:spacing w:after="0"/>
              <w:ind w:left="720"/>
              <w:rPr>
                <w:rFonts w:ascii="Arial" w:eastAsia="Arial" w:hAnsi="Arial" w:cs="Arial"/>
                <w:color w:val="000000"/>
              </w:rPr>
            </w:pPr>
          </w:p>
          <w:p w14:paraId="0501C0A6" w14:textId="33C5768B" w:rsidR="00C76240" w:rsidRDefault="001670B0" w:rsidP="0032446B">
            <w:pPr>
              <w:numPr>
                <w:ilvl w:val="0"/>
                <w:numId w:val="1"/>
              </w:numPr>
              <w:pBdr>
                <w:top w:val="nil"/>
                <w:left w:val="nil"/>
                <w:bottom w:val="nil"/>
                <w:right w:val="nil"/>
                <w:between w:val="nil"/>
              </w:pBdr>
              <w:tabs>
                <w:tab w:val="left" w:pos="3950"/>
              </w:tabs>
              <w:spacing w:after="0"/>
              <w:rPr>
                <w:rFonts w:ascii="Arial" w:eastAsia="Arial" w:hAnsi="Arial" w:cs="Arial"/>
                <w:color w:val="000000"/>
              </w:rPr>
            </w:pPr>
            <w:r>
              <w:rPr>
                <w:rFonts w:ascii="Arial" w:eastAsia="Arial" w:hAnsi="Arial" w:cs="Arial"/>
                <w:b/>
                <w:color w:val="000000"/>
              </w:rPr>
              <w:t>Desconexiones intermitentes de la VPN y del EndPoint hacia el Directorio Activo (AD):</w:t>
            </w:r>
            <w:r>
              <w:rPr>
                <w:rFonts w:ascii="Arial" w:eastAsia="Arial" w:hAnsi="Arial" w:cs="Arial"/>
                <w:color w:val="000000"/>
              </w:rPr>
              <w:br/>
              <w:t>Se han presentado cortes impredecibles en la conectividad, lo que ha afectado la continuidad de los procesos de resolución de incidentes y ha generado retrasos en los tiempos de entrega</w:t>
            </w:r>
            <w:r w:rsidR="002F23F1">
              <w:rPr>
                <w:rFonts w:ascii="Arial" w:eastAsia="Arial" w:hAnsi="Arial" w:cs="Arial"/>
                <w:color w:val="000000"/>
              </w:rPr>
              <w:t xml:space="preserve"> </w:t>
            </w:r>
            <w:r w:rsidR="00305792">
              <w:rPr>
                <w:rFonts w:ascii="Arial" w:eastAsia="Arial" w:hAnsi="Arial" w:cs="Arial"/>
                <w:color w:val="000000"/>
              </w:rPr>
              <w:t>(tres</w:t>
            </w:r>
            <w:r w:rsidR="002F23F1">
              <w:rPr>
                <w:rFonts w:ascii="Arial" w:eastAsia="Arial" w:hAnsi="Arial" w:cs="Arial"/>
                <w:color w:val="000000"/>
              </w:rPr>
              <w:t xml:space="preserve"> semanas aproximadamente- desde junio de 2025)</w:t>
            </w:r>
          </w:p>
          <w:p w14:paraId="2F4850C9" w14:textId="77777777" w:rsidR="00C76240" w:rsidRDefault="001670B0" w:rsidP="0032446B">
            <w:pPr>
              <w:pBdr>
                <w:top w:val="nil"/>
                <w:left w:val="nil"/>
                <w:bottom w:val="nil"/>
                <w:right w:val="nil"/>
                <w:between w:val="nil"/>
              </w:pBdr>
              <w:tabs>
                <w:tab w:val="left" w:pos="3950"/>
              </w:tabs>
              <w:spacing w:after="0"/>
              <w:ind w:left="720"/>
              <w:rPr>
                <w:rFonts w:ascii="Arial" w:eastAsia="Arial" w:hAnsi="Arial" w:cs="Arial"/>
                <w:color w:val="000000"/>
              </w:rPr>
            </w:pPr>
            <w:r>
              <w:rPr>
                <w:rFonts w:ascii="Arial" w:eastAsia="Arial" w:hAnsi="Arial" w:cs="Arial"/>
                <w:color w:val="000000"/>
              </w:rPr>
              <w:t>.</w:t>
            </w:r>
          </w:p>
          <w:p w14:paraId="044FF681" w14:textId="1A2B2DA6" w:rsidR="00C76240" w:rsidRDefault="001670B0" w:rsidP="0032446B">
            <w:pPr>
              <w:numPr>
                <w:ilvl w:val="0"/>
                <w:numId w:val="1"/>
              </w:numPr>
              <w:pBdr>
                <w:top w:val="nil"/>
                <w:left w:val="nil"/>
                <w:bottom w:val="nil"/>
                <w:right w:val="nil"/>
                <w:between w:val="nil"/>
              </w:pBdr>
              <w:tabs>
                <w:tab w:val="left" w:pos="3950"/>
              </w:tabs>
              <w:rPr>
                <w:rFonts w:ascii="Arial" w:eastAsia="Arial" w:hAnsi="Arial" w:cs="Arial"/>
                <w:color w:val="000000"/>
              </w:rPr>
            </w:pPr>
            <w:r>
              <w:rPr>
                <w:rFonts w:ascii="Arial" w:eastAsia="Arial" w:hAnsi="Arial" w:cs="Arial"/>
                <w:b/>
                <w:color w:val="000000"/>
              </w:rPr>
              <w:t xml:space="preserve">Afectación en el acceso a </w:t>
            </w:r>
            <w:r w:rsidR="00D31FC2">
              <w:rPr>
                <w:rFonts w:ascii="Arial" w:eastAsia="Arial" w:hAnsi="Arial" w:cs="Arial"/>
                <w:b/>
                <w:color w:val="000000"/>
              </w:rPr>
              <w:t>BBP</w:t>
            </w:r>
            <w:r>
              <w:rPr>
                <w:rFonts w:ascii="Arial" w:eastAsia="Arial" w:hAnsi="Arial" w:cs="Arial"/>
                <w:b/>
                <w:color w:val="000000"/>
              </w:rPr>
              <w:t>:</w:t>
            </w:r>
            <w:r>
              <w:rPr>
                <w:rFonts w:ascii="Arial" w:eastAsia="Arial" w:hAnsi="Arial" w:cs="Arial"/>
                <w:color w:val="000000"/>
              </w:rPr>
              <w:br/>
              <w:t xml:space="preserve">Durante las validaciones en el aplicativo </w:t>
            </w:r>
            <w:r w:rsidR="00D31FC2" w:rsidRPr="00D31FC2">
              <w:rPr>
                <w:rFonts w:ascii="Arial" w:eastAsia="Arial" w:hAnsi="Arial" w:cs="Arial"/>
                <w:bCs/>
                <w:color w:val="000000"/>
              </w:rPr>
              <w:t>BBP</w:t>
            </w:r>
            <w:r>
              <w:rPr>
                <w:rFonts w:ascii="Arial" w:eastAsia="Arial" w:hAnsi="Arial" w:cs="Arial"/>
                <w:color w:val="000000"/>
              </w:rPr>
              <w:t>, se ha identificado que los usuarios no pueden acceder si no cuentan con conectividad, incrementa el impacto de las desconexiones y limita el avance de las validaciones y puestas en producción al igual que la ejecución correcta de pruebas funcionales y no funcionales.</w:t>
            </w:r>
            <w:r w:rsidR="002F23F1">
              <w:rPr>
                <w:rFonts w:ascii="Arial" w:eastAsia="Arial" w:hAnsi="Arial" w:cs="Arial"/>
                <w:color w:val="000000"/>
              </w:rPr>
              <w:t xml:space="preserve"> </w:t>
            </w:r>
            <w:r w:rsidR="00305792">
              <w:rPr>
                <w:rFonts w:ascii="Arial" w:eastAsia="Arial" w:hAnsi="Arial" w:cs="Arial"/>
                <w:color w:val="000000"/>
              </w:rPr>
              <w:t>(tres</w:t>
            </w:r>
            <w:r w:rsidR="002F23F1">
              <w:rPr>
                <w:rFonts w:ascii="Arial" w:eastAsia="Arial" w:hAnsi="Arial" w:cs="Arial"/>
                <w:color w:val="000000"/>
              </w:rPr>
              <w:t xml:space="preserve"> semanas aproximadamente- desde junio de 2025)</w:t>
            </w:r>
          </w:p>
          <w:p w14:paraId="0AB07148" w14:textId="2A662383" w:rsidR="00C76240" w:rsidRPr="00D05E84" w:rsidRDefault="002F23F1" w:rsidP="0032446B">
            <w:pPr>
              <w:pBdr>
                <w:top w:val="nil"/>
                <w:left w:val="nil"/>
                <w:bottom w:val="nil"/>
                <w:right w:val="nil"/>
                <w:between w:val="nil"/>
              </w:pBdr>
              <w:tabs>
                <w:tab w:val="left" w:pos="3950"/>
              </w:tabs>
              <w:rPr>
                <w:rFonts w:ascii="Arial" w:eastAsia="Arial" w:hAnsi="Arial" w:cs="Arial"/>
                <w:color w:val="000000"/>
              </w:rPr>
            </w:pPr>
            <w:r>
              <w:rPr>
                <w:rFonts w:ascii="Arial" w:eastAsia="Arial" w:hAnsi="Arial" w:cs="Arial"/>
                <w:color w:val="000000"/>
              </w:rPr>
              <w:t>Desde la UdeA, se gestionó a través de la DIARI mesas de servicios para efectos de lograr la solución de los bloqueantes antes detectados</w:t>
            </w:r>
            <w:r w:rsidR="00D05E84">
              <w:rPr>
                <w:rFonts w:ascii="Arial" w:eastAsia="Arial" w:hAnsi="Arial" w:cs="Arial"/>
                <w:color w:val="000000"/>
              </w:rPr>
              <w:t>.</w:t>
            </w:r>
          </w:p>
        </w:tc>
      </w:tr>
    </w:tbl>
    <w:p w14:paraId="2ACDF0E8" w14:textId="16098516" w:rsidR="00C76240" w:rsidRPr="00D05E84" w:rsidRDefault="00C76240" w:rsidP="00D05E84">
      <w:pPr>
        <w:tabs>
          <w:tab w:val="left" w:pos="3950"/>
        </w:tabs>
        <w:rPr>
          <w:rFonts w:ascii="Arial" w:eastAsia="Arial" w:hAnsi="Arial" w:cs="Arial"/>
        </w:rPr>
      </w:pPr>
    </w:p>
    <w:sectPr w:rsidR="00C76240" w:rsidRPr="00D05E84" w:rsidSect="00D05E84">
      <w:headerReference w:type="default" r:id="rId8"/>
      <w:pgSz w:w="15840" w:h="12240" w:orient="landscape"/>
      <w:pgMar w:top="1701" w:right="1418" w:bottom="1701" w:left="1418" w:header="1701"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925D2" w14:textId="77777777" w:rsidR="00F26C36" w:rsidRDefault="00F26C36">
      <w:pPr>
        <w:spacing w:after="0" w:line="240" w:lineRule="auto"/>
      </w:pPr>
      <w:r>
        <w:separator/>
      </w:r>
    </w:p>
  </w:endnote>
  <w:endnote w:type="continuationSeparator" w:id="0">
    <w:p w14:paraId="5D2C4598" w14:textId="77777777" w:rsidR="00F26C36" w:rsidRDefault="00F26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B58A813-05F6-4855-99EA-EDA809175C8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E07C523-5BA6-4D03-B485-A104FA00F7E3}"/>
    <w:embedBold r:id="rId3" w:fontKey="{4D59A9EB-C4BD-48E6-9BE0-5096A71BD27D}"/>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C524E89E-3A66-4156-9B5C-DEB040187707}"/>
  </w:font>
  <w:font w:name="Georgia">
    <w:panose1 w:val="02040502050405020303"/>
    <w:charset w:val="00"/>
    <w:family w:val="roman"/>
    <w:pitch w:val="variable"/>
    <w:sig w:usb0="00000287" w:usb1="00000000" w:usb2="00000000" w:usb3="00000000" w:csb0="0000009F" w:csb1="00000000"/>
    <w:embedRegular r:id="rId5" w:fontKey="{94B37C78-AFBC-4B8D-9B19-F32211EBA9EE}"/>
    <w:embedItalic r:id="rId6" w:fontKey="{4FCFF3CA-5B29-43FD-BF2F-21FEAB3B93E8}"/>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7" w:fontKey="{B3C2AC7E-1835-4165-91A5-6BD599098A0F}"/>
  </w:font>
  <w:font w:name="Calibri Light">
    <w:panose1 w:val="020F0302020204030204"/>
    <w:charset w:val="00"/>
    <w:family w:val="swiss"/>
    <w:pitch w:val="variable"/>
    <w:sig w:usb0="E4002EFF" w:usb1="C200247B" w:usb2="00000009" w:usb3="00000000" w:csb0="000001FF" w:csb1="00000000"/>
    <w:embedRegular r:id="rId8" w:fontKey="{5B111A14-4AED-43B6-A61C-2912B85D6B5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08820" w14:textId="77777777" w:rsidR="00F26C36" w:rsidRDefault="00F26C36">
      <w:pPr>
        <w:spacing w:after="0" w:line="240" w:lineRule="auto"/>
      </w:pPr>
      <w:r>
        <w:separator/>
      </w:r>
    </w:p>
  </w:footnote>
  <w:footnote w:type="continuationSeparator" w:id="0">
    <w:p w14:paraId="3CAA93A2" w14:textId="77777777" w:rsidR="00F26C36" w:rsidRDefault="00F26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BC23" w14:textId="5F65D448" w:rsidR="00C76240" w:rsidRDefault="00AE43E5" w:rsidP="00AE43E5">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noProof/>
      </w:rPr>
      <w:drawing>
        <wp:anchor distT="0" distB="0" distL="0" distR="0" simplePos="0" relativeHeight="251658240" behindDoc="1" locked="0" layoutInCell="1" hidden="0" allowOverlap="1" wp14:anchorId="3AFFC3B7" wp14:editId="02B2C531">
          <wp:simplePos x="0" y="0"/>
          <wp:positionH relativeFrom="column">
            <wp:posOffset>-196677</wp:posOffset>
          </wp:positionH>
          <wp:positionV relativeFrom="paragraph">
            <wp:posOffset>-633557</wp:posOffset>
          </wp:positionV>
          <wp:extent cx="738564" cy="968422"/>
          <wp:effectExtent l="0" t="0" r="0" b="0"/>
          <wp:wrapNone/>
          <wp:docPr id="1992362466" name="image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agrama&#10;&#10;Descripción generada automáticamente"/>
                  <pic:cNvPicPr preferRelativeResize="0"/>
                </pic:nvPicPr>
                <pic:blipFill>
                  <a:blip r:embed="rId1"/>
                  <a:srcRect/>
                  <a:stretch>
                    <a:fillRect/>
                  </a:stretch>
                </pic:blipFill>
                <pic:spPr>
                  <a:xfrm>
                    <a:off x="0" y="0"/>
                    <a:ext cx="738564" cy="968422"/>
                  </a:xfrm>
                  <a:prstGeom prst="rect">
                    <a:avLst/>
                  </a:prstGeom>
                  <a:ln/>
                </pic:spPr>
              </pic:pic>
            </a:graphicData>
          </a:graphic>
        </wp:anchor>
      </w:drawing>
    </w:r>
    <w:r w:rsidRPr="00AE43E5">
      <w:rPr>
        <w:rFonts w:ascii="Arial" w:eastAsia="Arial" w:hAnsi="Arial" w:cs="Arial"/>
        <w:b/>
        <w:color w:val="000000"/>
        <w:sz w:val="32"/>
        <w:szCs w:val="32"/>
      </w:rPr>
      <w:t>ACTA DE SEGUIMIENTO PRUEBAS DE ACEPTACIÓN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245E"/>
    <w:multiLevelType w:val="multilevel"/>
    <w:tmpl w:val="BB5C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0820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40"/>
    <w:rsid w:val="000253AC"/>
    <w:rsid w:val="00047312"/>
    <w:rsid w:val="00082C49"/>
    <w:rsid w:val="000E6E8C"/>
    <w:rsid w:val="001670B0"/>
    <w:rsid w:val="002F23F1"/>
    <w:rsid w:val="00305792"/>
    <w:rsid w:val="00307847"/>
    <w:rsid w:val="0032446B"/>
    <w:rsid w:val="003B226A"/>
    <w:rsid w:val="00466A62"/>
    <w:rsid w:val="004E08AE"/>
    <w:rsid w:val="00673989"/>
    <w:rsid w:val="007C2E8A"/>
    <w:rsid w:val="0090647D"/>
    <w:rsid w:val="00906588"/>
    <w:rsid w:val="00A210A2"/>
    <w:rsid w:val="00A76033"/>
    <w:rsid w:val="00AE43E5"/>
    <w:rsid w:val="00B762EB"/>
    <w:rsid w:val="00B97D3C"/>
    <w:rsid w:val="00BA57C7"/>
    <w:rsid w:val="00C409B1"/>
    <w:rsid w:val="00C76240"/>
    <w:rsid w:val="00CA5E2A"/>
    <w:rsid w:val="00D05E84"/>
    <w:rsid w:val="00D31FC2"/>
    <w:rsid w:val="00D528C4"/>
    <w:rsid w:val="00D5696F"/>
    <w:rsid w:val="00E46C0A"/>
    <w:rsid w:val="00EC140F"/>
    <w:rsid w:val="00F26C36"/>
    <w:rsid w:val="00F450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59ED"/>
  <w15:docId w15:val="{B74C2855-1234-B34A-979F-4469DB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10C26"/>
    <w:pPr>
      <w:ind w:left="720"/>
      <w:contextualSpacing/>
    </w:pPr>
  </w:style>
  <w:style w:type="table" w:styleId="Tablaconcuadrcula">
    <w:name w:val="Table Grid"/>
    <w:basedOn w:val="Tablanormal"/>
    <w:uiPriority w:val="39"/>
    <w:rsid w:val="00410C2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C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C26"/>
    <w:rPr>
      <w:kern w:val="2"/>
    </w:rPr>
  </w:style>
  <w:style w:type="paragraph" w:styleId="Piedepgina">
    <w:name w:val="footer"/>
    <w:basedOn w:val="Normal"/>
    <w:link w:val="PiedepginaCar"/>
    <w:uiPriority w:val="99"/>
    <w:unhideWhenUsed/>
    <w:rsid w:val="00410C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C26"/>
    <w:rPr>
      <w:kern w:val="2"/>
    </w:rPr>
  </w:style>
  <w:style w:type="paragraph" w:styleId="Textodeglobo">
    <w:name w:val="Balloon Text"/>
    <w:basedOn w:val="Normal"/>
    <w:link w:val="TextodegloboCar"/>
    <w:uiPriority w:val="99"/>
    <w:semiHidden/>
    <w:unhideWhenUsed/>
    <w:rsid w:val="00410C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C26"/>
    <w:rPr>
      <w:rFonts w:ascii="Segoe UI" w:hAnsi="Segoe UI" w:cs="Segoe UI"/>
      <w:kern w:val="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riZ5sPjsrgzzNcJtHiaMW1Lbw==">CgMxLjA4AHIhMVg1UlFVUlFsX2FwMXIxd0tBTGZyb09xSEhCZjdDSVNN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1026</Words>
  <Characters>5644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YATE</dc:creator>
  <cp:lastModifiedBy>Faber Steven Arturo Bermudez</cp:lastModifiedBy>
  <cp:revision>14</cp:revision>
  <dcterms:created xsi:type="dcterms:W3CDTF">2025-07-14T22:10:00Z</dcterms:created>
  <dcterms:modified xsi:type="dcterms:W3CDTF">2025-08-11T20:39:00Z</dcterms:modified>
</cp:coreProperties>
</file>