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D7B0" w14:textId="77777777" w:rsidR="00C76240" w:rsidRDefault="00C76240">
      <w:pPr>
        <w:tabs>
          <w:tab w:val="left" w:pos="3950"/>
        </w:tabs>
        <w:rPr>
          <w:rFonts w:ascii="Arial" w:eastAsia="Arial" w:hAnsi="Arial" w:cs="Arial"/>
        </w:rPr>
      </w:pPr>
    </w:p>
    <w:p w14:paraId="35B55DD8" w14:textId="7B53B39E" w:rsidR="00C76240" w:rsidRDefault="00000000" w:rsidP="00BA57C7">
      <w:pPr>
        <w:tabs>
          <w:tab w:val="left" w:pos="3950"/>
        </w:tabs>
        <w:jc w:val="center"/>
        <w:rPr>
          <w:rFonts w:ascii="Arial" w:eastAsia="Arial" w:hAnsi="Arial" w:cs="Arial"/>
          <w:b/>
        </w:rPr>
      </w:pPr>
      <w:r>
        <w:rPr>
          <w:rFonts w:ascii="Arial" w:eastAsia="Arial" w:hAnsi="Arial" w:cs="Arial"/>
          <w:b/>
        </w:rPr>
        <w:t>PRODUCTO</w:t>
      </w:r>
      <w:r w:rsidR="00BA57C7" w:rsidRPr="00BA57C7">
        <w:t xml:space="preserve"> </w:t>
      </w:r>
      <w:r w:rsidR="00BA57C7" w:rsidRPr="00BA57C7">
        <w:rPr>
          <w:rFonts w:ascii="Arial" w:eastAsia="Arial" w:hAnsi="Arial" w:cs="Arial"/>
          <w:b/>
        </w:rPr>
        <w:t xml:space="preserve">3.05 Desarrollo y despliegue de un sistema de gestión de investigación, desarrollo tecnológico e innovación en el marco de la cuarta revolución industrial para la CGR y definir los componentes técnicos que hacen parte del producto final </w:t>
      </w:r>
      <w:r w:rsidR="00BA57C7">
        <w:rPr>
          <w:rFonts w:ascii="Arial" w:eastAsia="Arial" w:hAnsi="Arial" w:cs="Arial"/>
          <w:b/>
        </w:rPr>
        <w:t>–</w:t>
      </w:r>
      <w:r>
        <w:rPr>
          <w:rFonts w:ascii="Arial" w:eastAsia="Arial" w:hAnsi="Arial" w:cs="Arial"/>
          <w:b/>
        </w:rPr>
        <w:t xml:space="preserve"> </w:t>
      </w:r>
      <w:r w:rsidR="00BA57C7">
        <w:rPr>
          <w:rFonts w:ascii="Arial" w:eastAsia="Arial" w:hAnsi="Arial" w:cs="Arial"/>
          <w:b/>
        </w:rPr>
        <w:t xml:space="preserve">LEY </w:t>
      </w:r>
      <w:r w:rsidR="00BA57C7" w:rsidRPr="00BA57C7">
        <w:rPr>
          <w:rFonts w:ascii="Arial" w:eastAsia="Arial" w:hAnsi="Arial" w:cs="Arial"/>
          <w:b/>
        </w:rPr>
        <w:t>403 de 2020</w:t>
      </w:r>
    </w:p>
    <w:p w14:paraId="09DDF852" w14:textId="77777777" w:rsidR="00C76240" w:rsidRDefault="00C76240">
      <w:pPr>
        <w:tabs>
          <w:tab w:val="left" w:pos="3950"/>
        </w:tabs>
      </w:pPr>
    </w:p>
    <w:p w14:paraId="238C14E4" w14:textId="77777777" w:rsidR="00C76240" w:rsidRDefault="00000000">
      <w:pPr>
        <w:tabs>
          <w:tab w:val="left" w:pos="3950"/>
        </w:tabs>
        <w:rPr>
          <w:rFonts w:ascii="Arial" w:eastAsia="Arial" w:hAnsi="Arial" w:cs="Arial"/>
          <w:b/>
        </w:rPr>
      </w:pPr>
      <w:r>
        <w:rPr>
          <w:rFonts w:ascii="Arial" w:eastAsia="Arial" w:hAnsi="Arial" w:cs="Arial"/>
          <w:b/>
        </w:rPr>
        <w:t xml:space="preserve">OBJETIVO </w:t>
      </w:r>
    </w:p>
    <w:p w14:paraId="500A4405" w14:textId="77777777" w:rsidR="00C76240" w:rsidRDefault="00000000">
      <w:pPr>
        <w:tabs>
          <w:tab w:val="left" w:pos="3950"/>
        </w:tabs>
        <w:jc w:val="both"/>
        <w:rPr>
          <w:rFonts w:ascii="Arial" w:eastAsia="Arial" w:hAnsi="Arial" w:cs="Arial"/>
        </w:rPr>
      </w:pPr>
      <w:r>
        <w:rPr>
          <w:rFonts w:ascii="Arial" w:eastAsia="Arial" w:hAnsi="Arial" w:cs="Arial"/>
        </w:rPr>
        <w:t xml:space="preserve">Presentar el estado actualizado de los incidentes y requerimientos registrados hasta el 12 de junio de 2025, detallando los tiempos de resolución en días hábiles y el tratamiento dado a cada caso. Asimismo, se informará sobre los casos que han sido resueltos técnicamente pero que aún requieren validación por parte de los funcionarios de la Contraloría General de la República (CGR), con el fin de cerrar formalmente su atención. </w:t>
      </w:r>
    </w:p>
    <w:p w14:paraId="34E061D0" w14:textId="77777777" w:rsidR="00C76240" w:rsidRDefault="00C76240">
      <w:pPr>
        <w:tabs>
          <w:tab w:val="left" w:pos="3950"/>
        </w:tabs>
        <w:jc w:val="both"/>
        <w:rPr>
          <w:rFonts w:ascii="Arial" w:eastAsia="Arial" w:hAnsi="Arial" w:cs="Arial"/>
        </w:rPr>
      </w:pPr>
    </w:p>
    <w:p w14:paraId="1F1534EB" w14:textId="77777777" w:rsidR="00C76240" w:rsidRDefault="00000000">
      <w:pPr>
        <w:tabs>
          <w:tab w:val="left" w:pos="3950"/>
        </w:tabs>
        <w:jc w:val="both"/>
        <w:rPr>
          <w:rFonts w:ascii="Arial" w:eastAsia="Arial" w:hAnsi="Arial" w:cs="Arial"/>
        </w:rPr>
      </w:pPr>
      <w:r>
        <w:rPr>
          <w:rFonts w:ascii="Arial" w:eastAsia="Arial" w:hAnsi="Arial" w:cs="Arial"/>
        </w:rPr>
        <w:t>En la sección que sigue se muestran las solicitudes, el estado y la fecha de realización del ajuste, en el caso que aplique dentro del alcance del producto.</w:t>
      </w:r>
    </w:p>
    <w:p w14:paraId="73E2466C" w14:textId="7185B336" w:rsidR="00C76240" w:rsidRDefault="002F23F1">
      <w:pPr>
        <w:tabs>
          <w:tab w:val="left" w:pos="3950"/>
        </w:tabs>
        <w:jc w:val="both"/>
        <w:rPr>
          <w:rFonts w:ascii="Arial" w:eastAsia="Arial" w:hAnsi="Arial" w:cs="Arial"/>
        </w:rPr>
      </w:pPr>
      <w:r w:rsidRPr="002F23F1">
        <w:rPr>
          <w:rFonts w:ascii="Arial" w:eastAsia="Arial" w:hAnsi="Arial" w:cs="Arial"/>
        </w:rPr>
        <w:t xml:space="preserve">El equipo de desarrollo de </w:t>
      </w:r>
      <w:proofErr w:type="gramStart"/>
      <w:r w:rsidRPr="002F23F1">
        <w:rPr>
          <w:rFonts w:ascii="Arial" w:eastAsia="Arial" w:hAnsi="Arial" w:cs="Arial"/>
        </w:rPr>
        <w:t>UdeA,</w:t>
      </w:r>
      <w:proofErr w:type="gramEnd"/>
      <w:r w:rsidRPr="002F23F1">
        <w:rPr>
          <w:rFonts w:ascii="Arial" w:eastAsia="Arial" w:hAnsi="Arial" w:cs="Arial"/>
        </w:rPr>
        <w:t xml:space="preserve"> mencionó en las sesiones de pruebas y transferencia de conocimiento, el origen de los ajustes emitido por parte de la CGR. Los primeros se denominan incidentes y se enmarcan en ajustes que se derivan de los requerimientos establecidos en los criterios de aceptación.  Por su parte, los requerimientos involucran desarrollos adicionales a los establecidos en los criterios; en los cuales el equipo evalúa la posibilidad de entrega en términos del esfuerzo de desarrollo para generar un valor agregado en el desarrollo.</w:t>
      </w:r>
    </w:p>
    <w:p w14:paraId="733E5FA0" w14:textId="77777777" w:rsidR="002F23F1" w:rsidRDefault="002F23F1">
      <w:pPr>
        <w:tabs>
          <w:tab w:val="left" w:pos="3950"/>
        </w:tabs>
        <w:jc w:val="both"/>
      </w:pPr>
    </w:p>
    <w:p w14:paraId="2587377C" w14:textId="77777777" w:rsidR="0032446B" w:rsidRDefault="0032446B">
      <w:pPr>
        <w:tabs>
          <w:tab w:val="left" w:pos="3950"/>
        </w:tabs>
        <w:jc w:val="both"/>
      </w:pPr>
    </w:p>
    <w:p w14:paraId="713D7775" w14:textId="77777777" w:rsidR="0032446B" w:rsidRDefault="0032446B">
      <w:pPr>
        <w:tabs>
          <w:tab w:val="left" w:pos="3950"/>
        </w:tabs>
        <w:jc w:val="both"/>
      </w:pPr>
    </w:p>
    <w:p w14:paraId="0DC108C8" w14:textId="77777777" w:rsidR="0032446B" w:rsidRDefault="0032446B">
      <w:pPr>
        <w:tabs>
          <w:tab w:val="left" w:pos="3950"/>
        </w:tabs>
        <w:jc w:val="both"/>
      </w:pPr>
    </w:p>
    <w:p w14:paraId="1724476E" w14:textId="77777777" w:rsidR="0032446B" w:rsidRDefault="0032446B">
      <w:pPr>
        <w:tabs>
          <w:tab w:val="left" w:pos="3950"/>
        </w:tabs>
        <w:jc w:val="both"/>
      </w:pPr>
    </w:p>
    <w:p w14:paraId="3E1B64B6" w14:textId="77777777" w:rsidR="0032446B" w:rsidRDefault="0032446B">
      <w:pPr>
        <w:tabs>
          <w:tab w:val="left" w:pos="3950"/>
        </w:tabs>
        <w:jc w:val="both"/>
      </w:pPr>
    </w:p>
    <w:p w14:paraId="0DAF875F" w14:textId="608DC6A4" w:rsidR="00C76240" w:rsidRPr="00AE43E5" w:rsidRDefault="00000000">
      <w:pPr>
        <w:tabs>
          <w:tab w:val="left" w:pos="3950"/>
        </w:tabs>
        <w:rPr>
          <w:rFonts w:ascii="Arial" w:eastAsia="Arial" w:hAnsi="Arial" w:cs="Arial"/>
          <w:b/>
        </w:rPr>
      </w:pPr>
      <w:r>
        <w:rPr>
          <w:rFonts w:ascii="Arial" w:eastAsia="Arial" w:hAnsi="Arial" w:cs="Arial"/>
          <w:b/>
        </w:rPr>
        <w:t>INCIDENTES</w:t>
      </w:r>
    </w:p>
    <w:tbl>
      <w:tblPr>
        <w:tblW w:w="13228" w:type="dxa"/>
        <w:jc w:val="center"/>
        <w:tblCellMar>
          <w:left w:w="70" w:type="dxa"/>
          <w:right w:w="70" w:type="dxa"/>
        </w:tblCellMar>
        <w:tblLook w:val="04A0" w:firstRow="1" w:lastRow="0" w:firstColumn="1" w:lastColumn="0" w:noHBand="0" w:noVBand="1"/>
      </w:tblPr>
      <w:tblGrid>
        <w:gridCol w:w="1424"/>
        <w:gridCol w:w="1460"/>
        <w:gridCol w:w="2126"/>
        <w:gridCol w:w="1821"/>
        <w:gridCol w:w="419"/>
        <w:gridCol w:w="899"/>
        <w:gridCol w:w="805"/>
        <w:gridCol w:w="899"/>
        <w:gridCol w:w="2481"/>
        <w:gridCol w:w="894"/>
      </w:tblGrid>
      <w:tr w:rsidR="0032446B" w:rsidRPr="0032446B" w14:paraId="08122A71" w14:textId="77777777" w:rsidTr="00906588">
        <w:trPr>
          <w:trHeight w:val="560"/>
          <w:jc w:val="center"/>
        </w:trPr>
        <w:tc>
          <w:tcPr>
            <w:tcW w:w="1424" w:type="dxa"/>
            <w:tcBorders>
              <w:top w:val="single" w:sz="8" w:space="0" w:color="000000"/>
              <w:left w:val="single" w:sz="8" w:space="0" w:color="000000"/>
              <w:bottom w:val="nil"/>
              <w:right w:val="single" w:sz="8" w:space="0" w:color="000000"/>
            </w:tcBorders>
            <w:shd w:val="clear" w:color="000000" w:fill="E7E6E6"/>
            <w:vAlign w:val="center"/>
            <w:hideMark/>
          </w:tcPr>
          <w:p w14:paraId="23335745"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Código</w:t>
            </w:r>
          </w:p>
        </w:tc>
        <w:tc>
          <w:tcPr>
            <w:tcW w:w="1460" w:type="dxa"/>
            <w:tcBorders>
              <w:top w:val="single" w:sz="8" w:space="0" w:color="000000"/>
              <w:left w:val="nil"/>
              <w:bottom w:val="nil"/>
              <w:right w:val="single" w:sz="8" w:space="0" w:color="000000"/>
            </w:tcBorders>
            <w:shd w:val="clear" w:color="000000" w:fill="E7E6E6"/>
            <w:vAlign w:val="center"/>
            <w:hideMark/>
          </w:tcPr>
          <w:p w14:paraId="03A7A95E"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Tipo de solicitud</w:t>
            </w:r>
          </w:p>
        </w:tc>
        <w:tc>
          <w:tcPr>
            <w:tcW w:w="4366" w:type="dxa"/>
            <w:gridSpan w:val="3"/>
            <w:tcBorders>
              <w:top w:val="single" w:sz="8" w:space="0" w:color="000000"/>
              <w:left w:val="nil"/>
              <w:bottom w:val="nil"/>
              <w:right w:val="single" w:sz="8" w:space="0" w:color="000000"/>
            </w:tcBorders>
            <w:shd w:val="clear" w:color="000000" w:fill="E7E6E6"/>
            <w:vAlign w:val="center"/>
            <w:hideMark/>
          </w:tcPr>
          <w:p w14:paraId="52193092"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Titulo</w:t>
            </w:r>
          </w:p>
        </w:tc>
        <w:tc>
          <w:tcPr>
            <w:tcW w:w="1704" w:type="dxa"/>
            <w:gridSpan w:val="2"/>
            <w:tcBorders>
              <w:top w:val="single" w:sz="8" w:space="0" w:color="000000"/>
              <w:left w:val="nil"/>
              <w:bottom w:val="nil"/>
              <w:right w:val="nil"/>
            </w:tcBorders>
            <w:shd w:val="clear" w:color="000000" w:fill="E7E6E6"/>
            <w:vAlign w:val="center"/>
            <w:hideMark/>
          </w:tcPr>
          <w:p w14:paraId="2B693E70"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Descripción</w:t>
            </w:r>
          </w:p>
        </w:tc>
        <w:tc>
          <w:tcPr>
            <w:tcW w:w="899" w:type="dxa"/>
            <w:tcBorders>
              <w:top w:val="single" w:sz="8" w:space="0" w:color="000000"/>
              <w:left w:val="single" w:sz="8" w:space="0" w:color="000000"/>
              <w:bottom w:val="nil"/>
              <w:right w:val="nil"/>
            </w:tcBorders>
            <w:shd w:val="clear" w:color="000000" w:fill="E7E6E6"/>
            <w:vAlign w:val="center"/>
            <w:hideMark/>
          </w:tcPr>
          <w:p w14:paraId="7F8D09A7"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Estado</w:t>
            </w:r>
          </w:p>
        </w:tc>
        <w:tc>
          <w:tcPr>
            <w:tcW w:w="2481" w:type="dxa"/>
            <w:tcBorders>
              <w:top w:val="single" w:sz="8" w:space="0" w:color="000000"/>
              <w:left w:val="single" w:sz="8" w:space="0" w:color="000000"/>
              <w:bottom w:val="nil"/>
              <w:right w:val="nil"/>
            </w:tcBorders>
            <w:shd w:val="clear" w:color="000000" w:fill="E7E6E6"/>
            <w:vAlign w:val="center"/>
            <w:hideMark/>
          </w:tcPr>
          <w:p w14:paraId="60B849FF"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Observación</w:t>
            </w:r>
          </w:p>
        </w:tc>
        <w:tc>
          <w:tcPr>
            <w:tcW w:w="894" w:type="dxa"/>
            <w:tcBorders>
              <w:top w:val="single" w:sz="8" w:space="0" w:color="000000"/>
              <w:left w:val="single" w:sz="8" w:space="0" w:color="000000"/>
              <w:bottom w:val="nil"/>
              <w:right w:val="nil"/>
            </w:tcBorders>
            <w:shd w:val="clear" w:color="000000" w:fill="E7E6E6"/>
            <w:vAlign w:val="center"/>
            <w:hideMark/>
          </w:tcPr>
          <w:p w14:paraId="18FB9F12" w14:textId="77777777" w:rsidR="0032446B" w:rsidRPr="0032446B" w:rsidRDefault="0032446B" w:rsidP="0032446B">
            <w:pPr>
              <w:spacing w:after="0" w:line="240" w:lineRule="auto"/>
              <w:jc w:val="center"/>
              <w:rPr>
                <w:rFonts w:ascii="Arial" w:eastAsia="Times New Roman" w:hAnsi="Arial" w:cs="Arial"/>
                <w:b/>
                <w:bCs/>
                <w:color w:val="000000"/>
                <w:lang w:val="es-ES" w:eastAsia="es-ES"/>
              </w:rPr>
            </w:pPr>
            <w:r w:rsidRPr="0032446B">
              <w:rPr>
                <w:rFonts w:ascii="Arial" w:eastAsia="Times New Roman" w:hAnsi="Arial" w:cs="Arial"/>
                <w:b/>
                <w:bCs/>
                <w:color w:val="000000"/>
                <w:lang w:val="es-ES" w:eastAsia="es-ES"/>
              </w:rPr>
              <w:t>VoBo CGR</w:t>
            </w:r>
          </w:p>
        </w:tc>
      </w:tr>
      <w:tr w:rsidR="0032446B" w:rsidRPr="0032446B" w14:paraId="6B4DE569" w14:textId="77777777" w:rsidTr="00906588">
        <w:trPr>
          <w:trHeight w:val="6640"/>
          <w:jc w:val="center"/>
        </w:trPr>
        <w:tc>
          <w:tcPr>
            <w:tcW w:w="1424" w:type="dxa"/>
            <w:tcBorders>
              <w:top w:val="single" w:sz="4" w:space="0" w:color="auto"/>
              <w:left w:val="single" w:sz="4" w:space="0" w:color="auto"/>
              <w:bottom w:val="single" w:sz="4" w:space="0" w:color="auto"/>
              <w:right w:val="single" w:sz="4" w:space="0" w:color="auto"/>
            </w:tcBorders>
            <w:vAlign w:val="center"/>
            <w:hideMark/>
          </w:tcPr>
          <w:p w14:paraId="3BF2EDAB"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1</w:t>
            </w:r>
          </w:p>
        </w:tc>
        <w:tc>
          <w:tcPr>
            <w:tcW w:w="1460" w:type="dxa"/>
            <w:tcBorders>
              <w:top w:val="single" w:sz="4" w:space="0" w:color="auto"/>
              <w:left w:val="nil"/>
              <w:bottom w:val="single" w:sz="4" w:space="0" w:color="auto"/>
              <w:right w:val="single" w:sz="4" w:space="0" w:color="auto"/>
            </w:tcBorders>
            <w:vAlign w:val="center"/>
            <w:hideMark/>
          </w:tcPr>
          <w:p w14:paraId="719490EF"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Incidente</w:t>
            </w:r>
          </w:p>
        </w:tc>
        <w:tc>
          <w:tcPr>
            <w:tcW w:w="4366" w:type="dxa"/>
            <w:gridSpan w:val="3"/>
            <w:tcBorders>
              <w:top w:val="single" w:sz="4" w:space="0" w:color="auto"/>
              <w:left w:val="nil"/>
              <w:bottom w:val="single" w:sz="4" w:space="0" w:color="auto"/>
              <w:right w:val="single" w:sz="4" w:space="0" w:color="auto"/>
            </w:tcBorders>
            <w:vAlign w:val="center"/>
            <w:hideMark/>
          </w:tcPr>
          <w:p w14:paraId="6B891C87"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Tipo de Práctica</w:t>
            </w:r>
          </w:p>
        </w:tc>
        <w:tc>
          <w:tcPr>
            <w:tcW w:w="1704" w:type="dxa"/>
            <w:gridSpan w:val="2"/>
            <w:tcBorders>
              <w:top w:val="single" w:sz="4" w:space="0" w:color="auto"/>
              <w:left w:val="nil"/>
              <w:bottom w:val="single" w:sz="4" w:space="0" w:color="auto"/>
              <w:right w:val="single" w:sz="4" w:space="0" w:color="auto"/>
            </w:tcBorders>
            <w:vAlign w:val="center"/>
            <w:hideMark/>
          </w:tcPr>
          <w:p w14:paraId="0618630E"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el primer formulario permite continuar a la siguiente página sin diligenciar ningún campo.</w:t>
            </w:r>
          </w:p>
        </w:tc>
        <w:tc>
          <w:tcPr>
            <w:tcW w:w="899" w:type="dxa"/>
            <w:tcBorders>
              <w:top w:val="single" w:sz="4" w:space="0" w:color="auto"/>
              <w:left w:val="nil"/>
              <w:bottom w:val="single" w:sz="4" w:space="0" w:color="auto"/>
              <w:right w:val="single" w:sz="4" w:space="0" w:color="auto"/>
            </w:tcBorders>
            <w:shd w:val="clear" w:color="000000" w:fill="FFFFFF"/>
            <w:vAlign w:val="center"/>
            <w:hideMark/>
          </w:tcPr>
          <w:p w14:paraId="709CB4E0"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Gestión</w:t>
            </w:r>
          </w:p>
        </w:tc>
        <w:tc>
          <w:tcPr>
            <w:tcW w:w="2481" w:type="dxa"/>
            <w:tcBorders>
              <w:top w:val="single" w:sz="4" w:space="0" w:color="auto"/>
              <w:left w:val="nil"/>
              <w:bottom w:val="single" w:sz="4" w:space="0" w:color="auto"/>
              <w:right w:val="single" w:sz="4" w:space="0" w:color="auto"/>
            </w:tcBorders>
            <w:vAlign w:val="center"/>
            <w:hideMark/>
          </w:tcPr>
          <w:p w14:paraId="46D3D655"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Se detectó que el primer formulario permitía avanzar sin diligenciar campos obligatorios, situación que no se ajustaba a lo definido en la Historia de Usuario. El comportamiento fue corregido y ahora el sistema valida correctamente los campos requeridos antes de permitir continuar.</w:t>
            </w:r>
          </w:p>
        </w:tc>
        <w:tc>
          <w:tcPr>
            <w:tcW w:w="894" w:type="dxa"/>
            <w:tcBorders>
              <w:top w:val="single" w:sz="4" w:space="0" w:color="auto"/>
              <w:left w:val="nil"/>
              <w:bottom w:val="single" w:sz="4" w:space="0" w:color="auto"/>
              <w:right w:val="single" w:sz="4" w:space="0" w:color="auto"/>
            </w:tcBorders>
            <w:vAlign w:val="center"/>
            <w:hideMark/>
          </w:tcPr>
          <w:p w14:paraId="47D25684"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 </w:t>
            </w:r>
          </w:p>
        </w:tc>
      </w:tr>
      <w:tr w:rsidR="0032446B" w:rsidRPr="0032446B" w14:paraId="1FB6DE16" w14:textId="77777777" w:rsidTr="00906588">
        <w:trPr>
          <w:trHeight w:val="5840"/>
          <w:jc w:val="center"/>
        </w:trPr>
        <w:tc>
          <w:tcPr>
            <w:tcW w:w="1424" w:type="dxa"/>
            <w:tcBorders>
              <w:top w:val="nil"/>
              <w:left w:val="single" w:sz="4" w:space="0" w:color="auto"/>
              <w:bottom w:val="single" w:sz="4" w:space="0" w:color="auto"/>
              <w:right w:val="single" w:sz="4" w:space="0" w:color="auto"/>
            </w:tcBorders>
            <w:vAlign w:val="center"/>
            <w:hideMark/>
          </w:tcPr>
          <w:p w14:paraId="2666D6B8"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lastRenderedPageBreak/>
              <w:t>2</w:t>
            </w:r>
          </w:p>
        </w:tc>
        <w:tc>
          <w:tcPr>
            <w:tcW w:w="1460" w:type="dxa"/>
            <w:tcBorders>
              <w:top w:val="nil"/>
              <w:left w:val="nil"/>
              <w:bottom w:val="single" w:sz="4" w:space="0" w:color="auto"/>
              <w:right w:val="single" w:sz="4" w:space="0" w:color="auto"/>
            </w:tcBorders>
            <w:vAlign w:val="center"/>
            <w:hideMark/>
          </w:tcPr>
          <w:p w14:paraId="52482822"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Incidente</w:t>
            </w:r>
          </w:p>
        </w:tc>
        <w:tc>
          <w:tcPr>
            <w:tcW w:w="4366" w:type="dxa"/>
            <w:gridSpan w:val="3"/>
            <w:tcBorders>
              <w:top w:val="nil"/>
              <w:left w:val="nil"/>
              <w:bottom w:val="single" w:sz="4" w:space="0" w:color="auto"/>
              <w:right w:val="single" w:sz="4" w:space="0" w:color="auto"/>
            </w:tcBorders>
            <w:vAlign w:val="center"/>
            <w:hideMark/>
          </w:tcPr>
          <w:p w14:paraId="353891A5" w14:textId="4E3984C1"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Requerimiento práctico</w:t>
            </w:r>
          </w:p>
        </w:tc>
        <w:tc>
          <w:tcPr>
            <w:tcW w:w="1704" w:type="dxa"/>
            <w:gridSpan w:val="2"/>
            <w:tcBorders>
              <w:top w:val="nil"/>
              <w:left w:val="nil"/>
              <w:bottom w:val="single" w:sz="4" w:space="0" w:color="auto"/>
              <w:right w:val="single" w:sz="4" w:space="0" w:color="auto"/>
            </w:tcBorders>
            <w:vAlign w:val="center"/>
            <w:hideMark/>
          </w:tcPr>
          <w:p w14:paraId="563832FE"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Una vez se diligencia el tipo de práctica el único campo obligatorio es “Propósito de la práctica”.</w:t>
            </w:r>
          </w:p>
        </w:tc>
        <w:tc>
          <w:tcPr>
            <w:tcW w:w="899" w:type="dxa"/>
            <w:tcBorders>
              <w:top w:val="nil"/>
              <w:left w:val="nil"/>
              <w:bottom w:val="single" w:sz="4" w:space="0" w:color="auto"/>
              <w:right w:val="single" w:sz="4" w:space="0" w:color="auto"/>
            </w:tcBorders>
            <w:shd w:val="clear" w:color="000000" w:fill="FFFFFF"/>
            <w:vAlign w:val="center"/>
            <w:hideMark/>
          </w:tcPr>
          <w:p w14:paraId="45092220"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Gestión</w:t>
            </w:r>
          </w:p>
        </w:tc>
        <w:tc>
          <w:tcPr>
            <w:tcW w:w="2481" w:type="dxa"/>
            <w:tcBorders>
              <w:top w:val="nil"/>
              <w:left w:val="nil"/>
              <w:bottom w:val="single" w:sz="4" w:space="0" w:color="auto"/>
              <w:right w:val="single" w:sz="4" w:space="0" w:color="auto"/>
            </w:tcBorders>
            <w:vAlign w:val="center"/>
            <w:hideMark/>
          </w:tcPr>
          <w:p w14:paraId="0A6EF607"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Se verifica que, tras seleccionar el tipo de práctica, el sistema solo establece como campo obligatorio el “Propósito de la práctica”, lo cual corresponde con la validación esperada según los criterios funcionales definidos.</w:t>
            </w:r>
          </w:p>
        </w:tc>
        <w:tc>
          <w:tcPr>
            <w:tcW w:w="894" w:type="dxa"/>
            <w:tcBorders>
              <w:top w:val="nil"/>
              <w:left w:val="nil"/>
              <w:bottom w:val="single" w:sz="4" w:space="0" w:color="auto"/>
              <w:right w:val="single" w:sz="4" w:space="0" w:color="auto"/>
            </w:tcBorders>
            <w:vAlign w:val="center"/>
            <w:hideMark/>
          </w:tcPr>
          <w:p w14:paraId="5DE11A32"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 </w:t>
            </w:r>
          </w:p>
        </w:tc>
      </w:tr>
      <w:tr w:rsidR="0032446B" w:rsidRPr="0032446B" w14:paraId="750A38DE" w14:textId="77777777" w:rsidTr="00906588">
        <w:trPr>
          <w:trHeight w:val="6890"/>
          <w:jc w:val="center"/>
        </w:trPr>
        <w:tc>
          <w:tcPr>
            <w:tcW w:w="1424" w:type="dxa"/>
            <w:tcBorders>
              <w:top w:val="nil"/>
              <w:left w:val="single" w:sz="4" w:space="0" w:color="auto"/>
              <w:bottom w:val="single" w:sz="4" w:space="0" w:color="auto"/>
              <w:right w:val="single" w:sz="4" w:space="0" w:color="auto"/>
            </w:tcBorders>
            <w:vAlign w:val="center"/>
            <w:hideMark/>
          </w:tcPr>
          <w:p w14:paraId="4572B760"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lastRenderedPageBreak/>
              <w:t>3</w:t>
            </w:r>
          </w:p>
        </w:tc>
        <w:tc>
          <w:tcPr>
            <w:tcW w:w="1460" w:type="dxa"/>
            <w:tcBorders>
              <w:top w:val="nil"/>
              <w:left w:val="nil"/>
              <w:bottom w:val="single" w:sz="4" w:space="0" w:color="auto"/>
              <w:right w:val="single" w:sz="4" w:space="0" w:color="auto"/>
            </w:tcBorders>
            <w:vAlign w:val="center"/>
            <w:hideMark/>
          </w:tcPr>
          <w:p w14:paraId="5CF1BF5B"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Incidente</w:t>
            </w:r>
          </w:p>
        </w:tc>
        <w:tc>
          <w:tcPr>
            <w:tcW w:w="4366" w:type="dxa"/>
            <w:gridSpan w:val="3"/>
            <w:tcBorders>
              <w:top w:val="nil"/>
              <w:left w:val="nil"/>
              <w:bottom w:val="single" w:sz="4" w:space="0" w:color="auto"/>
              <w:right w:val="single" w:sz="4" w:space="0" w:color="auto"/>
            </w:tcBorders>
            <w:vAlign w:val="center"/>
            <w:hideMark/>
          </w:tcPr>
          <w:p w14:paraId="4146EBF6"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Devolver la práctica</w:t>
            </w:r>
          </w:p>
        </w:tc>
        <w:tc>
          <w:tcPr>
            <w:tcW w:w="1704" w:type="dxa"/>
            <w:gridSpan w:val="2"/>
            <w:tcBorders>
              <w:top w:val="nil"/>
              <w:left w:val="nil"/>
              <w:bottom w:val="single" w:sz="4" w:space="0" w:color="auto"/>
              <w:right w:val="single" w:sz="4" w:space="0" w:color="auto"/>
            </w:tcBorders>
            <w:vAlign w:val="center"/>
            <w:hideMark/>
          </w:tcPr>
          <w:p w14:paraId="58D71767"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Existe una opción para “Devolver la Práctica”, en el momento de activar el botón arroja el siguiente mensaje de error.</w:t>
            </w:r>
          </w:p>
        </w:tc>
        <w:tc>
          <w:tcPr>
            <w:tcW w:w="899" w:type="dxa"/>
            <w:tcBorders>
              <w:top w:val="nil"/>
              <w:left w:val="nil"/>
              <w:bottom w:val="nil"/>
              <w:right w:val="single" w:sz="4" w:space="0" w:color="auto"/>
            </w:tcBorders>
            <w:shd w:val="clear" w:color="000000" w:fill="FFFFFF"/>
            <w:vAlign w:val="center"/>
            <w:hideMark/>
          </w:tcPr>
          <w:p w14:paraId="4EA9BEDB"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Gestión</w:t>
            </w:r>
          </w:p>
        </w:tc>
        <w:tc>
          <w:tcPr>
            <w:tcW w:w="2481" w:type="dxa"/>
            <w:tcBorders>
              <w:top w:val="nil"/>
              <w:left w:val="nil"/>
              <w:bottom w:val="single" w:sz="4" w:space="0" w:color="auto"/>
              <w:right w:val="single" w:sz="4" w:space="0" w:color="auto"/>
            </w:tcBorders>
            <w:vAlign w:val="center"/>
            <w:hideMark/>
          </w:tcPr>
          <w:p w14:paraId="610BBBBC"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Se valida que el error reportado en la funcionalidad de “Devolver la Práctica” ha sido solucionado correctamente. Actualmente, al activar la opción, el sistema realiza la acción esperada sin generar errores, permitiendo al usuario ejecutar la devolución con éxito dentro del flujo establecido.</w:t>
            </w:r>
          </w:p>
        </w:tc>
        <w:tc>
          <w:tcPr>
            <w:tcW w:w="894" w:type="dxa"/>
            <w:tcBorders>
              <w:top w:val="nil"/>
              <w:left w:val="nil"/>
              <w:bottom w:val="nil"/>
              <w:right w:val="single" w:sz="4" w:space="0" w:color="auto"/>
            </w:tcBorders>
            <w:vAlign w:val="center"/>
            <w:hideMark/>
          </w:tcPr>
          <w:p w14:paraId="1A2E15E2"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 </w:t>
            </w:r>
          </w:p>
        </w:tc>
      </w:tr>
      <w:tr w:rsidR="0032446B" w:rsidRPr="0032446B" w14:paraId="1A3D3AB4" w14:textId="77777777" w:rsidTr="00906588">
        <w:trPr>
          <w:trHeight w:val="7680"/>
          <w:jc w:val="center"/>
        </w:trPr>
        <w:tc>
          <w:tcPr>
            <w:tcW w:w="1424" w:type="dxa"/>
            <w:tcBorders>
              <w:top w:val="nil"/>
              <w:left w:val="single" w:sz="4" w:space="0" w:color="auto"/>
              <w:bottom w:val="single" w:sz="4" w:space="0" w:color="auto"/>
              <w:right w:val="single" w:sz="4" w:space="0" w:color="auto"/>
            </w:tcBorders>
            <w:vAlign w:val="center"/>
            <w:hideMark/>
          </w:tcPr>
          <w:p w14:paraId="24349E93"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lastRenderedPageBreak/>
              <w:t>4</w:t>
            </w:r>
          </w:p>
        </w:tc>
        <w:tc>
          <w:tcPr>
            <w:tcW w:w="1460" w:type="dxa"/>
            <w:tcBorders>
              <w:top w:val="nil"/>
              <w:left w:val="nil"/>
              <w:bottom w:val="single" w:sz="4" w:space="0" w:color="auto"/>
              <w:right w:val="single" w:sz="4" w:space="0" w:color="auto"/>
            </w:tcBorders>
            <w:vAlign w:val="center"/>
            <w:hideMark/>
          </w:tcPr>
          <w:p w14:paraId="11B4460C"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Incidente</w:t>
            </w:r>
          </w:p>
        </w:tc>
        <w:tc>
          <w:tcPr>
            <w:tcW w:w="4366" w:type="dxa"/>
            <w:gridSpan w:val="3"/>
            <w:tcBorders>
              <w:top w:val="nil"/>
              <w:left w:val="nil"/>
              <w:bottom w:val="single" w:sz="4" w:space="0" w:color="auto"/>
              <w:right w:val="single" w:sz="4" w:space="0" w:color="auto"/>
            </w:tcBorders>
            <w:vAlign w:val="center"/>
            <w:hideMark/>
          </w:tcPr>
          <w:p w14:paraId="4BEFE944" w14:textId="264DA30E" w:rsidR="0032446B" w:rsidRPr="0032446B" w:rsidRDefault="00906588"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Envió</w:t>
            </w:r>
            <w:r w:rsidR="0032446B" w:rsidRPr="0032446B">
              <w:rPr>
                <w:rFonts w:ascii="Arial" w:eastAsia="Times New Roman" w:hAnsi="Arial" w:cs="Arial"/>
                <w:color w:val="000000"/>
                <w:lang w:val="es-ES" w:eastAsia="es-ES"/>
              </w:rPr>
              <w:t xml:space="preserve"> en caracterizador</w:t>
            </w:r>
          </w:p>
        </w:tc>
        <w:tc>
          <w:tcPr>
            <w:tcW w:w="1704" w:type="dxa"/>
            <w:gridSpan w:val="2"/>
            <w:tcBorders>
              <w:top w:val="nil"/>
              <w:left w:val="nil"/>
              <w:bottom w:val="single" w:sz="4" w:space="0" w:color="auto"/>
              <w:right w:val="single" w:sz="4" w:space="0" w:color="auto"/>
            </w:tcBorders>
            <w:vAlign w:val="center"/>
            <w:hideMark/>
          </w:tcPr>
          <w:p w14:paraId="4DD4A44D"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Posterior al momento de seleccionar el caracterizador, se consulta el buzón y permite nuevamente repetir el proceso de asignación del caracterizador como si no estuviese realizando la instrucción.</w:t>
            </w:r>
          </w:p>
        </w:tc>
        <w:tc>
          <w:tcPr>
            <w:tcW w:w="899" w:type="dxa"/>
            <w:tcBorders>
              <w:top w:val="single" w:sz="4" w:space="0" w:color="auto"/>
              <w:left w:val="nil"/>
              <w:bottom w:val="nil"/>
              <w:right w:val="single" w:sz="4" w:space="0" w:color="auto"/>
            </w:tcBorders>
            <w:shd w:val="clear" w:color="000000" w:fill="FFFFFF"/>
            <w:vAlign w:val="center"/>
            <w:hideMark/>
          </w:tcPr>
          <w:p w14:paraId="71B00C90"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Gestión</w:t>
            </w:r>
          </w:p>
        </w:tc>
        <w:tc>
          <w:tcPr>
            <w:tcW w:w="2481" w:type="dxa"/>
            <w:tcBorders>
              <w:top w:val="nil"/>
              <w:left w:val="nil"/>
              <w:bottom w:val="single" w:sz="4" w:space="0" w:color="auto"/>
              <w:right w:val="single" w:sz="4" w:space="0" w:color="auto"/>
            </w:tcBorders>
            <w:vAlign w:val="center"/>
            <w:hideMark/>
          </w:tcPr>
          <w:p w14:paraId="09DEF46A"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 xml:space="preserve">Se valida que el comportamiento descrito respecto a la repetición del proceso de asignación del caracterizador ya fue corregido. Actualmente, una vez se realiza la asignación de un caracterizador, el sistema actualiza correctamente el estado de la práctica y evita que vuelva a aparecer como pendiente de asignación en el buzón. </w:t>
            </w:r>
          </w:p>
        </w:tc>
        <w:tc>
          <w:tcPr>
            <w:tcW w:w="894" w:type="dxa"/>
            <w:tcBorders>
              <w:top w:val="single" w:sz="4" w:space="0" w:color="auto"/>
              <w:left w:val="nil"/>
              <w:bottom w:val="single" w:sz="4" w:space="0" w:color="auto"/>
              <w:right w:val="single" w:sz="4" w:space="0" w:color="auto"/>
            </w:tcBorders>
            <w:vAlign w:val="center"/>
            <w:hideMark/>
          </w:tcPr>
          <w:p w14:paraId="495342FA"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 </w:t>
            </w:r>
          </w:p>
        </w:tc>
      </w:tr>
      <w:tr w:rsidR="0032446B" w:rsidRPr="0032446B" w14:paraId="55F84558" w14:textId="77777777" w:rsidTr="00906588">
        <w:trPr>
          <w:trHeight w:val="7980"/>
          <w:jc w:val="center"/>
        </w:trPr>
        <w:tc>
          <w:tcPr>
            <w:tcW w:w="1424" w:type="dxa"/>
            <w:tcBorders>
              <w:top w:val="nil"/>
              <w:left w:val="single" w:sz="4" w:space="0" w:color="auto"/>
              <w:bottom w:val="single" w:sz="4" w:space="0" w:color="auto"/>
              <w:right w:val="single" w:sz="4" w:space="0" w:color="auto"/>
            </w:tcBorders>
            <w:vAlign w:val="center"/>
            <w:hideMark/>
          </w:tcPr>
          <w:p w14:paraId="3A01C29D"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lastRenderedPageBreak/>
              <w:t>5</w:t>
            </w:r>
          </w:p>
        </w:tc>
        <w:tc>
          <w:tcPr>
            <w:tcW w:w="1460" w:type="dxa"/>
            <w:tcBorders>
              <w:top w:val="nil"/>
              <w:left w:val="nil"/>
              <w:bottom w:val="single" w:sz="4" w:space="0" w:color="auto"/>
              <w:right w:val="single" w:sz="4" w:space="0" w:color="auto"/>
            </w:tcBorders>
            <w:vAlign w:val="center"/>
            <w:hideMark/>
          </w:tcPr>
          <w:p w14:paraId="7093D5DA"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Incidente</w:t>
            </w:r>
          </w:p>
        </w:tc>
        <w:tc>
          <w:tcPr>
            <w:tcW w:w="2126" w:type="dxa"/>
            <w:tcBorders>
              <w:top w:val="nil"/>
              <w:left w:val="nil"/>
              <w:bottom w:val="single" w:sz="4" w:space="0" w:color="auto"/>
              <w:right w:val="single" w:sz="4" w:space="0" w:color="auto"/>
            </w:tcBorders>
            <w:vAlign w:val="center"/>
            <w:hideMark/>
          </w:tcPr>
          <w:p w14:paraId="727FFDB5"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Validación en caracterizador</w:t>
            </w:r>
          </w:p>
        </w:tc>
        <w:tc>
          <w:tcPr>
            <w:tcW w:w="1821" w:type="dxa"/>
            <w:tcBorders>
              <w:top w:val="nil"/>
              <w:left w:val="nil"/>
              <w:bottom w:val="single" w:sz="4" w:space="0" w:color="auto"/>
              <w:right w:val="single" w:sz="4" w:space="0" w:color="auto"/>
            </w:tcBorders>
            <w:vAlign w:val="center"/>
            <w:hideMark/>
          </w:tcPr>
          <w:p w14:paraId="33351027"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Debería registrarse en el buzón un estado de flujo de Caracterización.</w:t>
            </w:r>
            <w:r w:rsidRPr="0032446B">
              <w:rPr>
                <w:rFonts w:ascii="Arial" w:eastAsia="Times New Roman" w:hAnsi="Arial" w:cs="Arial"/>
                <w:color w:val="000000"/>
                <w:lang w:val="es-ES" w:eastAsia="es-ES"/>
              </w:rPr>
              <w:br/>
            </w:r>
            <w:r w:rsidRPr="0032446B">
              <w:rPr>
                <w:rFonts w:ascii="Arial" w:eastAsia="Times New Roman" w:hAnsi="Arial" w:cs="Arial"/>
                <w:color w:val="000000"/>
                <w:lang w:val="es-ES" w:eastAsia="es-ES"/>
              </w:rPr>
              <w:br/>
              <w:t>Se revisó en el buzón del Rol “Caracterizador” y no apareció la práctica asignada.</w:t>
            </w:r>
          </w:p>
        </w:tc>
        <w:tc>
          <w:tcPr>
            <w:tcW w:w="1318" w:type="dxa"/>
            <w:gridSpan w:val="2"/>
            <w:tcBorders>
              <w:top w:val="single" w:sz="4" w:space="0" w:color="auto"/>
              <w:left w:val="nil"/>
              <w:bottom w:val="single" w:sz="4" w:space="0" w:color="auto"/>
              <w:right w:val="single" w:sz="4" w:space="0" w:color="auto"/>
            </w:tcBorders>
            <w:shd w:val="clear" w:color="000000" w:fill="FFFFFF"/>
            <w:vAlign w:val="center"/>
            <w:hideMark/>
          </w:tcPr>
          <w:p w14:paraId="15B96457"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En Gestión</w:t>
            </w:r>
          </w:p>
        </w:tc>
        <w:tc>
          <w:tcPr>
            <w:tcW w:w="4185" w:type="dxa"/>
            <w:gridSpan w:val="3"/>
            <w:tcBorders>
              <w:top w:val="nil"/>
              <w:left w:val="nil"/>
              <w:bottom w:val="single" w:sz="4" w:space="0" w:color="auto"/>
              <w:right w:val="single" w:sz="4" w:space="0" w:color="auto"/>
            </w:tcBorders>
            <w:vAlign w:val="center"/>
            <w:hideMark/>
          </w:tcPr>
          <w:p w14:paraId="044B0B9E" w14:textId="77777777" w:rsidR="0032446B" w:rsidRPr="0032446B" w:rsidRDefault="0032446B" w:rsidP="0032446B">
            <w:pPr>
              <w:spacing w:after="0" w:line="240" w:lineRule="auto"/>
              <w:rPr>
                <w:rFonts w:ascii="Arial" w:eastAsia="Times New Roman" w:hAnsi="Arial" w:cs="Arial"/>
                <w:color w:val="000000"/>
                <w:lang w:val="es-ES" w:eastAsia="es-ES"/>
              </w:rPr>
            </w:pPr>
            <w:r w:rsidRPr="0032446B">
              <w:rPr>
                <w:rFonts w:ascii="Arial" w:eastAsia="Times New Roman" w:hAnsi="Arial" w:cs="Arial"/>
                <w:color w:val="000000"/>
                <w:lang w:val="es-ES" w:eastAsia="es-ES"/>
              </w:rPr>
              <w:t>Se valida que, una vez registrada la práctica, el sistema ya asigna el estado inicial como “Buena práctica en validación”, conforme al flujo definido. Posteriormente, el cambio de estado hacia “Caracterización” debe realizarse manualmente por el perfil correspondiente, tal como está contemplado en el modelo de transición de estados del sistema.</w:t>
            </w:r>
          </w:p>
        </w:tc>
        <w:tc>
          <w:tcPr>
            <w:tcW w:w="894" w:type="dxa"/>
            <w:tcBorders>
              <w:top w:val="nil"/>
              <w:left w:val="nil"/>
              <w:bottom w:val="single" w:sz="4" w:space="0" w:color="auto"/>
              <w:right w:val="single" w:sz="4" w:space="0" w:color="auto"/>
            </w:tcBorders>
            <w:vAlign w:val="center"/>
            <w:hideMark/>
          </w:tcPr>
          <w:p w14:paraId="4E094DBE" w14:textId="77777777" w:rsidR="0032446B" w:rsidRPr="0032446B" w:rsidRDefault="0032446B" w:rsidP="0032446B">
            <w:pPr>
              <w:spacing w:after="0" w:line="240" w:lineRule="auto"/>
              <w:jc w:val="center"/>
              <w:rPr>
                <w:rFonts w:ascii="Arial" w:eastAsia="Times New Roman" w:hAnsi="Arial" w:cs="Arial"/>
                <w:color w:val="000000"/>
                <w:lang w:val="es-ES" w:eastAsia="es-ES"/>
              </w:rPr>
            </w:pPr>
            <w:r w:rsidRPr="0032446B">
              <w:rPr>
                <w:rFonts w:ascii="Arial" w:eastAsia="Times New Roman" w:hAnsi="Arial" w:cs="Arial"/>
                <w:color w:val="000000"/>
                <w:lang w:val="es-ES" w:eastAsia="es-ES"/>
              </w:rPr>
              <w:t> </w:t>
            </w:r>
          </w:p>
        </w:tc>
      </w:tr>
    </w:tbl>
    <w:p w14:paraId="1DE24694" w14:textId="77777777" w:rsidR="00906588" w:rsidRDefault="00906588">
      <w:pPr>
        <w:tabs>
          <w:tab w:val="left" w:pos="3950"/>
        </w:tabs>
        <w:rPr>
          <w:rFonts w:ascii="Arial" w:eastAsia="Arial" w:hAnsi="Arial" w:cs="Arial"/>
          <w:b/>
        </w:rPr>
      </w:pPr>
    </w:p>
    <w:p w14:paraId="6303093F" w14:textId="77777777" w:rsidR="00906588" w:rsidRDefault="00906588">
      <w:pPr>
        <w:tabs>
          <w:tab w:val="left" w:pos="3950"/>
        </w:tabs>
        <w:rPr>
          <w:rFonts w:ascii="Arial" w:eastAsia="Arial" w:hAnsi="Arial" w:cs="Arial"/>
          <w:b/>
        </w:rPr>
      </w:pPr>
    </w:p>
    <w:p w14:paraId="05F05E96" w14:textId="06869187" w:rsidR="00C76240" w:rsidRPr="0032446B" w:rsidRDefault="00906588">
      <w:pPr>
        <w:tabs>
          <w:tab w:val="left" w:pos="3950"/>
        </w:tabs>
        <w:rPr>
          <w:rFonts w:ascii="Arial" w:eastAsia="Arial" w:hAnsi="Arial" w:cs="Arial"/>
          <w:lang w:val="es-ES"/>
        </w:rPr>
      </w:pPr>
      <w:r>
        <w:rPr>
          <w:rFonts w:ascii="Arial" w:eastAsia="Arial" w:hAnsi="Arial" w:cs="Arial"/>
          <w:b/>
        </w:rPr>
        <w:t>REQUERIMIENTOS</w:t>
      </w:r>
    </w:p>
    <w:tbl>
      <w:tblPr>
        <w:tblW w:w="13031" w:type="dxa"/>
        <w:tblCellMar>
          <w:left w:w="70" w:type="dxa"/>
          <w:right w:w="70" w:type="dxa"/>
        </w:tblCellMar>
        <w:tblLook w:val="04A0" w:firstRow="1" w:lastRow="0" w:firstColumn="1" w:lastColumn="0" w:noHBand="0" w:noVBand="1"/>
      </w:tblPr>
      <w:tblGrid>
        <w:gridCol w:w="898"/>
        <w:gridCol w:w="1571"/>
        <w:gridCol w:w="1425"/>
        <w:gridCol w:w="2904"/>
        <w:gridCol w:w="1156"/>
        <w:gridCol w:w="3660"/>
        <w:gridCol w:w="1417"/>
      </w:tblGrid>
      <w:tr w:rsidR="00906588" w:rsidRPr="00906588" w14:paraId="3A626AF8" w14:textId="77777777" w:rsidTr="00906588">
        <w:trPr>
          <w:trHeight w:val="560"/>
        </w:trPr>
        <w:tc>
          <w:tcPr>
            <w:tcW w:w="898" w:type="dxa"/>
            <w:tcBorders>
              <w:top w:val="single" w:sz="8" w:space="0" w:color="000000"/>
              <w:left w:val="single" w:sz="8" w:space="0" w:color="000000"/>
              <w:bottom w:val="nil"/>
              <w:right w:val="single" w:sz="8" w:space="0" w:color="000000"/>
            </w:tcBorders>
            <w:shd w:val="clear" w:color="000000" w:fill="E7E6E6"/>
            <w:vAlign w:val="center"/>
            <w:hideMark/>
          </w:tcPr>
          <w:p w14:paraId="5C098743"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Código</w:t>
            </w:r>
          </w:p>
        </w:tc>
        <w:tc>
          <w:tcPr>
            <w:tcW w:w="1571" w:type="dxa"/>
            <w:tcBorders>
              <w:top w:val="single" w:sz="8" w:space="0" w:color="000000"/>
              <w:left w:val="nil"/>
              <w:bottom w:val="nil"/>
              <w:right w:val="single" w:sz="8" w:space="0" w:color="000000"/>
            </w:tcBorders>
            <w:shd w:val="clear" w:color="000000" w:fill="E7E6E6"/>
            <w:vAlign w:val="center"/>
            <w:hideMark/>
          </w:tcPr>
          <w:p w14:paraId="74970235"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Tipo de solicitud</w:t>
            </w:r>
          </w:p>
        </w:tc>
        <w:tc>
          <w:tcPr>
            <w:tcW w:w="1425" w:type="dxa"/>
            <w:tcBorders>
              <w:top w:val="single" w:sz="8" w:space="0" w:color="000000"/>
              <w:left w:val="nil"/>
              <w:bottom w:val="nil"/>
              <w:right w:val="single" w:sz="8" w:space="0" w:color="000000"/>
            </w:tcBorders>
            <w:shd w:val="clear" w:color="000000" w:fill="E7E6E6"/>
            <w:vAlign w:val="center"/>
            <w:hideMark/>
          </w:tcPr>
          <w:p w14:paraId="603CA888"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Titulo</w:t>
            </w:r>
          </w:p>
        </w:tc>
        <w:tc>
          <w:tcPr>
            <w:tcW w:w="2904" w:type="dxa"/>
            <w:tcBorders>
              <w:top w:val="single" w:sz="8" w:space="0" w:color="000000"/>
              <w:left w:val="nil"/>
              <w:bottom w:val="nil"/>
              <w:right w:val="nil"/>
            </w:tcBorders>
            <w:shd w:val="clear" w:color="000000" w:fill="E7E6E6"/>
            <w:vAlign w:val="center"/>
            <w:hideMark/>
          </w:tcPr>
          <w:p w14:paraId="121A5E39"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Descripción</w:t>
            </w:r>
          </w:p>
        </w:tc>
        <w:tc>
          <w:tcPr>
            <w:tcW w:w="1156" w:type="dxa"/>
            <w:tcBorders>
              <w:top w:val="single" w:sz="8" w:space="0" w:color="000000"/>
              <w:left w:val="single" w:sz="8" w:space="0" w:color="000000"/>
              <w:bottom w:val="nil"/>
              <w:right w:val="nil"/>
            </w:tcBorders>
            <w:shd w:val="clear" w:color="000000" w:fill="E7E6E6"/>
            <w:vAlign w:val="center"/>
            <w:hideMark/>
          </w:tcPr>
          <w:p w14:paraId="189D6B01"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Estado</w:t>
            </w:r>
          </w:p>
        </w:tc>
        <w:tc>
          <w:tcPr>
            <w:tcW w:w="3660" w:type="dxa"/>
            <w:tcBorders>
              <w:top w:val="single" w:sz="8" w:space="0" w:color="000000"/>
              <w:left w:val="single" w:sz="8" w:space="0" w:color="000000"/>
              <w:bottom w:val="nil"/>
              <w:right w:val="nil"/>
            </w:tcBorders>
            <w:shd w:val="clear" w:color="000000" w:fill="E7E6E6"/>
            <w:vAlign w:val="center"/>
            <w:hideMark/>
          </w:tcPr>
          <w:p w14:paraId="6A1EC4FA"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Observación</w:t>
            </w:r>
          </w:p>
        </w:tc>
        <w:tc>
          <w:tcPr>
            <w:tcW w:w="1417" w:type="dxa"/>
            <w:tcBorders>
              <w:top w:val="single" w:sz="8" w:space="0" w:color="000000"/>
              <w:left w:val="single" w:sz="8" w:space="0" w:color="000000"/>
              <w:bottom w:val="nil"/>
              <w:right w:val="nil"/>
            </w:tcBorders>
            <w:shd w:val="clear" w:color="000000" w:fill="E7E6E6"/>
            <w:vAlign w:val="center"/>
            <w:hideMark/>
          </w:tcPr>
          <w:p w14:paraId="39778CD4" w14:textId="77777777" w:rsidR="00906588" w:rsidRPr="00906588" w:rsidRDefault="00906588" w:rsidP="00906588">
            <w:pPr>
              <w:spacing w:after="0" w:line="240" w:lineRule="auto"/>
              <w:jc w:val="center"/>
              <w:rPr>
                <w:rFonts w:ascii="Arial" w:eastAsia="Times New Roman" w:hAnsi="Arial" w:cs="Arial"/>
                <w:b/>
                <w:bCs/>
                <w:color w:val="000000"/>
                <w:lang w:val="es-ES" w:eastAsia="es-ES"/>
              </w:rPr>
            </w:pPr>
            <w:r w:rsidRPr="00906588">
              <w:rPr>
                <w:rFonts w:ascii="Arial" w:eastAsia="Times New Roman" w:hAnsi="Arial" w:cs="Arial"/>
                <w:b/>
                <w:bCs/>
                <w:color w:val="000000"/>
                <w:lang w:val="es-ES" w:eastAsia="es-ES"/>
              </w:rPr>
              <w:t>VoBo CGR</w:t>
            </w:r>
          </w:p>
        </w:tc>
      </w:tr>
      <w:tr w:rsidR="00906588" w:rsidRPr="00906588" w14:paraId="1ADE9D4B" w14:textId="77777777" w:rsidTr="00906588">
        <w:trPr>
          <w:trHeight w:val="2240"/>
        </w:trPr>
        <w:tc>
          <w:tcPr>
            <w:tcW w:w="898" w:type="dxa"/>
            <w:tcBorders>
              <w:top w:val="single" w:sz="4" w:space="0" w:color="auto"/>
              <w:left w:val="single" w:sz="4" w:space="0" w:color="auto"/>
              <w:bottom w:val="single" w:sz="4" w:space="0" w:color="auto"/>
              <w:right w:val="single" w:sz="4" w:space="0" w:color="auto"/>
            </w:tcBorders>
            <w:vAlign w:val="center"/>
            <w:hideMark/>
          </w:tcPr>
          <w:p w14:paraId="6CAE90A5"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1</w:t>
            </w:r>
          </w:p>
        </w:tc>
        <w:tc>
          <w:tcPr>
            <w:tcW w:w="1571" w:type="dxa"/>
            <w:tcBorders>
              <w:top w:val="single" w:sz="4" w:space="0" w:color="auto"/>
              <w:left w:val="nil"/>
              <w:bottom w:val="single" w:sz="4" w:space="0" w:color="auto"/>
              <w:right w:val="single" w:sz="4" w:space="0" w:color="auto"/>
            </w:tcBorders>
            <w:vAlign w:val="center"/>
            <w:hideMark/>
          </w:tcPr>
          <w:p w14:paraId="7FF00100"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single" w:sz="4" w:space="0" w:color="auto"/>
              <w:left w:val="nil"/>
              <w:bottom w:val="single" w:sz="4" w:space="0" w:color="auto"/>
              <w:right w:val="single" w:sz="4" w:space="0" w:color="auto"/>
            </w:tcBorders>
            <w:vAlign w:val="center"/>
            <w:hideMark/>
          </w:tcPr>
          <w:p w14:paraId="35634EF8"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Identificación</w:t>
            </w:r>
          </w:p>
        </w:tc>
        <w:tc>
          <w:tcPr>
            <w:tcW w:w="2904" w:type="dxa"/>
            <w:tcBorders>
              <w:top w:val="single" w:sz="4" w:space="0" w:color="auto"/>
              <w:left w:val="nil"/>
              <w:bottom w:val="single" w:sz="4" w:space="0" w:color="auto"/>
              <w:right w:val="single" w:sz="4" w:space="0" w:color="auto"/>
            </w:tcBorders>
            <w:vAlign w:val="center"/>
            <w:hideMark/>
          </w:tcPr>
          <w:p w14:paraId="3DD93E3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Nombre de la dependencia: Se sugiere menú desplegable donde se encuentren listadas las dependencias que actualmente se encuentran en la CGR.</w:t>
            </w:r>
          </w:p>
        </w:tc>
        <w:tc>
          <w:tcPr>
            <w:tcW w:w="1156" w:type="dxa"/>
            <w:tcBorders>
              <w:top w:val="single" w:sz="4" w:space="0" w:color="auto"/>
              <w:left w:val="nil"/>
              <w:bottom w:val="single" w:sz="4" w:space="0" w:color="auto"/>
              <w:right w:val="single" w:sz="4" w:space="0" w:color="auto"/>
            </w:tcBorders>
            <w:shd w:val="clear" w:color="000000" w:fill="FFFFFF"/>
            <w:vAlign w:val="center"/>
            <w:hideMark/>
          </w:tcPr>
          <w:p w14:paraId="52346759"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single" w:sz="4" w:space="0" w:color="auto"/>
              <w:left w:val="nil"/>
              <w:bottom w:val="single" w:sz="4" w:space="0" w:color="auto"/>
              <w:right w:val="single" w:sz="4" w:space="0" w:color="auto"/>
            </w:tcBorders>
            <w:vAlign w:val="center"/>
            <w:hideMark/>
          </w:tcPr>
          <w:p w14:paraId="3F6D90FB"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Se valida la solicitud con base en la Historia de Usuario HU001, en la cual se especifican las características del campo "Nombre de la dependencia o área". Según esta historia, el campo debe ser de tipo texto, con validación alfanumérica y marcado como obligatorio. No se establece que deba estar ligado a un catálogo ni se menciona el uso de un componente tipo select o lista desplegable. Por tanto, el comportamiento actual cumple con lo requerido funcional y técnicamente.</w:t>
            </w:r>
          </w:p>
        </w:tc>
        <w:tc>
          <w:tcPr>
            <w:tcW w:w="1417" w:type="dxa"/>
            <w:tcBorders>
              <w:top w:val="single" w:sz="4" w:space="0" w:color="auto"/>
              <w:left w:val="nil"/>
              <w:bottom w:val="single" w:sz="4" w:space="0" w:color="auto"/>
              <w:right w:val="single" w:sz="4" w:space="0" w:color="auto"/>
            </w:tcBorders>
            <w:vAlign w:val="center"/>
            <w:hideMark/>
          </w:tcPr>
          <w:p w14:paraId="695FCA3E"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w:t>
            </w:r>
          </w:p>
        </w:tc>
      </w:tr>
      <w:tr w:rsidR="00906588" w:rsidRPr="00906588" w14:paraId="2DBB6B0D" w14:textId="77777777" w:rsidTr="00906588">
        <w:trPr>
          <w:trHeight w:val="1960"/>
        </w:trPr>
        <w:tc>
          <w:tcPr>
            <w:tcW w:w="898" w:type="dxa"/>
            <w:vMerge w:val="restart"/>
            <w:tcBorders>
              <w:top w:val="nil"/>
              <w:left w:val="single" w:sz="4" w:space="0" w:color="auto"/>
              <w:bottom w:val="single" w:sz="4" w:space="0" w:color="auto"/>
              <w:right w:val="single" w:sz="4" w:space="0" w:color="auto"/>
            </w:tcBorders>
            <w:vAlign w:val="center"/>
            <w:hideMark/>
          </w:tcPr>
          <w:p w14:paraId="694507E2"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2</w:t>
            </w:r>
          </w:p>
        </w:tc>
        <w:tc>
          <w:tcPr>
            <w:tcW w:w="1571" w:type="dxa"/>
            <w:vMerge w:val="restart"/>
            <w:tcBorders>
              <w:top w:val="nil"/>
              <w:left w:val="single" w:sz="4" w:space="0" w:color="auto"/>
              <w:bottom w:val="single" w:sz="4" w:space="0" w:color="auto"/>
              <w:right w:val="single" w:sz="4" w:space="0" w:color="auto"/>
            </w:tcBorders>
            <w:vAlign w:val="center"/>
            <w:hideMark/>
          </w:tcPr>
          <w:p w14:paraId="184C4770"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vMerge w:val="restart"/>
            <w:tcBorders>
              <w:top w:val="nil"/>
              <w:left w:val="single" w:sz="4" w:space="0" w:color="auto"/>
              <w:bottom w:val="single" w:sz="4" w:space="0" w:color="auto"/>
              <w:right w:val="single" w:sz="4" w:space="0" w:color="auto"/>
            </w:tcBorders>
            <w:vAlign w:val="center"/>
            <w:hideMark/>
          </w:tcPr>
          <w:p w14:paraId="415D6177"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Persona Responsable</w:t>
            </w:r>
          </w:p>
        </w:tc>
        <w:tc>
          <w:tcPr>
            <w:tcW w:w="2904" w:type="dxa"/>
            <w:tcBorders>
              <w:top w:val="nil"/>
              <w:left w:val="nil"/>
              <w:bottom w:val="single" w:sz="4" w:space="0" w:color="auto"/>
              <w:right w:val="single" w:sz="4" w:space="0" w:color="auto"/>
            </w:tcBorders>
            <w:vAlign w:val="center"/>
            <w:hideMark/>
          </w:tcPr>
          <w:p w14:paraId="3670DA8A"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Nombre: Debe existir campos 1er nombre (obligatorio), 2do nombre (opcional), 1er apellido (obligatorio), 2do apellido (opcional).</w:t>
            </w:r>
          </w:p>
        </w:tc>
        <w:tc>
          <w:tcPr>
            <w:tcW w:w="1156"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27C9E7A"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nil"/>
              <w:left w:val="nil"/>
              <w:bottom w:val="single" w:sz="4" w:space="0" w:color="auto"/>
              <w:right w:val="single" w:sz="4" w:space="0" w:color="auto"/>
            </w:tcBorders>
            <w:vAlign w:val="center"/>
            <w:hideMark/>
          </w:tcPr>
          <w:p w14:paraId="21D86698"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Se valida que la HU001 define el campo "Nombre" como un único campo de texto de hasta 50 caracteres, obligatorio y de tipo text. No se especifica la separación en subcampos como primer nombre, segundo nombre, primer apellido y segundo apellido. Por tanto, no se contempla ni requiere dividir este campo en múltiples entradas como sugiere la </w:t>
            </w:r>
            <w:r w:rsidRPr="00906588">
              <w:rPr>
                <w:rFonts w:ascii="Arial" w:eastAsia="Times New Roman" w:hAnsi="Arial" w:cs="Arial"/>
                <w:color w:val="000000"/>
                <w:lang w:val="es-ES" w:eastAsia="es-ES"/>
              </w:rPr>
              <w:lastRenderedPageBreak/>
              <w:t>observación, y la implementación actual cumple con lo establecido funcionalmente.</w:t>
            </w:r>
          </w:p>
        </w:tc>
        <w:tc>
          <w:tcPr>
            <w:tcW w:w="1417" w:type="dxa"/>
            <w:vMerge w:val="restart"/>
            <w:tcBorders>
              <w:top w:val="nil"/>
              <w:left w:val="single" w:sz="4" w:space="0" w:color="auto"/>
              <w:bottom w:val="single" w:sz="4" w:space="0" w:color="000000"/>
              <w:right w:val="single" w:sz="4" w:space="0" w:color="auto"/>
            </w:tcBorders>
            <w:vAlign w:val="center"/>
            <w:hideMark/>
          </w:tcPr>
          <w:p w14:paraId="05E49882"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lastRenderedPageBreak/>
              <w:t> </w:t>
            </w:r>
          </w:p>
        </w:tc>
      </w:tr>
      <w:tr w:rsidR="00906588" w:rsidRPr="00906588" w14:paraId="46C105FF" w14:textId="77777777" w:rsidTr="00906588">
        <w:trPr>
          <w:trHeight w:val="1680"/>
        </w:trPr>
        <w:tc>
          <w:tcPr>
            <w:tcW w:w="898" w:type="dxa"/>
            <w:vMerge/>
            <w:tcBorders>
              <w:top w:val="nil"/>
              <w:left w:val="single" w:sz="4" w:space="0" w:color="auto"/>
              <w:bottom w:val="single" w:sz="4" w:space="0" w:color="auto"/>
              <w:right w:val="single" w:sz="4" w:space="0" w:color="auto"/>
            </w:tcBorders>
            <w:vAlign w:val="center"/>
            <w:hideMark/>
          </w:tcPr>
          <w:p w14:paraId="0A069191"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390B11DC"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78B908E0"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6D965F0D"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Cargo: Lista desplegable de los cargos existentes en la CGR.</w:t>
            </w:r>
          </w:p>
        </w:tc>
        <w:tc>
          <w:tcPr>
            <w:tcW w:w="1156" w:type="dxa"/>
            <w:vMerge/>
            <w:tcBorders>
              <w:top w:val="nil"/>
              <w:left w:val="single" w:sz="4" w:space="0" w:color="auto"/>
              <w:bottom w:val="single" w:sz="4" w:space="0" w:color="000000"/>
              <w:right w:val="single" w:sz="4" w:space="0" w:color="auto"/>
            </w:tcBorders>
            <w:vAlign w:val="center"/>
            <w:hideMark/>
          </w:tcPr>
          <w:p w14:paraId="3CC9624B"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14CCB8BB"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Según la HU001, el campo "Cargo" está definido como un campo de texto de hasta 50 caracteres, obligatorio y de tipo text. No se establece que deba provenir de una lista desplegable ni que esté conectado a un catálogo institucional, por lo que el uso de un input de texto cumple adecuadamente con lo solicitado. La petición de incorporar una lista es una ampliación del requerimiento original y no está contemplado.</w:t>
            </w:r>
          </w:p>
        </w:tc>
        <w:tc>
          <w:tcPr>
            <w:tcW w:w="1417" w:type="dxa"/>
            <w:vMerge/>
            <w:tcBorders>
              <w:top w:val="nil"/>
              <w:left w:val="single" w:sz="4" w:space="0" w:color="auto"/>
              <w:bottom w:val="single" w:sz="4" w:space="0" w:color="000000"/>
              <w:right w:val="single" w:sz="4" w:space="0" w:color="auto"/>
            </w:tcBorders>
            <w:vAlign w:val="center"/>
            <w:hideMark/>
          </w:tcPr>
          <w:p w14:paraId="0CD79D7A"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769B8864" w14:textId="77777777" w:rsidTr="00906588">
        <w:trPr>
          <w:trHeight w:val="2240"/>
        </w:trPr>
        <w:tc>
          <w:tcPr>
            <w:tcW w:w="898" w:type="dxa"/>
            <w:vMerge/>
            <w:tcBorders>
              <w:top w:val="nil"/>
              <w:left w:val="single" w:sz="4" w:space="0" w:color="auto"/>
              <w:bottom w:val="single" w:sz="4" w:space="0" w:color="auto"/>
              <w:right w:val="single" w:sz="4" w:space="0" w:color="auto"/>
            </w:tcBorders>
            <w:vAlign w:val="center"/>
            <w:hideMark/>
          </w:tcPr>
          <w:p w14:paraId="760FD5B6"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58868B4C"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3C9AB6E7"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1667A306" w14:textId="7B5A8C46"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Correo: Acepta correos que no están escritos correctamente, si es funcionario CGR debe cumplir un criterio igualmente si está ingresando con el usuario del directorio ya debería salir este campo diligenciado, únicamente que se diligenciara en caso </w:t>
            </w:r>
            <w:r w:rsidRPr="00906588">
              <w:rPr>
                <w:rFonts w:ascii="Arial" w:eastAsia="Times New Roman" w:hAnsi="Arial" w:cs="Arial"/>
                <w:color w:val="000000"/>
                <w:lang w:val="es-ES" w:eastAsia="es-ES"/>
              </w:rPr>
              <w:lastRenderedPageBreak/>
              <w:t>de que el usuario sea externo.</w:t>
            </w:r>
          </w:p>
        </w:tc>
        <w:tc>
          <w:tcPr>
            <w:tcW w:w="1156" w:type="dxa"/>
            <w:vMerge/>
            <w:tcBorders>
              <w:top w:val="nil"/>
              <w:left w:val="single" w:sz="4" w:space="0" w:color="auto"/>
              <w:bottom w:val="single" w:sz="4" w:space="0" w:color="000000"/>
              <w:right w:val="single" w:sz="4" w:space="0" w:color="auto"/>
            </w:tcBorders>
            <w:vAlign w:val="center"/>
            <w:hideMark/>
          </w:tcPr>
          <w:p w14:paraId="20E5CE43"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2B2692D8"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La HU001 establece que el campo "Correo electrónico" debe ser un campo de texto con validación de formato example@dominio.com, obligatorio y de tipo text. No se menciona ningún criterio de validación adicional para correos institucionales ni condicionamiento con respecto al inicio de sesión con usuarios del directorio activo, por lo tanto, la lógica aplicada </w:t>
            </w:r>
            <w:r w:rsidRPr="00906588">
              <w:rPr>
                <w:rFonts w:ascii="Arial" w:eastAsia="Times New Roman" w:hAnsi="Arial" w:cs="Arial"/>
                <w:color w:val="000000"/>
                <w:lang w:val="es-ES" w:eastAsia="es-ES"/>
              </w:rPr>
              <w:lastRenderedPageBreak/>
              <w:t>actualmente cumple estrictamente con el requerimiento funcional. La petición de prellenado automático y validación según el tipo de usuario no corresponde al alcance inicial.</w:t>
            </w:r>
          </w:p>
        </w:tc>
        <w:tc>
          <w:tcPr>
            <w:tcW w:w="1417" w:type="dxa"/>
            <w:vMerge/>
            <w:tcBorders>
              <w:top w:val="nil"/>
              <w:left w:val="single" w:sz="4" w:space="0" w:color="auto"/>
              <w:bottom w:val="single" w:sz="4" w:space="0" w:color="000000"/>
              <w:right w:val="single" w:sz="4" w:space="0" w:color="auto"/>
            </w:tcBorders>
            <w:vAlign w:val="center"/>
            <w:hideMark/>
          </w:tcPr>
          <w:p w14:paraId="01DC2C48"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752438E5" w14:textId="77777777" w:rsidTr="00906588">
        <w:trPr>
          <w:trHeight w:val="1960"/>
        </w:trPr>
        <w:tc>
          <w:tcPr>
            <w:tcW w:w="898" w:type="dxa"/>
            <w:vMerge/>
            <w:tcBorders>
              <w:top w:val="nil"/>
              <w:left w:val="single" w:sz="4" w:space="0" w:color="auto"/>
              <w:bottom w:val="single" w:sz="4" w:space="0" w:color="auto"/>
              <w:right w:val="single" w:sz="4" w:space="0" w:color="auto"/>
            </w:tcBorders>
            <w:vAlign w:val="center"/>
            <w:hideMark/>
          </w:tcPr>
          <w:p w14:paraId="47CC540C"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04C13A89"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03EF5C03"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10A9821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Teléfono: solo permite fijo sin extensión o celular.</w:t>
            </w:r>
          </w:p>
        </w:tc>
        <w:tc>
          <w:tcPr>
            <w:tcW w:w="1156" w:type="dxa"/>
            <w:vMerge/>
            <w:tcBorders>
              <w:top w:val="nil"/>
              <w:left w:val="single" w:sz="4" w:space="0" w:color="auto"/>
              <w:bottom w:val="single" w:sz="4" w:space="0" w:color="000000"/>
              <w:right w:val="single" w:sz="4" w:space="0" w:color="auto"/>
            </w:tcBorders>
            <w:vAlign w:val="center"/>
            <w:hideMark/>
          </w:tcPr>
          <w:p w14:paraId="51F032CC"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06D9ADC8"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De acuerdo con la HU001, el campo "Contacto" debe ser un campo numérico con formato de 10 dígitos, obligatorio y de tipo number. No se hace distinción entre número fijo o celular, ni se solicita validación específica para extensiones, por lo que el comportamiento actual del campo está conforme a lo definido. La solicitud de limitar el tipo de número o validar extensiones representa una extensión del alcance original y no es parte del requerimiento aprobado.</w:t>
            </w:r>
          </w:p>
        </w:tc>
        <w:tc>
          <w:tcPr>
            <w:tcW w:w="1417" w:type="dxa"/>
            <w:vMerge/>
            <w:tcBorders>
              <w:top w:val="nil"/>
              <w:left w:val="single" w:sz="4" w:space="0" w:color="auto"/>
              <w:bottom w:val="single" w:sz="4" w:space="0" w:color="000000"/>
              <w:right w:val="single" w:sz="4" w:space="0" w:color="auto"/>
            </w:tcBorders>
            <w:vAlign w:val="center"/>
            <w:hideMark/>
          </w:tcPr>
          <w:p w14:paraId="67EC73D2"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0440074A" w14:textId="77777777" w:rsidTr="00906588">
        <w:trPr>
          <w:trHeight w:val="1120"/>
        </w:trPr>
        <w:tc>
          <w:tcPr>
            <w:tcW w:w="898" w:type="dxa"/>
            <w:vMerge w:val="restart"/>
            <w:tcBorders>
              <w:top w:val="nil"/>
              <w:left w:val="single" w:sz="4" w:space="0" w:color="auto"/>
              <w:bottom w:val="single" w:sz="4" w:space="0" w:color="auto"/>
              <w:right w:val="single" w:sz="4" w:space="0" w:color="auto"/>
            </w:tcBorders>
            <w:vAlign w:val="center"/>
            <w:hideMark/>
          </w:tcPr>
          <w:p w14:paraId="09A7A1D4"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3</w:t>
            </w:r>
          </w:p>
        </w:tc>
        <w:tc>
          <w:tcPr>
            <w:tcW w:w="1571" w:type="dxa"/>
            <w:vMerge w:val="restart"/>
            <w:tcBorders>
              <w:top w:val="nil"/>
              <w:left w:val="single" w:sz="4" w:space="0" w:color="auto"/>
              <w:bottom w:val="single" w:sz="4" w:space="0" w:color="auto"/>
              <w:right w:val="single" w:sz="4" w:space="0" w:color="auto"/>
            </w:tcBorders>
            <w:vAlign w:val="center"/>
            <w:hideMark/>
          </w:tcPr>
          <w:p w14:paraId="7EF80692"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vMerge w:val="restart"/>
            <w:tcBorders>
              <w:top w:val="nil"/>
              <w:left w:val="single" w:sz="4" w:space="0" w:color="auto"/>
              <w:bottom w:val="single" w:sz="4" w:space="0" w:color="auto"/>
              <w:right w:val="single" w:sz="4" w:space="0" w:color="auto"/>
            </w:tcBorders>
            <w:vAlign w:val="center"/>
            <w:hideMark/>
          </w:tcPr>
          <w:p w14:paraId="0C2116F6" w14:textId="23CE74B6"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Envió del formulario</w:t>
            </w:r>
          </w:p>
        </w:tc>
        <w:tc>
          <w:tcPr>
            <w:tcW w:w="2904" w:type="dxa"/>
            <w:tcBorders>
              <w:top w:val="nil"/>
              <w:left w:val="nil"/>
              <w:bottom w:val="single" w:sz="4" w:space="0" w:color="auto"/>
              <w:right w:val="single" w:sz="4" w:space="0" w:color="auto"/>
            </w:tcBorders>
            <w:vAlign w:val="center"/>
            <w:hideMark/>
          </w:tcPr>
          <w:p w14:paraId="6C7AA20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Permite el envío del formulario con únicamente la información mencionada anteriormente, pase por los siguientes formularios y me permite su envío con un 32% de diligenciamiento.</w:t>
            </w:r>
          </w:p>
        </w:tc>
        <w:tc>
          <w:tcPr>
            <w:tcW w:w="1156" w:type="dxa"/>
            <w:vMerge w:val="restart"/>
            <w:tcBorders>
              <w:top w:val="nil"/>
              <w:left w:val="single" w:sz="4" w:space="0" w:color="auto"/>
              <w:bottom w:val="single" w:sz="4" w:space="0" w:color="auto"/>
              <w:right w:val="single" w:sz="4" w:space="0" w:color="auto"/>
            </w:tcBorders>
            <w:shd w:val="clear" w:color="000000" w:fill="FFFFFF"/>
            <w:vAlign w:val="center"/>
            <w:hideMark/>
          </w:tcPr>
          <w:p w14:paraId="37A6A509"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vMerge w:val="restart"/>
            <w:tcBorders>
              <w:top w:val="nil"/>
              <w:left w:val="single" w:sz="4" w:space="0" w:color="auto"/>
              <w:bottom w:val="single" w:sz="4" w:space="0" w:color="000000"/>
              <w:right w:val="single" w:sz="4" w:space="0" w:color="auto"/>
            </w:tcBorders>
            <w:vAlign w:val="center"/>
            <w:hideMark/>
          </w:tcPr>
          <w:p w14:paraId="0F1610A1"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Se valida el comportamiento reportado y se evidencia que el sistema permite la continuidad del flujo de la práctica a pesar de un porcentaje de diligenciamiento inferior al 62,07%. No obstante, de acuerdo con la HU002 del módulo </w:t>
            </w:r>
            <w:r w:rsidRPr="00906588">
              <w:rPr>
                <w:rFonts w:ascii="Arial" w:eastAsia="Times New Roman" w:hAnsi="Arial" w:cs="Arial"/>
                <w:color w:val="000000"/>
                <w:lang w:val="es-ES" w:eastAsia="es-ES"/>
              </w:rPr>
              <w:lastRenderedPageBreak/>
              <w:t>de validación, se establece que el sistema debe calcular y mostrar el porcentaje de diligenciamiento, y con base en este, sugerir si la práctica puede ser catalogada como una “Posible buena práctica candidata” o una “Posible buena práctica desestimada”. En ningún momento se restringe el avance del flujo o el envío del formulario por debajo del umbral mencionado, ya que la decisión final queda sujeta a la intervención del “Usuario de validación” y no al bloqueo automático por parte del sistema. Por lo tanto, el comportamiento actual del sistema es consistente con lo definido en las historias de usuario.</w:t>
            </w:r>
          </w:p>
        </w:tc>
        <w:tc>
          <w:tcPr>
            <w:tcW w:w="1417" w:type="dxa"/>
            <w:vMerge w:val="restart"/>
            <w:tcBorders>
              <w:top w:val="nil"/>
              <w:left w:val="single" w:sz="4" w:space="0" w:color="auto"/>
              <w:bottom w:val="single" w:sz="4" w:space="0" w:color="auto"/>
              <w:right w:val="single" w:sz="4" w:space="0" w:color="auto"/>
            </w:tcBorders>
            <w:vAlign w:val="center"/>
            <w:hideMark/>
          </w:tcPr>
          <w:p w14:paraId="5C88B978"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lastRenderedPageBreak/>
              <w:t> </w:t>
            </w:r>
          </w:p>
        </w:tc>
      </w:tr>
      <w:tr w:rsidR="00906588" w:rsidRPr="00906588" w14:paraId="357848BA" w14:textId="77777777" w:rsidTr="00906588">
        <w:trPr>
          <w:trHeight w:val="1400"/>
        </w:trPr>
        <w:tc>
          <w:tcPr>
            <w:tcW w:w="898" w:type="dxa"/>
            <w:vMerge/>
            <w:tcBorders>
              <w:top w:val="nil"/>
              <w:left w:val="single" w:sz="4" w:space="0" w:color="auto"/>
              <w:bottom w:val="single" w:sz="4" w:space="0" w:color="auto"/>
              <w:right w:val="single" w:sz="4" w:space="0" w:color="auto"/>
            </w:tcBorders>
            <w:vAlign w:val="center"/>
            <w:hideMark/>
          </w:tcPr>
          <w:p w14:paraId="27645B6E"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5014519E"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368BFF41"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33CC26D2" w14:textId="1810FDC5"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Adicionalmente, después de enviado el formulario se le dio “Atrás” dejando regresar a ingresar más datos y me permite nuevamente enviar, ahora con un 39% de avance como en este ejemplo.</w:t>
            </w:r>
          </w:p>
        </w:tc>
        <w:tc>
          <w:tcPr>
            <w:tcW w:w="1156" w:type="dxa"/>
            <w:vMerge/>
            <w:tcBorders>
              <w:top w:val="nil"/>
              <w:left w:val="single" w:sz="4" w:space="0" w:color="auto"/>
              <w:bottom w:val="single" w:sz="4" w:space="0" w:color="auto"/>
              <w:right w:val="single" w:sz="4" w:space="0" w:color="auto"/>
            </w:tcBorders>
            <w:vAlign w:val="center"/>
            <w:hideMark/>
          </w:tcPr>
          <w:p w14:paraId="39FA27B2"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vMerge/>
            <w:tcBorders>
              <w:top w:val="nil"/>
              <w:left w:val="single" w:sz="4" w:space="0" w:color="auto"/>
              <w:bottom w:val="single" w:sz="4" w:space="0" w:color="000000"/>
              <w:right w:val="single" w:sz="4" w:space="0" w:color="auto"/>
            </w:tcBorders>
            <w:vAlign w:val="center"/>
            <w:hideMark/>
          </w:tcPr>
          <w:p w14:paraId="4CD1B699"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17" w:type="dxa"/>
            <w:vMerge/>
            <w:tcBorders>
              <w:top w:val="nil"/>
              <w:left w:val="single" w:sz="4" w:space="0" w:color="auto"/>
              <w:bottom w:val="single" w:sz="4" w:space="0" w:color="auto"/>
              <w:right w:val="single" w:sz="4" w:space="0" w:color="auto"/>
            </w:tcBorders>
            <w:vAlign w:val="center"/>
            <w:hideMark/>
          </w:tcPr>
          <w:p w14:paraId="2456EABE"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727D126A" w14:textId="77777777" w:rsidTr="00906588">
        <w:trPr>
          <w:trHeight w:val="1120"/>
        </w:trPr>
        <w:tc>
          <w:tcPr>
            <w:tcW w:w="898" w:type="dxa"/>
            <w:vMerge w:val="restart"/>
            <w:tcBorders>
              <w:top w:val="nil"/>
              <w:left w:val="single" w:sz="4" w:space="0" w:color="auto"/>
              <w:bottom w:val="single" w:sz="4" w:space="0" w:color="auto"/>
              <w:right w:val="single" w:sz="4" w:space="0" w:color="auto"/>
            </w:tcBorders>
            <w:vAlign w:val="center"/>
            <w:hideMark/>
          </w:tcPr>
          <w:p w14:paraId="628AC8E8"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4</w:t>
            </w:r>
          </w:p>
        </w:tc>
        <w:tc>
          <w:tcPr>
            <w:tcW w:w="1571" w:type="dxa"/>
            <w:vMerge w:val="restart"/>
            <w:tcBorders>
              <w:top w:val="nil"/>
              <w:left w:val="single" w:sz="4" w:space="0" w:color="auto"/>
              <w:bottom w:val="single" w:sz="4" w:space="0" w:color="auto"/>
              <w:right w:val="single" w:sz="4" w:space="0" w:color="auto"/>
            </w:tcBorders>
            <w:vAlign w:val="center"/>
            <w:hideMark/>
          </w:tcPr>
          <w:p w14:paraId="014A551C"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vMerge w:val="restart"/>
            <w:tcBorders>
              <w:top w:val="nil"/>
              <w:left w:val="single" w:sz="4" w:space="0" w:color="auto"/>
              <w:bottom w:val="single" w:sz="4" w:space="0" w:color="auto"/>
              <w:right w:val="single" w:sz="4" w:space="0" w:color="auto"/>
            </w:tcBorders>
            <w:vAlign w:val="center"/>
            <w:hideMark/>
          </w:tcPr>
          <w:p w14:paraId="1BAFCB12"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Sugerencia</w:t>
            </w:r>
          </w:p>
        </w:tc>
        <w:tc>
          <w:tcPr>
            <w:tcW w:w="2904" w:type="dxa"/>
            <w:tcBorders>
              <w:top w:val="nil"/>
              <w:left w:val="nil"/>
              <w:bottom w:val="single" w:sz="4" w:space="0" w:color="auto"/>
              <w:right w:val="single" w:sz="4" w:space="0" w:color="auto"/>
            </w:tcBorders>
            <w:vAlign w:val="center"/>
            <w:hideMark/>
          </w:tcPr>
          <w:p w14:paraId="420E3859" w14:textId="76D1C4BF"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No existe un menú o una parte donde se logre identificar que es lo que ha creado o enviado este usuario (listado transaccional).</w:t>
            </w:r>
          </w:p>
        </w:tc>
        <w:tc>
          <w:tcPr>
            <w:tcW w:w="1156" w:type="dxa"/>
            <w:vMerge w:val="restart"/>
            <w:tcBorders>
              <w:top w:val="nil"/>
              <w:left w:val="single" w:sz="4" w:space="0" w:color="auto"/>
              <w:bottom w:val="single" w:sz="4" w:space="0" w:color="auto"/>
              <w:right w:val="single" w:sz="4" w:space="0" w:color="auto"/>
            </w:tcBorders>
            <w:shd w:val="clear" w:color="000000" w:fill="FFFFFF"/>
            <w:vAlign w:val="center"/>
            <w:hideMark/>
          </w:tcPr>
          <w:p w14:paraId="36948643"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nil"/>
              <w:left w:val="nil"/>
              <w:bottom w:val="single" w:sz="4" w:space="0" w:color="auto"/>
              <w:right w:val="single" w:sz="4" w:space="0" w:color="auto"/>
            </w:tcBorders>
            <w:vAlign w:val="center"/>
            <w:hideMark/>
          </w:tcPr>
          <w:p w14:paraId="7AEF84EA"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La HU001 está centrada exclusivamente en el registro inicial de la información de la buena práctica, siguiendo el formato HVBP, sin especificar un módulo de seguimiento o consulta posterior por parte del usuario de registro.</w:t>
            </w:r>
          </w:p>
        </w:tc>
        <w:tc>
          <w:tcPr>
            <w:tcW w:w="1417" w:type="dxa"/>
            <w:vMerge w:val="restart"/>
            <w:tcBorders>
              <w:top w:val="nil"/>
              <w:left w:val="single" w:sz="4" w:space="0" w:color="auto"/>
              <w:bottom w:val="single" w:sz="4" w:space="0" w:color="auto"/>
              <w:right w:val="single" w:sz="4" w:space="0" w:color="auto"/>
            </w:tcBorders>
            <w:vAlign w:val="center"/>
            <w:hideMark/>
          </w:tcPr>
          <w:p w14:paraId="51CAF74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w:t>
            </w:r>
          </w:p>
        </w:tc>
      </w:tr>
      <w:tr w:rsidR="00906588" w:rsidRPr="00906588" w14:paraId="5BD4456A" w14:textId="77777777" w:rsidTr="00906588">
        <w:trPr>
          <w:trHeight w:val="1400"/>
        </w:trPr>
        <w:tc>
          <w:tcPr>
            <w:tcW w:w="898" w:type="dxa"/>
            <w:vMerge/>
            <w:tcBorders>
              <w:top w:val="nil"/>
              <w:left w:val="single" w:sz="4" w:space="0" w:color="auto"/>
              <w:bottom w:val="single" w:sz="4" w:space="0" w:color="auto"/>
              <w:right w:val="single" w:sz="4" w:space="0" w:color="auto"/>
            </w:tcBorders>
            <w:vAlign w:val="center"/>
            <w:hideMark/>
          </w:tcPr>
          <w:p w14:paraId="4338727B"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678CA9D4"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1A5C1F5B"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5B2BAAC4" w14:textId="4268FB6B"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De otra parte, el usuario como creador de la práctica debería poder ingresar o poder realizar un seguimiento sobre que paso con lo que registro en el sistema, si fue recibido, </w:t>
            </w:r>
            <w:r w:rsidRPr="00906588">
              <w:rPr>
                <w:rFonts w:ascii="Arial" w:eastAsia="Times New Roman" w:hAnsi="Arial" w:cs="Arial"/>
                <w:color w:val="000000"/>
                <w:lang w:val="es-ES" w:eastAsia="es-ES"/>
              </w:rPr>
              <w:lastRenderedPageBreak/>
              <w:t>rechazado, si se encuentra en estudio, etc.</w:t>
            </w:r>
          </w:p>
        </w:tc>
        <w:tc>
          <w:tcPr>
            <w:tcW w:w="1156" w:type="dxa"/>
            <w:vMerge/>
            <w:tcBorders>
              <w:top w:val="nil"/>
              <w:left w:val="single" w:sz="4" w:space="0" w:color="auto"/>
              <w:bottom w:val="single" w:sz="4" w:space="0" w:color="auto"/>
              <w:right w:val="single" w:sz="4" w:space="0" w:color="auto"/>
            </w:tcBorders>
            <w:vAlign w:val="center"/>
            <w:hideMark/>
          </w:tcPr>
          <w:p w14:paraId="354310B3"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68E4614A"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no existe mención en la HU sobre un módulo de consulta para el usuario de registro. Sin embargo, el campo "Estado del flujo" (ítem 12 de HU001) está definido en términos de transición automática </w:t>
            </w:r>
            <w:r w:rsidRPr="00906588">
              <w:rPr>
                <w:rFonts w:ascii="Arial" w:eastAsia="Times New Roman" w:hAnsi="Arial" w:cs="Arial"/>
                <w:color w:val="000000"/>
                <w:lang w:val="es-ES" w:eastAsia="es-ES"/>
              </w:rPr>
              <w:lastRenderedPageBreak/>
              <w:t>del estado, pero no se establece quién puede visualizarlo.</w:t>
            </w:r>
          </w:p>
        </w:tc>
        <w:tc>
          <w:tcPr>
            <w:tcW w:w="1417" w:type="dxa"/>
            <w:vMerge/>
            <w:tcBorders>
              <w:top w:val="nil"/>
              <w:left w:val="single" w:sz="4" w:space="0" w:color="auto"/>
              <w:bottom w:val="single" w:sz="4" w:space="0" w:color="auto"/>
              <w:right w:val="single" w:sz="4" w:space="0" w:color="auto"/>
            </w:tcBorders>
            <w:vAlign w:val="center"/>
            <w:hideMark/>
          </w:tcPr>
          <w:p w14:paraId="1C7551EA"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0FE5ECC3" w14:textId="77777777" w:rsidTr="00906588">
        <w:trPr>
          <w:trHeight w:val="840"/>
        </w:trPr>
        <w:tc>
          <w:tcPr>
            <w:tcW w:w="898" w:type="dxa"/>
            <w:vMerge/>
            <w:tcBorders>
              <w:top w:val="nil"/>
              <w:left w:val="single" w:sz="4" w:space="0" w:color="auto"/>
              <w:bottom w:val="single" w:sz="4" w:space="0" w:color="auto"/>
              <w:right w:val="single" w:sz="4" w:space="0" w:color="auto"/>
            </w:tcBorders>
            <w:vAlign w:val="center"/>
            <w:hideMark/>
          </w:tcPr>
          <w:p w14:paraId="7977D151"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04A5FA27"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6E7A6908"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691C40F4"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Se sugiere envío de un correo de notificación una vez creado cada formulario.</w:t>
            </w:r>
          </w:p>
        </w:tc>
        <w:tc>
          <w:tcPr>
            <w:tcW w:w="1156" w:type="dxa"/>
            <w:vMerge/>
            <w:tcBorders>
              <w:top w:val="nil"/>
              <w:left w:val="single" w:sz="4" w:space="0" w:color="auto"/>
              <w:bottom w:val="single" w:sz="4" w:space="0" w:color="auto"/>
              <w:right w:val="single" w:sz="4" w:space="0" w:color="auto"/>
            </w:tcBorders>
            <w:vAlign w:val="center"/>
            <w:hideMark/>
          </w:tcPr>
          <w:p w14:paraId="7BF4C3F4"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780E5662"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La HU001 menciona notificaciones por correo y sistema en el ítem 12 (“Estado del flujo”), pero esta condición aplica para el cambio de estado y no explícitamente al momento del registro.</w:t>
            </w:r>
          </w:p>
        </w:tc>
        <w:tc>
          <w:tcPr>
            <w:tcW w:w="1417" w:type="dxa"/>
            <w:vMerge/>
            <w:tcBorders>
              <w:top w:val="nil"/>
              <w:left w:val="single" w:sz="4" w:space="0" w:color="auto"/>
              <w:bottom w:val="single" w:sz="4" w:space="0" w:color="auto"/>
              <w:right w:val="single" w:sz="4" w:space="0" w:color="auto"/>
            </w:tcBorders>
            <w:vAlign w:val="center"/>
            <w:hideMark/>
          </w:tcPr>
          <w:p w14:paraId="5914D96C"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350AE744" w14:textId="77777777" w:rsidTr="00906588">
        <w:trPr>
          <w:trHeight w:val="1120"/>
        </w:trPr>
        <w:tc>
          <w:tcPr>
            <w:tcW w:w="898" w:type="dxa"/>
            <w:vMerge/>
            <w:tcBorders>
              <w:top w:val="nil"/>
              <w:left w:val="single" w:sz="4" w:space="0" w:color="auto"/>
              <w:bottom w:val="single" w:sz="4" w:space="0" w:color="auto"/>
              <w:right w:val="single" w:sz="4" w:space="0" w:color="auto"/>
            </w:tcBorders>
            <w:vAlign w:val="center"/>
            <w:hideMark/>
          </w:tcPr>
          <w:p w14:paraId="02B8B73B"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035A035E"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2F3FD1B8"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3E5D3C87"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Se sugiere que el seguimiento de cada caso creado tenga un identificador único en el sistema y este sea de conocimiento de todos, incluido en el rol de registro.</w:t>
            </w:r>
          </w:p>
        </w:tc>
        <w:tc>
          <w:tcPr>
            <w:tcW w:w="1156" w:type="dxa"/>
            <w:vMerge/>
            <w:tcBorders>
              <w:top w:val="nil"/>
              <w:left w:val="single" w:sz="4" w:space="0" w:color="auto"/>
              <w:bottom w:val="single" w:sz="4" w:space="0" w:color="auto"/>
              <w:right w:val="single" w:sz="4" w:space="0" w:color="auto"/>
            </w:tcBorders>
            <w:vAlign w:val="center"/>
            <w:hideMark/>
          </w:tcPr>
          <w:p w14:paraId="19E7D695"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6E1FD184"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El identificador único es generado automáticamente por el sistema al momento del registro de una buena práctica, cumpliendo con el formato definido (ej. BP-0001), de acuerdo con lo estipulado en la HU001, ítem 10.</w:t>
            </w:r>
          </w:p>
        </w:tc>
        <w:tc>
          <w:tcPr>
            <w:tcW w:w="1417" w:type="dxa"/>
            <w:vMerge/>
            <w:tcBorders>
              <w:top w:val="nil"/>
              <w:left w:val="single" w:sz="4" w:space="0" w:color="auto"/>
              <w:bottom w:val="single" w:sz="4" w:space="0" w:color="auto"/>
              <w:right w:val="single" w:sz="4" w:space="0" w:color="auto"/>
            </w:tcBorders>
            <w:vAlign w:val="center"/>
            <w:hideMark/>
          </w:tcPr>
          <w:p w14:paraId="55B5A86B"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0AECE918" w14:textId="77777777" w:rsidTr="00906588">
        <w:trPr>
          <w:trHeight w:val="840"/>
        </w:trPr>
        <w:tc>
          <w:tcPr>
            <w:tcW w:w="898" w:type="dxa"/>
            <w:vMerge/>
            <w:tcBorders>
              <w:top w:val="nil"/>
              <w:left w:val="single" w:sz="4" w:space="0" w:color="auto"/>
              <w:bottom w:val="single" w:sz="4" w:space="0" w:color="auto"/>
              <w:right w:val="single" w:sz="4" w:space="0" w:color="auto"/>
            </w:tcBorders>
            <w:vAlign w:val="center"/>
            <w:hideMark/>
          </w:tcPr>
          <w:p w14:paraId="7E56DFBC"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65D22CCD"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4B0D97E7"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6389542E"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No se evidencia un espacio para cargar documentos soporte que puedan ser revisados por los demás roles en su proceso.</w:t>
            </w:r>
          </w:p>
        </w:tc>
        <w:tc>
          <w:tcPr>
            <w:tcW w:w="1156" w:type="dxa"/>
            <w:vMerge/>
            <w:tcBorders>
              <w:top w:val="nil"/>
              <w:left w:val="single" w:sz="4" w:space="0" w:color="auto"/>
              <w:bottom w:val="single" w:sz="4" w:space="0" w:color="auto"/>
              <w:right w:val="single" w:sz="4" w:space="0" w:color="auto"/>
            </w:tcBorders>
            <w:vAlign w:val="center"/>
            <w:hideMark/>
          </w:tcPr>
          <w:p w14:paraId="266F4BB1"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16B79D1F"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l sistema permite actualmente el cargue de documentos soporte en formatos como PDF, Word, Excel, entre otros, conforme a lo establecido en el ítem 28 de la misma HU.</w:t>
            </w:r>
          </w:p>
        </w:tc>
        <w:tc>
          <w:tcPr>
            <w:tcW w:w="1417" w:type="dxa"/>
            <w:vMerge/>
            <w:tcBorders>
              <w:top w:val="nil"/>
              <w:left w:val="single" w:sz="4" w:space="0" w:color="auto"/>
              <w:bottom w:val="single" w:sz="4" w:space="0" w:color="auto"/>
              <w:right w:val="single" w:sz="4" w:space="0" w:color="auto"/>
            </w:tcBorders>
            <w:vAlign w:val="center"/>
            <w:hideMark/>
          </w:tcPr>
          <w:p w14:paraId="1D135D3F"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7F3EC353" w14:textId="77777777" w:rsidTr="00906588">
        <w:trPr>
          <w:trHeight w:val="1680"/>
        </w:trPr>
        <w:tc>
          <w:tcPr>
            <w:tcW w:w="898" w:type="dxa"/>
            <w:vMerge/>
            <w:tcBorders>
              <w:top w:val="nil"/>
              <w:left w:val="single" w:sz="4" w:space="0" w:color="auto"/>
              <w:bottom w:val="single" w:sz="4" w:space="0" w:color="auto"/>
              <w:right w:val="single" w:sz="4" w:space="0" w:color="auto"/>
            </w:tcBorders>
            <w:vAlign w:val="center"/>
            <w:hideMark/>
          </w:tcPr>
          <w:p w14:paraId="3DB701D4"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571" w:type="dxa"/>
            <w:vMerge/>
            <w:tcBorders>
              <w:top w:val="nil"/>
              <w:left w:val="single" w:sz="4" w:space="0" w:color="auto"/>
              <w:bottom w:val="single" w:sz="4" w:space="0" w:color="auto"/>
              <w:right w:val="single" w:sz="4" w:space="0" w:color="auto"/>
            </w:tcBorders>
            <w:vAlign w:val="center"/>
            <w:hideMark/>
          </w:tcPr>
          <w:p w14:paraId="30CE0020"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1425" w:type="dxa"/>
            <w:vMerge/>
            <w:tcBorders>
              <w:top w:val="nil"/>
              <w:left w:val="single" w:sz="4" w:space="0" w:color="auto"/>
              <w:bottom w:val="single" w:sz="4" w:space="0" w:color="auto"/>
              <w:right w:val="single" w:sz="4" w:space="0" w:color="auto"/>
            </w:tcBorders>
            <w:vAlign w:val="center"/>
            <w:hideMark/>
          </w:tcPr>
          <w:p w14:paraId="69E7AADB"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2904" w:type="dxa"/>
            <w:tcBorders>
              <w:top w:val="nil"/>
              <w:left w:val="nil"/>
              <w:bottom w:val="single" w:sz="4" w:space="0" w:color="auto"/>
              <w:right w:val="single" w:sz="4" w:space="0" w:color="auto"/>
            </w:tcBorders>
            <w:vAlign w:val="center"/>
            <w:hideMark/>
          </w:tcPr>
          <w:p w14:paraId="77928E9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Se sugiere sea generado un documento resumen (pdf) donde se vea el registro realizado en formato hoja de vida.</w:t>
            </w:r>
          </w:p>
        </w:tc>
        <w:tc>
          <w:tcPr>
            <w:tcW w:w="1156" w:type="dxa"/>
            <w:vMerge/>
            <w:tcBorders>
              <w:top w:val="nil"/>
              <w:left w:val="single" w:sz="4" w:space="0" w:color="auto"/>
              <w:bottom w:val="single" w:sz="4" w:space="0" w:color="auto"/>
              <w:right w:val="single" w:sz="4" w:space="0" w:color="auto"/>
            </w:tcBorders>
            <w:vAlign w:val="center"/>
            <w:hideMark/>
          </w:tcPr>
          <w:p w14:paraId="4C751A6F" w14:textId="77777777" w:rsidR="00906588" w:rsidRPr="00906588" w:rsidRDefault="00906588" w:rsidP="00906588">
            <w:pPr>
              <w:spacing w:after="0" w:line="240" w:lineRule="auto"/>
              <w:rPr>
                <w:rFonts w:ascii="Arial" w:eastAsia="Times New Roman" w:hAnsi="Arial" w:cs="Arial"/>
                <w:color w:val="000000"/>
                <w:lang w:val="es-ES" w:eastAsia="es-ES"/>
              </w:rPr>
            </w:pPr>
          </w:p>
        </w:tc>
        <w:tc>
          <w:tcPr>
            <w:tcW w:w="3660" w:type="dxa"/>
            <w:tcBorders>
              <w:top w:val="nil"/>
              <w:left w:val="nil"/>
              <w:bottom w:val="single" w:sz="4" w:space="0" w:color="auto"/>
              <w:right w:val="single" w:sz="4" w:space="0" w:color="auto"/>
            </w:tcBorders>
            <w:vAlign w:val="center"/>
            <w:hideMark/>
          </w:tcPr>
          <w:p w14:paraId="4383FD99"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La HU001 define la estructura de la información con base en la HVBP+, pero no contempla la generación de un documento en formato PDF.</w:t>
            </w:r>
          </w:p>
        </w:tc>
        <w:tc>
          <w:tcPr>
            <w:tcW w:w="1417" w:type="dxa"/>
            <w:vMerge/>
            <w:tcBorders>
              <w:top w:val="nil"/>
              <w:left w:val="single" w:sz="4" w:space="0" w:color="auto"/>
              <w:bottom w:val="single" w:sz="4" w:space="0" w:color="auto"/>
              <w:right w:val="single" w:sz="4" w:space="0" w:color="auto"/>
            </w:tcBorders>
            <w:vAlign w:val="center"/>
            <w:hideMark/>
          </w:tcPr>
          <w:p w14:paraId="39A4B84A" w14:textId="77777777" w:rsidR="00906588" w:rsidRPr="00906588" w:rsidRDefault="00906588" w:rsidP="00906588">
            <w:pPr>
              <w:spacing w:after="0" w:line="240" w:lineRule="auto"/>
              <w:rPr>
                <w:rFonts w:ascii="Arial" w:eastAsia="Times New Roman" w:hAnsi="Arial" w:cs="Arial"/>
                <w:color w:val="000000"/>
                <w:lang w:val="es-ES" w:eastAsia="es-ES"/>
              </w:rPr>
            </w:pPr>
          </w:p>
        </w:tc>
      </w:tr>
      <w:tr w:rsidR="00906588" w:rsidRPr="00906588" w14:paraId="467EA660" w14:textId="77777777" w:rsidTr="00906588">
        <w:trPr>
          <w:trHeight w:val="4200"/>
        </w:trPr>
        <w:tc>
          <w:tcPr>
            <w:tcW w:w="898" w:type="dxa"/>
            <w:tcBorders>
              <w:top w:val="nil"/>
              <w:left w:val="single" w:sz="4" w:space="0" w:color="auto"/>
              <w:bottom w:val="single" w:sz="4" w:space="0" w:color="auto"/>
              <w:right w:val="single" w:sz="4" w:space="0" w:color="auto"/>
            </w:tcBorders>
            <w:vAlign w:val="center"/>
            <w:hideMark/>
          </w:tcPr>
          <w:p w14:paraId="25D83C31"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lastRenderedPageBreak/>
              <w:t>5</w:t>
            </w:r>
          </w:p>
        </w:tc>
        <w:tc>
          <w:tcPr>
            <w:tcW w:w="1571" w:type="dxa"/>
            <w:tcBorders>
              <w:top w:val="nil"/>
              <w:left w:val="nil"/>
              <w:bottom w:val="single" w:sz="4" w:space="0" w:color="auto"/>
              <w:right w:val="single" w:sz="4" w:space="0" w:color="auto"/>
            </w:tcBorders>
            <w:vAlign w:val="center"/>
            <w:hideMark/>
          </w:tcPr>
          <w:p w14:paraId="7389F32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nil"/>
              <w:left w:val="nil"/>
              <w:bottom w:val="single" w:sz="4" w:space="0" w:color="auto"/>
              <w:right w:val="single" w:sz="4" w:space="0" w:color="auto"/>
            </w:tcBorders>
            <w:vAlign w:val="center"/>
            <w:hideMark/>
          </w:tcPr>
          <w:p w14:paraId="0E41E05C"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Desestimar práctica</w:t>
            </w:r>
          </w:p>
        </w:tc>
        <w:tc>
          <w:tcPr>
            <w:tcW w:w="2904" w:type="dxa"/>
            <w:tcBorders>
              <w:top w:val="nil"/>
              <w:left w:val="nil"/>
              <w:bottom w:val="single" w:sz="4" w:space="0" w:color="auto"/>
              <w:right w:val="single" w:sz="4" w:space="0" w:color="auto"/>
            </w:tcBorders>
            <w:vAlign w:val="center"/>
            <w:hideMark/>
          </w:tcPr>
          <w:p w14:paraId="1048DE1A"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Cuando se activa la opción “Desestimar práctica”, muestra el mensaje.</w:t>
            </w:r>
            <w:r w:rsidRPr="00906588">
              <w:rPr>
                <w:rFonts w:ascii="Arial" w:eastAsia="Times New Roman" w:hAnsi="Arial" w:cs="Arial"/>
                <w:color w:val="000000"/>
                <w:lang w:val="es-ES" w:eastAsia="es-ES"/>
              </w:rPr>
              <w:br/>
            </w:r>
            <w:r w:rsidRPr="00906588">
              <w:rPr>
                <w:rFonts w:ascii="Arial" w:eastAsia="Times New Roman" w:hAnsi="Arial" w:cs="Arial"/>
                <w:color w:val="000000"/>
                <w:lang w:val="es-ES" w:eastAsia="es-ES"/>
              </w:rPr>
              <w:br/>
              <w:t>Para este caso se sugiere que exista un campo de observación indicando el motivo por el cual se desestimó la práctica y pongo a consideración si se debe notificar a usuario que realizó el registro.</w:t>
            </w:r>
          </w:p>
        </w:tc>
        <w:tc>
          <w:tcPr>
            <w:tcW w:w="1156" w:type="dxa"/>
            <w:tcBorders>
              <w:top w:val="nil"/>
              <w:left w:val="nil"/>
              <w:bottom w:val="single" w:sz="4" w:space="0" w:color="auto"/>
              <w:right w:val="single" w:sz="4" w:space="0" w:color="auto"/>
            </w:tcBorders>
            <w:shd w:val="clear" w:color="000000" w:fill="FFFFFF"/>
            <w:vAlign w:val="center"/>
            <w:hideMark/>
          </w:tcPr>
          <w:p w14:paraId="567D3328"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nil"/>
              <w:left w:val="nil"/>
              <w:bottom w:val="single" w:sz="4" w:space="0" w:color="auto"/>
              <w:right w:val="single" w:sz="4" w:space="0" w:color="auto"/>
            </w:tcBorders>
            <w:vAlign w:val="center"/>
            <w:hideMark/>
          </w:tcPr>
          <w:p w14:paraId="1C2069B6"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Con base en las historias de usuario HU002-CA005 y HU003-CA006, se establece que ante la definición del próximo estado del flujo (como “Buena práctica descartada”), el sistema debe generar notificaciones al siguiente responsable del flujo (usuario caracterizador o evaluador). Sin embargo, no se establece de forma explícita la necesidad de incluir un campo obligatorio de observación o justificación para casos de desestimación, ni la notificación hacia el usuario que registró la práctica.</w:t>
            </w:r>
          </w:p>
        </w:tc>
        <w:tc>
          <w:tcPr>
            <w:tcW w:w="1417" w:type="dxa"/>
            <w:tcBorders>
              <w:top w:val="nil"/>
              <w:left w:val="nil"/>
              <w:bottom w:val="single" w:sz="4" w:space="0" w:color="auto"/>
              <w:right w:val="single" w:sz="4" w:space="0" w:color="auto"/>
            </w:tcBorders>
            <w:vAlign w:val="center"/>
            <w:hideMark/>
          </w:tcPr>
          <w:p w14:paraId="22843F57"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w:t>
            </w:r>
          </w:p>
        </w:tc>
      </w:tr>
      <w:tr w:rsidR="00906588" w:rsidRPr="00906588" w14:paraId="4B87A7A7" w14:textId="77777777" w:rsidTr="00906588">
        <w:trPr>
          <w:trHeight w:val="2520"/>
        </w:trPr>
        <w:tc>
          <w:tcPr>
            <w:tcW w:w="898" w:type="dxa"/>
            <w:tcBorders>
              <w:top w:val="nil"/>
              <w:left w:val="single" w:sz="4" w:space="0" w:color="auto"/>
              <w:bottom w:val="single" w:sz="4" w:space="0" w:color="auto"/>
              <w:right w:val="single" w:sz="4" w:space="0" w:color="auto"/>
            </w:tcBorders>
            <w:vAlign w:val="center"/>
            <w:hideMark/>
          </w:tcPr>
          <w:p w14:paraId="03C18C71"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6</w:t>
            </w:r>
          </w:p>
        </w:tc>
        <w:tc>
          <w:tcPr>
            <w:tcW w:w="1571" w:type="dxa"/>
            <w:tcBorders>
              <w:top w:val="nil"/>
              <w:left w:val="nil"/>
              <w:bottom w:val="single" w:sz="4" w:space="0" w:color="auto"/>
              <w:right w:val="single" w:sz="4" w:space="0" w:color="auto"/>
            </w:tcBorders>
            <w:vAlign w:val="center"/>
            <w:hideMark/>
          </w:tcPr>
          <w:p w14:paraId="33357D2E"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nil"/>
              <w:left w:val="nil"/>
              <w:bottom w:val="single" w:sz="4" w:space="0" w:color="auto"/>
              <w:right w:val="single" w:sz="4" w:space="0" w:color="auto"/>
            </w:tcBorders>
            <w:vAlign w:val="center"/>
            <w:hideMark/>
          </w:tcPr>
          <w:p w14:paraId="2610150B"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Prácticas descartadas</w:t>
            </w:r>
          </w:p>
        </w:tc>
        <w:tc>
          <w:tcPr>
            <w:tcW w:w="2904" w:type="dxa"/>
            <w:tcBorders>
              <w:top w:val="nil"/>
              <w:left w:val="nil"/>
              <w:bottom w:val="single" w:sz="4" w:space="0" w:color="auto"/>
              <w:right w:val="single" w:sz="4" w:space="0" w:color="auto"/>
            </w:tcBorders>
            <w:vAlign w:val="center"/>
            <w:hideMark/>
          </w:tcPr>
          <w:p w14:paraId="52041DD6"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Se realiza la verificación bajo el usuario de Administrador mostrando para el ejemplo el estado de la práctica con ID 36 pero no permite realizar la revisión de la práctica.</w:t>
            </w:r>
          </w:p>
        </w:tc>
        <w:tc>
          <w:tcPr>
            <w:tcW w:w="1156" w:type="dxa"/>
            <w:tcBorders>
              <w:top w:val="nil"/>
              <w:left w:val="nil"/>
              <w:bottom w:val="single" w:sz="4" w:space="0" w:color="auto"/>
              <w:right w:val="single" w:sz="4" w:space="0" w:color="auto"/>
            </w:tcBorders>
            <w:shd w:val="clear" w:color="000000" w:fill="FFFFFF"/>
            <w:vAlign w:val="center"/>
            <w:hideMark/>
          </w:tcPr>
          <w:p w14:paraId="02F98897"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nil"/>
              <w:left w:val="nil"/>
              <w:bottom w:val="single" w:sz="4" w:space="0" w:color="auto"/>
              <w:right w:val="single" w:sz="4" w:space="0" w:color="auto"/>
            </w:tcBorders>
            <w:vAlign w:val="center"/>
            <w:hideMark/>
          </w:tcPr>
          <w:p w14:paraId="39F9C745"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 xml:space="preserve">Se valida el comportamiento descrito, en el cual el usuario con perfil Administrador visualiza correctamente el estado de la práctica (por ejemplo, la práctica con ID 36); sin embargo, no se permite su revisión o intervención directa sobre la misma. Al no existir una HU formalmente definida que contemple la capacidad del perfil de Administrador para revisar o editar prácticas, se concluye que este comportamiento es coherente con el alcance funcional previsto. La opción de visualización general fue incorporada como un valor </w:t>
            </w:r>
            <w:r w:rsidRPr="00906588">
              <w:rPr>
                <w:rFonts w:ascii="Arial" w:eastAsia="Times New Roman" w:hAnsi="Arial" w:cs="Arial"/>
                <w:color w:val="000000"/>
                <w:lang w:val="es-ES" w:eastAsia="es-ES"/>
              </w:rPr>
              <w:lastRenderedPageBreak/>
              <w:t>agregado (plus), sin que implique interacción directa con el contenido de las prácticas.</w:t>
            </w:r>
          </w:p>
        </w:tc>
        <w:tc>
          <w:tcPr>
            <w:tcW w:w="1417" w:type="dxa"/>
            <w:tcBorders>
              <w:top w:val="nil"/>
              <w:left w:val="nil"/>
              <w:bottom w:val="single" w:sz="4" w:space="0" w:color="auto"/>
              <w:right w:val="single" w:sz="4" w:space="0" w:color="auto"/>
            </w:tcBorders>
            <w:vAlign w:val="center"/>
            <w:hideMark/>
          </w:tcPr>
          <w:p w14:paraId="3E5E87AC"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lastRenderedPageBreak/>
              <w:t> </w:t>
            </w:r>
          </w:p>
        </w:tc>
      </w:tr>
      <w:tr w:rsidR="00906588" w:rsidRPr="00906588" w14:paraId="4844F96C" w14:textId="77777777" w:rsidTr="00906588">
        <w:trPr>
          <w:trHeight w:val="2240"/>
        </w:trPr>
        <w:tc>
          <w:tcPr>
            <w:tcW w:w="898" w:type="dxa"/>
            <w:tcBorders>
              <w:top w:val="nil"/>
              <w:left w:val="single" w:sz="4" w:space="0" w:color="auto"/>
              <w:bottom w:val="single" w:sz="4" w:space="0" w:color="auto"/>
              <w:right w:val="single" w:sz="4" w:space="0" w:color="auto"/>
            </w:tcBorders>
            <w:vAlign w:val="center"/>
            <w:hideMark/>
          </w:tcPr>
          <w:p w14:paraId="2E37872A"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7</w:t>
            </w:r>
          </w:p>
        </w:tc>
        <w:tc>
          <w:tcPr>
            <w:tcW w:w="1571" w:type="dxa"/>
            <w:tcBorders>
              <w:top w:val="nil"/>
              <w:left w:val="nil"/>
              <w:bottom w:val="single" w:sz="4" w:space="0" w:color="auto"/>
              <w:right w:val="single" w:sz="4" w:space="0" w:color="auto"/>
            </w:tcBorders>
            <w:vAlign w:val="center"/>
            <w:hideMark/>
          </w:tcPr>
          <w:p w14:paraId="23491367"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Requerimiento</w:t>
            </w:r>
          </w:p>
        </w:tc>
        <w:tc>
          <w:tcPr>
            <w:tcW w:w="1425" w:type="dxa"/>
            <w:tcBorders>
              <w:top w:val="nil"/>
              <w:left w:val="nil"/>
              <w:bottom w:val="single" w:sz="4" w:space="0" w:color="auto"/>
              <w:right w:val="single" w:sz="4" w:space="0" w:color="auto"/>
            </w:tcBorders>
            <w:vAlign w:val="center"/>
            <w:hideMark/>
          </w:tcPr>
          <w:p w14:paraId="457A1249"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Hora servidor Backend</w:t>
            </w:r>
          </w:p>
        </w:tc>
        <w:tc>
          <w:tcPr>
            <w:tcW w:w="2904" w:type="dxa"/>
            <w:tcBorders>
              <w:top w:val="nil"/>
              <w:left w:val="nil"/>
              <w:bottom w:val="single" w:sz="4" w:space="0" w:color="auto"/>
              <w:right w:val="single" w:sz="4" w:space="0" w:color="auto"/>
            </w:tcBorders>
            <w:vAlign w:val="center"/>
            <w:hideMark/>
          </w:tcPr>
          <w:p w14:paraId="771C5960"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Revisar horario de las notificaciones, para este caso registra modificación a las 20:00 horas y son las 15:11</w:t>
            </w:r>
          </w:p>
        </w:tc>
        <w:tc>
          <w:tcPr>
            <w:tcW w:w="1156" w:type="dxa"/>
            <w:tcBorders>
              <w:top w:val="nil"/>
              <w:left w:val="nil"/>
              <w:bottom w:val="single" w:sz="4" w:space="0" w:color="auto"/>
              <w:right w:val="single" w:sz="4" w:space="0" w:color="auto"/>
            </w:tcBorders>
            <w:shd w:val="clear" w:color="000000" w:fill="FFFFFF"/>
            <w:vAlign w:val="center"/>
            <w:hideMark/>
          </w:tcPr>
          <w:p w14:paraId="159DB66F"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En Validación</w:t>
            </w:r>
          </w:p>
        </w:tc>
        <w:tc>
          <w:tcPr>
            <w:tcW w:w="3660" w:type="dxa"/>
            <w:tcBorders>
              <w:top w:val="nil"/>
              <w:left w:val="nil"/>
              <w:bottom w:val="single" w:sz="4" w:space="0" w:color="auto"/>
              <w:right w:val="single" w:sz="4" w:space="0" w:color="auto"/>
            </w:tcBorders>
            <w:vAlign w:val="center"/>
            <w:hideMark/>
          </w:tcPr>
          <w:p w14:paraId="5E6C6BDB" w14:textId="77777777" w:rsidR="00906588" w:rsidRPr="00906588" w:rsidRDefault="00906588" w:rsidP="00906588">
            <w:pPr>
              <w:spacing w:after="0" w:line="240" w:lineRule="auto"/>
              <w:rPr>
                <w:rFonts w:ascii="Arial" w:eastAsia="Times New Roman" w:hAnsi="Arial" w:cs="Arial"/>
                <w:color w:val="000000"/>
                <w:lang w:val="es-ES" w:eastAsia="es-ES"/>
              </w:rPr>
            </w:pPr>
            <w:r w:rsidRPr="00906588">
              <w:rPr>
                <w:rFonts w:ascii="Arial" w:eastAsia="Times New Roman" w:hAnsi="Arial" w:cs="Arial"/>
                <w:color w:val="000000"/>
                <w:lang w:val="es-ES" w:eastAsia="es-ES"/>
              </w:rPr>
              <w:t>Se valida el requerimiento presentado y se determina que la causa no corresponde a una falla del aplicativo, sino a un desajuste en la configuración horaria del servidor de preproducción. Este problema impide la correcta sincronización de la hora del sistema. Debido a que dicha configuración es responsabilidad del área de infraestructura y se encuentra fuera del alcance del equipo de desarrollo, no es posible aplicar modificaciones desde el entorno del aplicativo para resolver esta inconsistencia.</w:t>
            </w:r>
          </w:p>
        </w:tc>
        <w:tc>
          <w:tcPr>
            <w:tcW w:w="1417" w:type="dxa"/>
            <w:tcBorders>
              <w:top w:val="nil"/>
              <w:left w:val="nil"/>
              <w:bottom w:val="single" w:sz="4" w:space="0" w:color="auto"/>
              <w:right w:val="single" w:sz="4" w:space="0" w:color="auto"/>
            </w:tcBorders>
            <w:vAlign w:val="center"/>
            <w:hideMark/>
          </w:tcPr>
          <w:p w14:paraId="00729EDB" w14:textId="77777777" w:rsidR="00906588" w:rsidRPr="00906588" w:rsidRDefault="00906588" w:rsidP="00906588">
            <w:pPr>
              <w:spacing w:after="0" w:line="240" w:lineRule="auto"/>
              <w:jc w:val="center"/>
              <w:rPr>
                <w:rFonts w:ascii="Arial" w:eastAsia="Times New Roman" w:hAnsi="Arial" w:cs="Arial"/>
                <w:color w:val="000000"/>
                <w:lang w:val="es-ES" w:eastAsia="es-ES"/>
              </w:rPr>
            </w:pPr>
            <w:r w:rsidRPr="00906588">
              <w:rPr>
                <w:rFonts w:ascii="Arial" w:eastAsia="Times New Roman" w:hAnsi="Arial" w:cs="Arial"/>
                <w:color w:val="000000"/>
                <w:lang w:val="es-ES" w:eastAsia="es-ES"/>
              </w:rPr>
              <w:t> </w:t>
            </w:r>
          </w:p>
        </w:tc>
      </w:tr>
    </w:tbl>
    <w:p w14:paraId="7BF9AA0C" w14:textId="509FB45F" w:rsidR="00C76240" w:rsidRDefault="00C76240">
      <w:pPr>
        <w:tabs>
          <w:tab w:val="left" w:pos="3950"/>
        </w:tabs>
        <w:rPr>
          <w:rFonts w:ascii="Arial" w:eastAsia="Arial" w:hAnsi="Arial" w:cs="Arial"/>
          <w:b/>
        </w:rPr>
      </w:pPr>
    </w:p>
    <w:tbl>
      <w:tblPr>
        <w:tblStyle w:val="a1"/>
        <w:tblpPr w:leftFromText="141" w:rightFromText="141" w:tblpY="1170"/>
        <w:tblW w:w="1260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8"/>
      </w:tblGrid>
      <w:tr w:rsidR="00C76240" w14:paraId="51D1A03A"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E8E8E8"/>
          </w:tcPr>
          <w:p w14:paraId="3F80F8B2" w14:textId="77777777" w:rsidR="00C76240" w:rsidRDefault="00000000" w:rsidP="0032446B">
            <w:pPr>
              <w:tabs>
                <w:tab w:val="left" w:pos="3950"/>
              </w:tabs>
              <w:jc w:val="center"/>
              <w:rPr>
                <w:rFonts w:ascii="Arial" w:eastAsia="Arial" w:hAnsi="Arial" w:cs="Arial"/>
              </w:rPr>
            </w:pPr>
            <w:r>
              <w:rPr>
                <w:rFonts w:ascii="Arial" w:eastAsia="Arial" w:hAnsi="Arial" w:cs="Arial"/>
                <w:b/>
              </w:rPr>
              <w:lastRenderedPageBreak/>
              <w:t>BLOQUEANTES DETECTADOS</w:t>
            </w:r>
          </w:p>
        </w:tc>
      </w:tr>
      <w:tr w:rsidR="00C76240" w14:paraId="2DF69666"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FFFFFF"/>
          </w:tcPr>
          <w:p w14:paraId="71FCA98F" w14:textId="77777777" w:rsidR="00C76240" w:rsidRDefault="00C76240" w:rsidP="0032446B">
            <w:pPr>
              <w:pBdr>
                <w:top w:val="nil"/>
                <w:left w:val="nil"/>
                <w:bottom w:val="nil"/>
                <w:right w:val="nil"/>
                <w:between w:val="nil"/>
              </w:pBdr>
              <w:tabs>
                <w:tab w:val="left" w:pos="3950"/>
              </w:tabs>
              <w:spacing w:after="0"/>
              <w:ind w:left="720"/>
              <w:rPr>
                <w:rFonts w:ascii="Arial" w:eastAsia="Arial" w:hAnsi="Arial" w:cs="Arial"/>
                <w:color w:val="000000"/>
              </w:rPr>
            </w:pPr>
          </w:p>
          <w:p w14:paraId="0501C0A6" w14:textId="5D88B3C2" w:rsidR="00C76240" w:rsidRDefault="00000000" w:rsidP="0032446B">
            <w:pPr>
              <w:numPr>
                <w:ilvl w:val="0"/>
                <w:numId w:val="1"/>
              </w:numPr>
              <w:pBdr>
                <w:top w:val="nil"/>
                <w:left w:val="nil"/>
                <w:bottom w:val="nil"/>
                <w:right w:val="nil"/>
                <w:between w:val="nil"/>
              </w:pBdr>
              <w:tabs>
                <w:tab w:val="left" w:pos="3950"/>
              </w:tabs>
              <w:spacing w:after="0"/>
              <w:rPr>
                <w:rFonts w:ascii="Arial" w:eastAsia="Arial" w:hAnsi="Arial" w:cs="Arial"/>
                <w:color w:val="000000"/>
              </w:rPr>
            </w:pPr>
            <w:r>
              <w:rPr>
                <w:rFonts w:ascii="Arial" w:eastAsia="Arial" w:hAnsi="Arial" w:cs="Arial"/>
                <w:b/>
                <w:color w:val="000000"/>
              </w:rPr>
              <w:t>Desconexiones intermitentes de la VPN y del EndPoint hacia el Directorio Activo (AD):</w:t>
            </w:r>
            <w:r>
              <w:rPr>
                <w:rFonts w:ascii="Arial" w:eastAsia="Arial" w:hAnsi="Arial" w:cs="Arial"/>
                <w:color w:val="000000"/>
              </w:rPr>
              <w:br/>
              <w:t>Se han presentado cortes impredecibles en la conectividad, lo que ha afectado la continuidad de los procesos de resolución de incidentes y ha generado retrasos en los tiempos de entrega</w:t>
            </w:r>
            <w:r w:rsidR="002F23F1">
              <w:rPr>
                <w:rFonts w:ascii="Arial" w:eastAsia="Arial" w:hAnsi="Arial" w:cs="Arial"/>
                <w:color w:val="000000"/>
              </w:rPr>
              <w:t xml:space="preserve"> (tres semanas aproximadamente- desde junio de 2025)</w:t>
            </w:r>
          </w:p>
          <w:p w14:paraId="2F4850C9" w14:textId="77777777" w:rsidR="00C76240" w:rsidRDefault="00000000" w:rsidP="0032446B">
            <w:pPr>
              <w:pBdr>
                <w:top w:val="nil"/>
                <w:left w:val="nil"/>
                <w:bottom w:val="nil"/>
                <w:right w:val="nil"/>
                <w:between w:val="nil"/>
              </w:pBdr>
              <w:tabs>
                <w:tab w:val="left" w:pos="3950"/>
              </w:tabs>
              <w:spacing w:after="0"/>
              <w:ind w:left="720"/>
              <w:rPr>
                <w:rFonts w:ascii="Arial" w:eastAsia="Arial" w:hAnsi="Arial" w:cs="Arial"/>
                <w:color w:val="000000"/>
              </w:rPr>
            </w:pPr>
            <w:r>
              <w:rPr>
                <w:rFonts w:ascii="Arial" w:eastAsia="Arial" w:hAnsi="Arial" w:cs="Arial"/>
                <w:color w:val="000000"/>
              </w:rPr>
              <w:t>.</w:t>
            </w:r>
          </w:p>
          <w:p w14:paraId="044FF681" w14:textId="262E6941" w:rsidR="00C76240" w:rsidRDefault="00000000" w:rsidP="0032446B">
            <w:pPr>
              <w:numPr>
                <w:ilvl w:val="0"/>
                <w:numId w:val="1"/>
              </w:numPr>
              <w:pBdr>
                <w:top w:val="nil"/>
                <w:left w:val="nil"/>
                <w:bottom w:val="nil"/>
                <w:right w:val="nil"/>
                <w:between w:val="nil"/>
              </w:pBdr>
              <w:tabs>
                <w:tab w:val="left" w:pos="3950"/>
              </w:tabs>
              <w:rPr>
                <w:rFonts w:ascii="Arial" w:eastAsia="Arial" w:hAnsi="Arial" w:cs="Arial"/>
                <w:color w:val="000000"/>
              </w:rPr>
            </w:pPr>
            <w:r>
              <w:rPr>
                <w:rFonts w:ascii="Arial" w:eastAsia="Arial" w:hAnsi="Arial" w:cs="Arial"/>
                <w:b/>
                <w:color w:val="000000"/>
              </w:rPr>
              <w:t xml:space="preserve">Afectación en el acceso a </w:t>
            </w:r>
            <w:r w:rsidR="00A80F9B">
              <w:rPr>
                <w:rFonts w:ascii="Arial" w:eastAsia="Arial" w:hAnsi="Arial" w:cs="Arial"/>
                <w:b/>
                <w:color w:val="000000"/>
              </w:rPr>
              <w:t>BBP</w:t>
            </w:r>
            <w:r>
              <w:rPr>
                <w:rFonts w:ascii="Arial" w:eastAsia="Arial" w:hAnsi="Arial" w:cs="Arial"/>
                <w:b/>
                <w:color w:val="000000"/>
              </w:rPr>
              <w:t>:</w:t>
            </w:r>
            <w:r>
              <w:rPr>
                <w:rFonts w:ascii="Arial" w:eastAsia="Arial" w:hAnsi="Arial" w:cs="Arial"/>
                <w:color w:val="000000"/>
              </w:rPr>
              <w:br/>
              <w:t xml:space="preserve">Durante las validaciones en el aplicativo </w:t>
            </w:r>
            <w:r w:rsidR="00A80F9B">
              <w:rPr>
                <w:rFonts w:ascii="Arial" w:eastAsia="Arial" w:hAnsi="Arial" w:cs="Arial"/>
                <w:color w:val="000000"/>
              </w:rPr>
              <w:t>BBP</w:t>
            </w:r>
            <w:r>
              <w:rPr>
                <w:rFonts w:ascii="Arial" w:eastAsia="Arial" w:hAnsi="Arial" w:cs="Arial"/>
                <w:color w:val="000000"/>
              </w:rPr>
              <w:t>, se ha identificado que los usuarios no pueden acceder si no cuentan con conectividad, incrementa el impacto de las desconexiones y limita el avance de las validaciones y puestas en producción al igual que la ejecución correcta de pruebas funcionales y no funcionales.</w:t>
            </w:r>
            <w:r w:rsidR="002F23F1">
              <w:rPr>
                <w:rFonts w:ascii="Arial" w:eastAsia="Arial" w:hAnsi="Arial" w:cs="Arial"/>
                <w:color w:val="000000"/>
              </w:rPr>
              <w:t xml:space="preserve"> (tres semanas aproximadamente- desde junio de 2025)</w:t>
            </w:r>
          </w:p>
          <w:p w14:paraId="0AB07148" w14:textId="2A662383" w:rsidR="00C76240" w:rsidRPr="00D05E84" w:rsidRDefault="002F23F1" w:rsidP="0032446B">
            <w:pPr>
              <w:pBdr>
                <w:top w:val="nil"/>
                <w:left w:val="nil"/>
                <w:bottom w:val="nil"/>
                <w:right w:val="nil"/>
                <w:between w:val="nil"/>
              </w:pBdr>
              <w:tabs>
                <w:tab w:val="left" w:pos="3950"/>
              </w:tabs>
              <w:rPr>
                <w:rFonts w:ascii="Arial" w:eastAsia="Arial" w:hAnsi="Arial" w:cs="Arial"/>
                <w:color w:val="000000"/>
              </w:rPr>
            </w:pPr>
            <w:r>
              <w:rPr>
                <w:rFonts w:ascii="Arial" w:eastAsia="Arial" w:hAnsi="Arial" w:cs="Arial"/>
                <w:color w:val="000000"/>
              </w:rPr>
              <w:t>Desde la UdeA, se gestionó a través de la DIARI mesas de servicios para efectos de lograr la solución de los bloqueantes antes detectados</w:t>
            </w:r>
            <w:r w:rsidR="00D05E84">
              <w:rPr>
                <w:rFonts w:ascii="Arial" w:eastAsia="Arial" w:hAnsi="Arial" w:cs="Arial"/>
                <w:color w:val="000000"/>
              </w:rPr>
              <w:t>.</w:t>
            </w:r>
          </w:p>
        </w:tc>
      </w:tr>
    </w:tbl>
    <w:p w14:paraId="2ACDF0E8" w14:textId="16098516" w:rsidR="00C76240" w:rsidRPr="00D05E84" w:rsidRDefault="00C76240" w:rsidP="00D05E84">
      <w:pPr>
        <w:tabs>
          <w:tab w:val="left" w:pos="3950"/>
        </w:tabs>
        <w:rPr>
          <w:rFonts w:ascii="Arial" w:eastAsia="Arial" w:hAnsi="Arial" w:cs="Arial"/>
        </w:rPr>
      </w:pPr>
    </w:p>
    <w:sectPr w:rsidR="00C76240" w:rsidRPr="00D05E84" w:rsidSect="00D05E84">
      <w:headerReference w:type="default" r:id="rId8"/>
      <w:pgSz w:w="15840" w:h="12240" w:orient="landscape"/>
      <w:pgMar w:top="1701" w:right="1418" w:bottom="1701" w:left="1418" w:header="1701"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5972E" w14:textId="77777777" w:rsidR="002A1236" w:rsidRDefault="002A1236">
      <w:pPr>
        <w:spacing w:after="0" w:line="240" w:lineRule="auto"/>
      </w:pPr>
      <w:r>
        <w:separator/>
      </w:r>
    </w:p>
  </w:endnote>
  <w:endnote w:type="continuationSeparator" w:id="0">
    <w:p w14:paraId="73E0011C" w14:textId="77777777" w:rsidR="002A1236" w:rsidRDefault="002A1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F6B6F9B-FBE2-45F4-A096-4E08BB361E5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BDF3CC9-71B6-4D1F-82F7-469980BAF237}"/>
    <w:embedBold r:id="rId3" w:fontKey="{75962CD5-0FB4-4632-BFBB-8A77A99257C6}"/>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3B8D9932-A232-46EB-B8E8-DFD704B46858}"/>
  </w:font>
  <w:font w:name="Georgia">
    <w:panose1 w:val="02040502050405020303"/>
    <w:charset w:val="00"/>
    <w:family w:val="roman"/>
    <w:pitch w:val="variable"/>
    <w:sig w:usb0="00000287" w:usb1="00000000" w:usb2="00000000" w:usb3="00000000" w:csb0="0000009F" w:csb1="00000000"/>
    <w:embedRegular r:id="rId5" w:fontKey="{1AD8EC16-7817-4021-A37C-1226E9E9E086}"/>
    <w:embedItalic r:id="rId6" w:fontKey="{69C649D6-322D-4030-9992-8E46B2B1A33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DFB55B0D-7538-44E1-A697-02A64CE8F6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80B9C" w14:textId="77777777" w:rsidR="002A1236" w:rsidRDefault="002A1236">
      <w:pPr>
        <w:spacing w:after="0" w:line="240" w:lineRule="auto"/>
      </w:pPr>
      <w:r>
        <w:separator/>
      </w:r>
    </w:p>
  </w:footnote>
  <w:footnote w:type="continuationSeparator" w:id="0">
    <w:p w14:paraId="7B91BB75" w14:textId="77777777" w:rsidR="002A1236" w:rsidRDefault="002A12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BC23" w14:textId="5F65D448" w:rsidR="00C76240" w:rsidRDefault="00AE43E5" w:rsidP="00AE43E5">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noProof/>
      </w:rPr>
      <w:drawing>
        <wp:anchor distT="0" distB="0" distL="0" distR="0" simplePos="0" relativeHeight="251658240" behindDoc="1" locked="0" layoutInCell="1" hidden="0" allowOverlap="1" wp14:anchorId="3AFFC3B7" wp14:editId="02B2C531">
          <wp:simplePos x="0" y="0"/>
          <wp:positionH relativeFrom="column">
            <wp:posOffset>-196677</wp:posOffset>
          </wp:positionH>
          <wp:positionV relativeFrom="paragraph">
            <wp:posOffset>-633557</wp:posOffset>
          </wp:positionV>
          <wp:extent cx="738564" cy="968422"/>
          <wp:effectExtent l="0" t="0" r="0" b="0"/>
          <wp:wrapNone/>
          <wp:docPr id="1992362466" name="image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agrama&#10;&#10;Descripción generada automáticamente"/>
                  <pic:cNvPicPr preferRelativeResize="0"/>
                </pic:nvPicPr>
                <pic:blipFill>
                  <a:blip r:embed="rId1"/>
                  <a:srcRect/>
                  <a:stretch>
                    <a:fillRect/>
                  </a:stretch>
                </pic:blipFill>
                <pic:spPr>
                  <a:xfrm>
                    <a:off x="0" y="0"/>
                    <a:ext cx="738564" cy="968422"/>
                  </a:xfrm>
                  <a:prstGeom prst="rect">
                    <a:avLst/>
                  </a:prstGeom>
                  <a:ln/>
                </pic:spPr>
              </pic:pic>
            </a:graphicData>
          </a:graphic>
        </wp:anchor>
      </w:drawing>
    </w:r>
    <w:r w:rsidRPr="00AE43E5">
      <w:rPr>
        <w:rFonts w:ascii="Arial" w:eastAsia="Arial" w:hAnsi="Arial" w:cs="Arial"/>
        <w:b/>
        <w:color w:val="000000"/>
        <w:sz w:val="32"/>
        <w:szCs w:val="32"/>
      </w:rPr>
      <w:t>ACTA DE SEGUIMIENTO PRUEBAS DE ACEPTACIÓN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245E"/>
    <w:multiLevelType w:val="multilevel"/>
    <w:tmpl w:val="BB5C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0820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40"/>
    <w:rsid w:val="00015B40"/>
    <w:rsid w:val="002A1236"/>
    <w:rsid w:val="002F23F1"/>
    <w:rsid w:val="0032446B"/>
    <w:rsid w:val="004E08AE"/>
    <w:rsid w:val="007C2E8A"/>
    <w:rsid w:val="00906588"/>
    <w:rsid w:val="00A80F9B"/>
    <w:rsid w:val="00AE43E5"/>
    <w:rsid w:val="00B97D3C"/>
    <w:rsid w:val="00BA57C7"/>
    <w:rsid w:val="00C76240"/>
    <w:rsid w:val="00D05E84"/>
    <w:rsid w:val="00EC140F"/>
    <w:rsid w:val="00F450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59ED"/>
  <w15:docId w15:val="{B74C2855-1234-B34A-979F-4469DB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10C26"/>
    <w:pPr>
      <w:ind w:left="720"/>
      <w:contextualSpacing/>
    </w:pPr>
  </w:style>
  <w:style w:type="table" w:styleId="Tablaconcuadrcula">
    <w:name w:val="Table Grid"/>
    <w:basedOn w:val="Tablanormal"/>
    <w:uiPriority w:val="39"/>
    <w:rsid w:val="00410C2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C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C26"/>
    <w:rPr>
      <w:kern w:val="2"/>
    </w:rPr>
  </w:style>
  <w:style w:type="paragraph" w:styleId="Piedepgina">
    <w:name w:val="footer"/>
    <w:basedOn w:val="Normal"/>
    <w:link w:val="PiedepginaCar"/>
    <w:uiPriority w:val="99"/>
    <w:unhideWhenUsed/>
    <w:rsid w:val="00410C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C26"/>
    <w:rPr>
      <w:kern w:val="2"/>
    </w:rPr>
  </w:style>
  <w:style w:type="paragraph" w:styleId="Textodeglobo">
    <w:name w:val="Balloon Text"/>
    <w:basedOn w:val="Normal"/>
    <w:link w:val="TextodegloboCar"/>
    <w:uiPriority w:val="99"/>
    <w:semiHidden/>
    <w:unhideWhenUsed/>
    <w:rsid w:val="00410C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C26"/>
    <w:rPr>
      <w:rFonts w:ascii="Segoe UI" w:hAnsi="Segoe UI" w:cs="Segoe UI"/>
      <w:kern w:val="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riZ5sPjsrgzzNcJtHiaMW1Lbw==">CgMxLjA4AHIhMVg1UlFVUlFsX2FwMXIxd0tBTGZyb09xSEhCZjdDSVNN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2097</Words>
  <Characters>11539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YATE</dc:creator>
  <cp:lastModifiedBy>Faber Steven Arturo Bermudez</cp:lastModifiedBy>
  <cp:revision>3</cp:revision>
  <dcterms:created xsi:type="dcterms:W3CDTF">2025-07-14T22:10:00Z</dcterms:created>
  <dcterms:modified xsi:type="dcterms:W3CDTF">2025-08-11T20:39:00Z</dcterms:modified>
</cp:coreProperties>
</file>