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2033"/>
          <w:sz w:val="56"/>
        </w:rPr>
        <w:t>TRAMA</w:t>
      </w:r>
    </w:p>
    <w:p>
      <w:pPr>
        <w:jc w:val="center"/>
      </w:pPr>
      <w:r>
        <w:rPr>
          <w:b/>
          <w:color w:val="7C3AED"/>
          <w:sz w:val="40"/>
        </w:rPr>
        <w:t>Admin</w:t>
        <w:br/>
        <w:t>Product Architecture &amp; CX Handbook</w:t>
      </w:r>
    </w:p>
    <w:p>
      <w:pPr>
        <w:jc w:val="center"/>
      </w:pPr>
      <w:r>
        <w:rPr>
          <w:color w:val="64748B"/>
          <w:sz w:val="24"/>
        </w:rPr>
        <w:t>Control plane ecosistema: governance, qualità, operatività, supply acquisition e servizi extra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BEAFE"/>
            <w:vAlign w:val="top"/>
          </w:tcPr>
          <w:p>
            <w:r/>
            <w:r>
              <w:rPr>
                <w:b/>
                <w:color w:val="172033"/>
                <w:sz w:val="18"/>
              </w:rPr>
              <w:t>Campo</w:t>
            </w:r>
          </w:p>
        </w:tc>
        <w:tc>
          <w:tcPr>
            <w:tcW w:type="dxa" w:w="6803"/>
            <w:shd w:fill="DBEAFE"/>
            <w:vAlign w:val="top"/>
          </w:tcPr>
          <w:p>
            <w:r/>
            <w:r>
              <w:rPr>
                <w:b/>
                <w:color w:val="172033"/>
                <w:sz w:val="18"/>
              </w:rPr>
              <w:t>Valore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Versione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Draft 1.1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Stato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Work in progress - Trust Layer e Partner Requirements integrati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Autore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Fabrizio Pirulli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Fonte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Sitemap Admin (18 pagine) + Product Requirements Partner con impatti su review, trust, livelli, tutorial e referral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Obiettivo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Trasformare Admin in Control Room della salute dell’ecosistema e governare ingresso, fiducia, incentivi e audit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1F5F9"/>
          </w:tcPr>
          <w:p>
            <w:r/>
            <w:r>
              <w:rPr>
                <w:rFonts w:ascii="Arial" w:hAnsi="Arial"/>
                <w:b w:val="0"/>
                <w:sz w:val="17"/>
              </w:rPr>
              <w:t>Nota metodologica</w:t>
              <w:br/>
              <w:t>La struttura Draft 1.0 è invariata. Le integrazioni distinguono requisiti operativi MVP (review, state machine, checklist, walkthrough oversight, notifiche e audit) da motori predisposti o successivi (verifica AI, recommendation, health, gamification, CRM e marketplace B2B).</w:t>
            </w:r>
          </w:p>
        </w:tc>
      </w:tr>
    </w:tbl>
    <w:p/>
    <w:p>
      <w:r>
        <w:br w:type="page"/>
      </w:r>
    </w:p>
    <w:p>
      <w:pPr>
        <w:pStyle w:val="Heading1"/>
      </w:pPr>
      <w:r>
        <w:t>1. 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Sintesi</w:t>
              <w:br/>
              <w:t>L’Admin non è un pannello CRUD: è la Control Room che protegge qualità, fiducia e continuità dell’ecosistema. I nuovi Product Requirements richiedono una dashboard di candidature, una state machine Partner esplicita, decisioni tracciate, Trust Engine interno, configurazione dei pesi, Partnership Level, oversight del walkthrough, Notification Center, Audit Log e governance degli incentivi referral. La capacità Admin deve crescere per code e SLA, senza trasformare l’esperienza Partner in un controllo burocratico.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fill="E0E7FF"/>
            <w:vAlign w:val="top"/>
          </w:tcPr>
          <w:p>
            <w:r/>
            <w:r>
              <w:rPr>
                <w:b/>
                <w:color w:val="172033"/>
                <w:sz w:val="18"/>
              </w:rPr>
              <w:t>Indicatore</w:t>
            </w:r>
          </w:p>
        </w:tc>
        <w:tc>
          <w:tcPr>
            <w:tcW w:type="dxa" w:w="6236"/>
            <w:shd w:fill="E0E7FF"/>
            <w:vAlign w:val="top"/>
          </w:tcPr>
          <w:p>
            <w:r/>
            <w:r>
              <w:rPr>
                <w:b/>
                <w:color w:val="172033"/>
                <w:sz w:val="18"/>
              </w:rPr>
              <w:t>Valore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Pagine Admin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18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Collegamenti rilevati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244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Errori scanner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Portale correlato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Genitore + Admin + Partner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Obiettivo target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Governance completa di marketplace, qualità e operatività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6"/>
              </w:rPr>
              <w:t>Product Requirements integrati</w:t>
            </w:r>
          </w:p>
        </w:tc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6"/>
              </w:rPr>
              <w:t>Admin Review, Trust Engine, Partner Level, Tutorial/Checklist oversight, Notification Center, Audit e referral incentives</w:t>
            </w:r>
          </w:p>
        </w:tc>
      </w:tr>
    </w:tbl>
    <w:p/>
    <w:p>
      <w:pPr>
        <w:pStyle w:val="Heading2"/>
      </w:pPr>
      <w:r>
        <w:t>1.1 Executive Findings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680"/>
            <w:shd w:fill="E2E8F0"/>
            <w:vAlign w:val="top"/>
          </w:tcPr>
          <w:p>
            <w:r/>
            <w:r>
              <w:rPr>
                <w:b/>
                <w:color w:val="172033"/>
                <w:sz w:val="16"/>
              </w:rPr>
              <w:t>ID</w:t>
            </w:r>
          </w:p>
        </w:tc>
        <w:tc>
          <w:tcPr>
            <w:tcW w:type="dxa" w:w="3402"/>
            <w:shd w:fill="E2E8F0"/>
            <w:vAlign w:val="top"/>
          </w:tcPr>
          <w:p>
            <w:r/>
            <w:r>
              <w:rPr>
                <w:b/>
                <w:color w:val="172033"/>
                <w:sz w:val="16"/>
              </w:rPr>
              <w:t>Finding</w:t>
            </w:r>
          </w:p>
        </w:tc>
        <w:tc>
          <w:tcPr>
            <w:tcW w:type="dxa" w:w="1134"/>
            <w:shd w:fill="E2E8F0"/>
            <w:vAlign w:val="top"/>
          </w:tcPr>
          <w:p>
            <w:r/>
            <w:r>
              <w:rPr>
                <w:b/>
                <w:color w:val="172033"/>
                <w:sz w:val="16"/>
              </w:rPr>
              <w:t>Impatto</w:t>
            </w:r>
          </w:p>
        </w:tc>
        <w:tc>
          <w:tcPr>
            <w:tcW w:type="dxa" w:w="1134"/>
            <w:shd w:fill="E2E8F0"/>
            <w:vAlign w:val="top"/>
          </w:tcPr>
          <w:p>
            <w:r/>
            <w:r>
              <w:rPr>
                <w:b/>
                <w:color w:val="172033"/>
                <w:sz w:val="16"/>
              </w:rPr>
              <w:t>Priorità</w:t>
            </w:r>
          </w:p>
        </w:tc>
        <w:tc>
          <w:tcPr>
            <w:tcW w:type="dxa" w:w="2835"/>
            <w:shd w:fill="E2E8F0"/>
            <w:vAlign w:val="top"/>
          </w:tcPr>
          <w:p>
            <w:r/>
            <w:r>
              <w:rPr>
                <w:b/>
                <w:color w:val="172033"/>
                <w:sz w:val="16"/>
              </w:rPr>
              <w:t>Effetto cross-portale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 w:val="0"/>
                <w:sz w:val="16"/>
              </w:rPr>
              <w:t>AF-01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</w:rPr>
              <w:t>Admin deve essere control plane, non semplice backoffice CRUD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</w:rPr>
              <w:t>Alto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</w:rPr>
              <w:t>Governance su tutti i portali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 w:val="0"/>
                <w:sz w:val="16"/>
              </w:rPr>
              <w:t>AF-02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</w:rPr>
              <w:t>Approvals, qualità catalogo e anomalie booking sono code operative prioritarie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</w:rPr>
              <w:t>Alto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</w:rPr>
              <w:t>Riduzione rischio marketplace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 w:val="0"/>
                <w:sz w:val="16"/>
              </w:rPr>
              <w:t>AF-03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</w:rPr>
              <w:t>Supply acquisition da suggerimenti Parent richiede CenterLead, dedupe e outreach tracciato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</w:rPr>
              <w:t>Alto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</w:rPr>
              <w:t>Crescita supply guidata dalla domanda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 w:val="0"/>
                <w:sz w:val="16"/>
              </w:rPr>
              <w:t>AF-04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</w:rPr>
              <w:t>Servizi extra richiedono modello Fornitore/Servizio/SLA/area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</w:rPr>
              <w:t>Medio/Alto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</w:rPr>
              <w:t>Nuove efficienze per centri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 w:val="0"/>
                <w:sz w:val="16"/>
              </w:rPr>
              <w:t>AF-05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</w:rPr>
              <w:t>Audit log e permessi sono prerequisiti per operare su dati sensibili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</w:rPr>
              <w:t>Alto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</w:rPr>
              <w:t>Compliance e accountability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4"/>
              </w:rPr>
              <w:t>AF-06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4"/>
              </w:rPr>
              <w:t>La validazione Partner richiede una dashboard di candidature, non una tabella generica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4"/>
              </w:rPr>
              <w:t>Alto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4"/>
              </w:rPr>
              <w:t>P0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4"/>
              </w:rPr>
              <w:t>Riduce tempi, errori e review non omogenee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4"/>
              </w:rPr>
              <w:t>AF-07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4"/>
              </w:rPr>
              <w:t>Trust Score, pesi e livelli devono essere configurabili, storicizzati e mai corretti manualmente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4"/>
              </w:rPr>
              <w:t>Alto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4"/>
              </w:rPr>
              <w:t>P1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4"/>
              </w:rPr>
              <w:t>Ranking e controlli coerenti tra Partner e Parent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4"/>
              </w:rPr>
              <w:t>AF-08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4"/>
              </w:rPr>
              <w:t>Ogni stato Partner deve avere permessi, comunicazioni, SLA e audit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4"/>
              </w:rPr>
              <w:t>Alto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4"/>
              </w:rPr>
              <w:t>P0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4"/>
              </w:rPr>
              <w:t>Evita partner bloccati e azioni non tracciate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4"/>
              </w:rPr>
              <w:t>AF-09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4"/>
              </w:rPr>
              <w:t>Referral reward e commission reduction richiedono attribution, eligibility, ledger e anti-frode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4"/>
              </w:rPr>
              <w:t>Alto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4"/>
              </w:rPr>
              <w:t>P1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4"/>
              </w:rPr>
              <w:t>Sostenibilità economica e acquisizione supply misurabile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4"/>
              </w:rPr>
              <w:t>AF-10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4"/>
              </w:rPr>
              <w:t>Admin deve osservare walkthrough e checklist senza diventare owner della configurazione del Partner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4"/>
              </w:rPr>
              <w:t>Medio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4"/>
              </w:rPr>
              <w:t>P1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4"/>
              </w:rPr>
              <w:t>Supporto mirato e minore lavoro manuale</w:t>
            </w:r>
          </w:p>
        </w:tc>
      </w:tr>
    </w:tbl>
    <w:p/>
    <w:p>
      <w:pPr>
        <w:pStyle w:val="Heading2"/>
      </w:pPr>
      <w:r>
        <w:t>1.2 Principi di revisione</w:t>
      </w:r>
    </w:p>
    <w:p>
      <w:r>
        <w:t>Journey first: i flussi devono seguire gli obiettivi operativi, non la struttura tecnica delle pagine.</w:t>
      </w:r>
    </w:p>
    <w:p>
      <w:r>
        <w:t>Single source of truth: ogni dominio deve avere un owner chiaro tra Genitore, Partner e Admin.</w:t>
      </w:r>
    </w:p>
    <w:p>
      <w:r>
        <w:t>No manual re-entry: un dato inserito da Partner o Admin deve alimentare Genitore senza duplicazione.</w:t>
      </w:r>
    </w:p>
    <w:p>
      <w:r>
        <w:t>Operational observability: ogni stato critico deve essere monitorabile e governabile da Admin.</w:t>
      </w:r>
    </w:p>
    <w:p>
      <w:r>
        <w:t>Pilot first: la roadmap privilegia ciò che consente validazione reale del marketplace.</w:t>
      </w:r>
    </w:p>
    <w:p>
      <w:r>
        <w:br w:type="page"/>
      </w:r>
    </w:p>
    <w:p>
      <w:pPr/>
      <w:r>
        <w:rPr>
          <w:rFonts w:ascii="Arial" w:hAnsi="Arial"/>
          <w:b w:val="0"/>
          <w:sz w:val="18"/>
        </w:rPr>
        <w:t>Incentive governance: reward e commissioni agevolate devono derivare da eventi e regole versionate, non da eccezioni manuali.</w:t>
      </w:r>
    </w:p>
    <w:p>
      <w:pPr/>
      <w:r>
        <w:rPr>
          <w:rFonts w:ascii="Arial" w:hAnsi="Arial"/>
          <w:b w:val="0"/>
          <w:sz w:val="18"/>
        </w:rPr>
        <w:t>Separation of duties: configurazione regole, review Partner e interventi commerciali devono avere permessi distinti.</w:t>
      </w:r>
    </w:p>
    <w:p>
      <w:pPr/>
      <w:r>
        <w:rPr>
          <w:rFonts w:ascii="Arial" w:hAnsi="Arial"/>
          <w:b w:val="0"/>
          <w:sz w:val="18"/>
        </w:rPr>
        <w:t>Explainable trust: pesi, versioni e fonti del Trust Engine devono essere auditabili anche se non esposti al Partner.</w:t>
      </w:r>
    </w:p>
    <w:p>
      <w:pPr/>
      <w:r>
        <w:rPr>
          <w:rFonts w:ascii="Arial" w:hAnsi="Arial"/>
          <w:b w:val="0"/>
          <w:sz w:val="18"/>
        </w:rPr>
        <w:t>Queue-first operations: ogni dashboard deve rendere espliciti owner, SLA, next action e motivo della priorità.</w:t>
      </w:r>
    </w:p>
    <w:p>
      <w:pPr>
        <w:pStyle w:val="Heading1"/>
      </w:pPr>
      <w:r>
        <w:t>2. Audit completo delle 18 schermate Admin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5F3FF"/>
          </w:tcPr>
          <w:p>
            <w:r>
              <w:rPr>
                <w:b/>
                <w:color w:val="172033"/>
                <w:sz w:val="20"/>
              </w:rPr>
              <w:t>Lettura dell’audit</w:t>
              <w:br/>
            </w:r>
            <w:r>
              <w:rPr>
                <w:sz w:val="18"/>
              </w:rPr>
              <w:t>Ogni schermata Admin viene valutata rispetto a responsabilità operativa, potere di intervento, impatto sui portali Genitore/Partner, KPI e Change Request. Il punto chiave è stabilire cosa Admin può vedere, modificare, approvare o solo monitorare.</w:t>
            </w:r>
          </w:p>
        </w:tc>
      </w:tr>
    </w:tbl>
    <w:p/>
    <w:p>
      <w:r>
        <w:br w:type="page"/>
      </w:r>
    </w:p>
    <w:p>
      <w:pPr>
        <w:pStyle w:val="Heading1"/>
      </w:pPr>
      <w:r>
        <w:t>Audit schermata - Dashboard Admin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Campo</w:t>
            </w:r>
          </w:p>
        </w:tc>
        <w:tc>
          <w:tcPr>
            <w:tcW w:type="dxa" w:w="6803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Valutazione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Route / Area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/admin/dashboard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Ruolo primario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Control plane ecosistema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Responsabilità target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Priorità operative: approvazioni, anomalie, SLA, marketplace health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Attori coinvolti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Admin Operations, Product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Correlazione ecosistema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Vista di controllo su Genitore e Partner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Criticità principale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Rischio dashboard metrica e non operativa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Rischio operativo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Anomalie non gestite in tempo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Requisiti PR integrati</w:t>
            </w:r>
          </w:p>
        </w:tc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Nuove candidature, Partner in verifica/approvati/da completare/inattivi, segnalazioni, performance territoriale, categorie mancanti, alert e audit.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Prioritizzazione</w:t>
            </w:r>
          </w:p>
        </w:tc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Coda per SLA, rischio, impatto sulla domanda e blocco della pubblicazione; massimo tre focus operativi principali.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Cross-portale</w:t>
            </w:r>
          </w:p>
        </w:tc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Riceve submission Partner, demand gap Parent, feedback beta e anomalie booking; emette decisioni e configurazioni.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NFR / controlli</w:t>
            </w:r>
          </w:p>
        </w:tc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RBAC, audit 100% azioni sensibili, filtri salvabili, alert deduplicati, rollback feature flag.</w:t>
            </w:r>
          </w:p>
        </w:tc>
      </w:tr>
    </w:tbl>
    <w:p/>
    <w:p>
      <w:pPr>
        <w:pStyle w:val="Heading2"/>
      </w:pPr>
      <w:r>
        <w:t>KPI da monitorare</w:t>
      </w:r>
    </w:p>
    <w:p>
      <w:pPr/>
      <w:r>
        <w:rPr>
          <w:rFonts w:ascii="Arial" w:hAnsi="Arial"/>
          <w:b w:val="0"/>
          <w:sz w:val="18"/>
        </w:rPr>
        <w:t>• Open critical queues</w:t>
      </w:r>
    </w:p>
    <w:p>
      <w:pPr/>
      <w:r>
        <w:rPr>
          <w:rFonts w:ascii="Arial" w:hAnsi="Arial"/>
          <w:b w:val="0"/>
          <w:sz w:val="18"/>
        </w:rPr>
        <w:t>• Partner approval SLA</w:t>
      </w:r>
    </w:p>
    <w:p>
      <w:pPr/>
      <w:r>
        <w:rPr>
          <w:rFonts w:ascii="Arial" w:hAnsi="Arial"/>
          <w:b w:val="0"/>
          <w:sz w:val="18"/>
        </w:rPr>
        <w:t>• Marketplace health</w:t>
      </w:r>
    </w:p>
    <w:p>
      <w:pPr/>
      <w:r>
        <w:rPr>
          <w:rFonts w:ascii="Arial" w:hAnsi="Arial"/>
          <w:b w:val="0"/>
          <w:sz w:val="18"/>
        </w:rPr>
        <w:t>• Incomplete/inactive Partner rate</w:t>
      </w:r>
    </w:p>
    <w:p>
      <w:pPr/>
      <w:r>
        <w:rPr>
          <w:rFonts w:ascii="Arial" w:hAnsi="Arial"/>
          <w:b w:val="0"/>
          <w:sz w:val="18"/>
        </w:rPr>
        <w:t>• Territory/category gaps</w:t>
      </w:r>
    </w:p>
    <w:p>
      <w:pPr/>
      <w:r>
        <w:rPr>
          <w:rFonts w:ascii="Arial" w:hAnsi="Arial"/>
          <w:b w:val="0"/>
          <w:sz w:val="18"/>
        </w:rPr>
        <w:t>• Audit exceptions</w:t>
      </w:r>
    </w:p>
    <w:p>
      <w:pPr>
        <w:pStyle w:val="Heading2"/>
      </w:pPr>
      <w:r>
        <w:t>Change Request collegate</w:t>
      </w:r>
    </w:p>
    <w:p>
      <w:r>
        <w:t>• ACR-001 Admin command center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8FAFC"/>
          </w:tcPr>
          <w:p>
            <w:r/>
            <w:r>
              <w:rPr>
                <w:rFonts w:ascii="Arial" w:hAnsi="Arial"/>
                <w:b w:val="0"/>
                <w:sz w:val="17"/>
              </w:rPr>
              <w:t>Criterio di accettazione schermata</w:t>
              <w:br/>
              <w:t>La Control Room mostra candidature, Partner da completare/inattivi, categorie e territori scoperti, anomalie e audit; ogni elemento ha owner, SLA e next action.</w:t>
            </w:r>
          </w:p>
        </w:tc>
      </w:tr>
    </w:tbl>
    <w:p/>
    <w:p>
      <w:r>
        <w:br w:type="page"/>
      </w:r>
    </w:p>
    <w:p>
      <w:pPr>
        <w:pStyle w:val="Heading1"/>
      </w:pPr>
      <w:r>
        <w:t>Audit schermata - Approvazioni Partner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Campo</w:t>
            </w:r>
          </w:p>
        </w:tc>
        <w:tc>
          <w:tcPr>
            <w:tcW w:type="dxa" w:w="6803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Valutazione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Route / Area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/admin/partners/approvals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Ruolo primario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Qualifica supply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Responsabilità target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Approvare, chiedere integrazioni o rifiutare gestori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Attori coinvolti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Admin Operations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Correlazione ecosistema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Partner onboarding e visibilità Parent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Criticità principale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Criteri approvazione non formalizzati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Rischio operativo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Centri incompleti o non affidabili pubblicati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Processo sorgente</w:t>
            </w:r>
          </w:p>
        </w:tc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Candidatura avviata dal flusso “Diventa Partner TRAMA”.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Card candidatura</w:t>
            </w:r>
          </w:p>
        </w:tc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Logo, nome, categoria, città, stato, completezza, documenti, fonti, data, note e quick actions.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Azioni</w:t>
            </w:r>
          </w:p>
        </w:tc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Approva, richiedi integrazione, metti in revisione, rifiuta, contatta Partner, visualizza storico.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State machine</w:t>
            </w:r>
          </w:p>
        </w:tc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Richiesta → Documentazione → Verifica → Revisione → Approvato / changes requested / rejected.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Audit</w:t>
            </w:r>
          </w:p>
        </w:tc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Ogni decisione richiede reason code, note, attore, timestamp e notifica coerente al Partner.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Wireframe funzionale</w:t>
            </w:r>
          </w:p>
        </w:tc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Queue filtrabile + card candidatura + side panel 360 + action bar Approva/Integra/Revisione/Rifiuta + timeline audit.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Microcopy decisionale</w:t>
            </w:r>
          </w:p>
        </w:tc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Messaggi separati per richiesta ricevuta, integrazione, revisione, approvazione e rifiuto; sempre motivazione, prossimo passo e tempo atteso.</w:t>
            </w:r>
          </w:p>
        </w:tc>
      </w:tr>
    </w:tbl>
    <w:p/>
    <w:p>
      <w:pPr>
        <w:pStyle w:val="Heading2"/>
      </w:pPr>
      <w:r>
        <w:t>KPI da monitorare</w:t>
      </w:r>
    </w:p>
    <w:p>
      <w:pPr/>
      <w:r>
        <w:rPr>
          <w:rFonts w:ascii="Arial" w:hAnsi="Arial"/>
          <w:b w:val="0"/>
          <w:sz w:val="18"/>
        </w:rPr>
        <w:t>• Median time to first review</w:t>
      </w:r>
    </w:p>
    <w:p>
      <w:pPr/>
      <w:r>
        <w:rPr>
          <w:rFonts w:ascii="Arial" w:hAnsi="Arial"/>
          <w:b w:val="0"/>
          <w:sz w:val="18"/>
        </w:rPr>
        <w:t>• Time to decision</w:t>
      </w:r>
    </w:p>
    <w:p>
      <w:pPr/>
      <w:r>
        <w:rPr>
          <w:rFonts w:ascii="Arial" w:hAnsi="Arial"/>
          <w:b w:val="0"/>
          <w:sz w:val="18"/>
        </w:rPr>
        <w:t>• Changes requested rate</w:t>
      </w:r>
    </w:p>
    <w:p>
      <w:pPr/>
      <w:r>
        <w:rPr>
          <w:rFonts w:ascii="Arial" w:hAnsi="Arial"/>
          <w:b w:val="0"/>
          <w:sz w:val="18"/>
        </w:rPr>
        <w:t>• Decision consistency</w:t>
      </w:r>
    </w:p>
    <w:p>
      <w:pPr/>
      <w:r>
        <w:rPr>
          <w:rFonts w:ascii="Arial" w:hAnsi="Arial"/>
          <w:b w:val="0"/>
          <w:sz w:val="18"/>
        </w:rPr>
        <w:t>• Reopened reviews</w:t>
      </w:r>
    </w:p>
    <w:p>
      <w:pPr/>
      <w:r>
        <w:rPr>
          <w:rFonts w:ascii="Arial" w:hAnsi="Arial"/>
          <w:b w:val="0"/>
          <w:sz w:val="18"/>
        </w:rPr>
        <w:t>• Approved-to-active conversion</w:t>
      </w:r>
    </w:p>
    <w:p>
      <w:pPr>
        <w:pStyle w:val="Heading2"/>
      </w:pPr>
      <w:r>
        <w:t>Change Request collegate</w:t>
      </w:r>
    </w:p>
    <w:p>
      <w:r>
        <w:t>• ACR-002 Approval workflow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8FAFC"/>
          </w:tcPr>
          <w:p>
            <w:r/>
            <w:r>
              <w:rPr>
                <w:rFonts w:ascii="Arial" w:hAnsi="Arial"/>
                <w:b w:val="0"/>
                <w:sz w:val="17"/>
              </w:rPr>
              <w:t>Criterio di accettazione schermata</w:t>
              <w:br/>
              <w:t>La review utilizza card complete, state machine esplicita, quick actions, reason code, storico e notifica; nessuna decisione sensibile è priva di AuditEvent.</w:t>
            </w:r>
          </w:p>
        </w:tc>
      </w:tr>
    </w:tbl>
    <w:p/>
    <w:p>
      <w:r>
        <w:br w:type="page"/>
      </w:r>
    </w:p>
    <w:p>
      <w:pPr>
        <w:pStyle w:val="Heading1"/>
      </w:pPr>
      <w:r>
        <w:t>Audit schermata - Dettaglio Partner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Campo</w:t>
            </w:r>
          </w:p>
        </w:tc>
        <w:tc>
          <w:tcPr>
            <w:tcW w:type="dxa" w:w="6803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Valutazione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Route / Area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/admin/partners/:id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Ruolo primario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Gestione anagrafica gestore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Responsabilità target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Vedere stato, sedi, attività, documenti, performance e problemi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Attori coinvolti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Admin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Correlazione ecosistema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Interviene su dati Partner e qualità Parent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Criticità principale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Troppi dati senza separazione operativa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Rischio operativo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Errore umano in modifiche sensibili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Trust 360</w:t>
            </w:r>
          </w:p>
        </w:tc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Verification, checklist, Product Walkthrough progress, Trust Score history, driver, Partner Level, ranking e incidenti.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Controlli</w:t>
            </w:r>
          </w:p>
        </w:tc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Trust Score non modificabile manualmente; Admin configura pesi/versioni e può aprire review, non sovrascrivere il risultato.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Referral</w:t>
            </w:r>
          </w:p>
        </w:tc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Visualizzare CenterLead sorgente, famiglia referrer pseudonimizzata, attribution e stato incentivo.</w:t>
            </w:r>
          </w:p>
        </w:tc>
      </w:tr>
    </w:tbl>
    <w:p/>
    <w:p>
      <w:pPr>
        <w:pStyle w:val="Heading2"/>
      </w:pPr>
      <w:r>
        <w:t>KPI da monitorare</w:t>
      </w:r>
    </w:p>
    <w:p>
      <w:pPr/>
      <w:r>
        <w:rPr>
          <w:rFonts w:ascii="Arial" w:hAnsi="Arial"/>
          <w:b w:val="0"/>
          <w:sz w:val="18"/>
        </w:rPr>
        <w:t>• Trust driver coverage</w:t>
      </w:r>
    </w:p>
    <w:p>
      <w:pPr/>
      <w:r>
        <w:rPr>
          <w:rFonts w:ascii="Arial" w:hAnsi="Arial"/>
          <w:b w:val="0"/>
          <w:sz w:val="18"/>
        </w:rPr>
        <w:t>• Trust score volatility</w:t>
      </w:r>
    </w:p>
    <w:p>
      <w:pPr/>
      <w:r>
        <w:rPr>
          <w:rFonts w:ascii="Arial" w:hAnsi="Arial"/>
          <w:b w:val="0"/>
          <w:sz w:val="18"/>
        </w:rPr>
        <w:t>• Partner level progression</w:t>
      </w:r>
    </w:p>
    <w:p>
      <w:pPr/>
      <w:r>
        <w:rPr>
          <w:rFonts w:ascii="Arial" w:hAnsi="Arial"/>
          <w:b w:val="0"/>
          <w:sz w:val="18"/>
        </w:rPr>
        <w:t>• Checklist completion</w:t>
      </w:r>
    </w:p>
    <w:p>
      <w:pPr/>
      <w:r>
        <w:rPr>
          <w:rFonts w:ascii="Arial" w:hAnsi="Arial"/>
          <w:b w:val="0"/>
          <w:sz w:val="18"/>
        </w:rPr>
        <w:t>• Tutorial completion</w:t>
      </w:r>
    </w:p>
    <w:p>
      <w:pPr/>
      <w:r>
        <w:rPr>
          <w:rFonts w:ascii="Arial" w:hAnsi="Arial"/>
          <w:b w:val="0"/>
          <w:sz w:val="18"/>
        </w:rPr>
        <w:t>• Admin intervention rate</w:t>
      </w:r>
    </w:p>
    <w:p>
      <w:pPr>
        <w:pStyle w:val="Heading2"/>
      </w:pPr>
      <w:r>
        <w:t>Change Request collegate</w:t>
      </w:r>
    </w:p>
    <w:p>
      <w:r>
        <w:t>• ACR-003 Partner 360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8FAFC"/>
          </w:tcPr>
          <w:p>
            <w:r/>
            <w:r>
              <w:rPr>
                <w:rFonts w:ascii="Arial" w:hAnsi="Arial"/>
                <w:b w:val="0"/>
                <w:sz w:val="17"/>
              </w:rPr>
              <w:t>Criterio di accettazione schermata</w:t>
              <w:br/>
              <w:t>Partner 360 separa identità, verifica, checklist, walkthrough, Trust, level, commerciale, sicurezza e storico; score e ranking non sono modificabili manualmente.</w:t>
            </w:r>
          </w:p>
        </w:tc>
      </w:tr>
    </w:tbl>
    <w:p/>
    <w:p>
      <w:r>
        <w:br w:type="page"/>
      </w:r>
    </w:p>
    <w:p>
      <w:pPr>
        <w:pStyle w:val="Heading1"/>
      </w:pPr>
      <w:r>
        <w:t>Audit schermata - Registry Centri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Campo</w:t>
            </w:r>
          </w:p>
        </w:tc>
        <w:tc>
          <w:tcPr>
            <w:tcW w:type="dxa" w:w="6803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Valutazione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Route / Area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/admin/centers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Ruolo primario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Anagrafica centri/sedi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Responsabilità target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Gestire centri, sedi, duplicati e lead non iscritti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Attori coinvolti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Admin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Correlazione ecosistema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Supply Acquisition, Parent suggerisce centri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Criticità principale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Centro iscritto e lead non separati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Rischio operativo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Dedupe difficile e catalogo sporco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Referral pipeline</w:t>
            </w:r>
          </w:p>
        </w:tc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CenterLead, DemandContext, invitation, claim, onboarding, activation e reward status.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Deduplica</w:t>
            </w:r>
          </w:p>
        </w:tc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Nome, indirizzo, dominio, contatti, P.IVA e match con partner/centri esistenti.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Anti-abuso</w:t>
            </w:r>
          </w:p>
        </w:tc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Rate limit, self-referral, relazioni tra referrer e organizzazione, duplicati e contestazioni di attribution.</w:t>
            </w:r>
          </w:p>
        </w:tc>
      </w:tr>
    </w:tbl>
    <w:p/>
    <w:p>
      <w:pPr>
        <w:pStyle w:val="Heading2"/>
      </w:pPr>
      <w:r>
        <w:t>KPI da monitorare</w:t>
      </w:r>
    </w:p>
    <w:p>
      <w:pPr/>
      <w:r>
        <w:rPr>
          <w:rFonts w:ascii="Arial" w:hAnsi="Arial"/>
          <w:b w:val="0"/>
          <w:sz w:val="18"/>
        </w:rPr>
        <w:t>• Lead dedupe precision</w:t>
      </w:r>
    </w:p>
    <w:p>
      <w:pPr/>
      <w:r>
        <w:rPr>
          <w:rFonts w:ascii="Arial" w:hAnsi="Arial"/>
          <w:b w:val="0"/>
          <w:sz w:val="18"/>
        </w:rPr>
        <w:t>• Qualified CenterLead rate</w:t>
      </w:r>
    </w:p>
    <w:p>
      <w:pPr/>
      <w:r>
        <w:rPr>
          <w:rFonts w:ascii="Arial" w:hAnsi="Arial"/>
          <w:b w:val="0"/>
          <w:sz w:val="18"/>
        </w:rPr>
        <w:t>• Claim rate</w:t>
      </w:r>
    </w:p>
    <w:p>
      <w:pPr/>
      <w:r>
        <w:rPr>
          <w:rFonts w:ascii="Arial" w:hAnsi="Arial"/>
          <w:b w:val="0"/>
          <w:sz w:val="18"/>
        </w:rPr>
        <w:t>• Referral activation</w:t>
      </w:r>
    </w:p>
    <w:p>
      <w:pPr/>
      <w:r>
        <w:rPr>
          <w:rFonts w:ascii="Arial" w:hAnsi="Arial"/>
          <w:b w:val="0"/>
          <w:sz w:val="18"/>
        </w:rPr>
        <w:t>• Attribution disputes</w:t>
      </w:r>
    </w:p>
    <w:p>
      <w:pPr/>
      <w:r>
        <w:rPr>
          <w:rFonts w:ascii="Arial" w:hAnsi="Arial"/>
          <w:b w:val="0"/>
          <w:sz w:val="18"/>
        </w:rPr>
        <w:t>• Time to first published activity</w:t>
      </w:r>
    </w:p>
    <w:p>
      <w:pPr>
        <w:pStyle w:val="Heading2"/>
      </w:pPr>
      <w:r>
        <w:t>Change Request collegate</w:t>
      </w:r>
    </w:p>
    <w:p>
      <w:r>
        <w:t>• ACR-004 Center registry + lead dedupe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8FAFC"/>
          </w:tcPr>
          <w:p>
            <w:r/>
            <w:r>
              <w:rPr>
                <w:rFonts w:ascii="Arial" w:hAnsi="Arial"/>
                <w:b w:val="0"/>
                <w:sz w:val="17"/>
              </w:rPr>
              <w:t>Criterio di accettazione schermata</w:t>
              <w:br/>
              <w:t>CenterLead, CenterClaim, PartnerVerification, Partner attivo e attività pubblicata sono stati distinti; attribution e incentivi non creano listing pubblico anticipato.</w:t>
            </w:r>
          </w:p>
        </w:tc>
      </w:tr>
    </w:tbl>
    <w:p/>
    <w:p>
      <w:r>
        <w:br w:type="page"/>
      </w:r>
    </w:p>
    <w:p>
      <w:pPr>
        <w:pStyle w:val="Heading1"/>
      </w:pPr>
      <w:r>
        <w:t>Audit schermata - Catalogo Attività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Campo</w:t>
            </w:r>
          </w:p>
        </w:tc>
        <w:tc>
          <w:tcPr>
            <w:tcW w:type="dxa" w:w="6803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Valutazione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Route / Area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/admin/activities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Ruolo primario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Governance qualità offerta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Responsabilità target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Validare contenuti, categorie, età, settimane, pricing e pubblicazione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Attori coinvolti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Admin Content/Ops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Correlazione ecosistema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Impatto diretto su ricerca Parent e conversione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Criticità principale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Moderazione non basata su checklist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Rischio operativo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Offerta incoerente e bassa fiducia</w:t>
            </w:r>
          </w:p>
        </w:tc>
      </w:tr>
    </w:tbl>
    <w:p/>
    <w:p>
      <w:pPr>
        <w:pStyle w:val="Heading2"/>
      </w:pPr>
      <w:r>
        <w:t>KPI da monitorare</w:t>
      </w:r>
    </w:p>
    <w:p>
      <w:r>
        <w:t>• Activities pending review</w:t>
      </w:r>
    </w:p>
    <w:p>
      <w:r>
        <w:t>• Quality score</w:t>
      </w:r>
    </w:p>
    <w:p>
      <w:r>
        <w:t>• Search defects</w:t>
      </w:r>
    </w:p>
    <w:p>
      <w:pPr>
        <w:pStyle w:val="Heading2"/>
      </w:pPr>
      <w:r>
        <w:t>Change Request collegate</w:t>
      </w:r>
    </w:p>
    <w:p>
      <w:r>
        <w:t>• ACR-005 Activity quality workflow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8FAFC"/>
          </w:tcPr>
          <w:p>
            <w:r>
              <w:rPr>
                <w:b/>
                <w:color w:val="172033"/>
                <w:sz w:val="20"/>
              </w:rPr>
              <w:t>Criterio di accettazione schermata</w:t>
              <w:br/>
            </w:r>
            <w:r>
              <w:rPr>
                <w:sz w:val="18"/>
              </w:rPr>
              <w:t>Nessuna attività va online senza quality score minimo.</w:t>
            </w:r>
          </w:p>
        </w:tc>
      </w:tr>
    </w:tbl>
    <w:p/>
    <w:p>
      <w:r>
        <w:br w:type="page"/>
      </w:r>
    </w:p>
    <w:p>
      <w:pPr>
        <w:pStyle w:val="Heading1"/>
      </w:pPr>
      <w:r>
        <w:t>Audit schermata - Dettaglio Attività Admin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Campo</w:t>
            </w:r>
          </w:p>
        </w:tc>
        <w:tc>
          <w:tcPr>
            <w:tcW w:type="dxa" w:w="6803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Valutazione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Route / Area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/admin/activities/:id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Ruolo primario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Controllo puntuale offerta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Responsabilità target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Audit, correzioni controllate, storico modifiche e preview Parent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Attori coinvolti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Admin, Partner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Correlazione ecosistema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Allinea Partner con esperienza Parent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Criticità principale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Modifica diretta può bypassare Partner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Rischio operativo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Conflitti di ownership</w:t>
            </w:r>
          </w:p>
        </w:tc>
      </w:tr>
    </w:tbl>
    <w:p/>
    <w:p>
      <w:pPr>
        <w:pStyle w:val="Heading2"/>
      </w:pPr>
      <w:r>
        <w:t>KPI da monitorare</w:t>
      </w:r>
    </w:p>
    <w:p>
      <w:r>
        <w:t>• Admin edits</w:t>
      </w:r>
    </w:p>
    <w:p>
      <w:r>
        <w:t>• Partner corrections</w:t>
      </w:r>
    </w:p>
    <w:p>
      <w:r>
        <w:t>• Re-review rate</w:t>
      </w:r>
    </w:p>
    <w:p>
      <w:pPr>
        <w:pStyle w:val="Heading2"/>
      </w:pPr>
      <w:r>
        <w:t>Change Request collegate</w:t>
      </w:r>
    </w:p>
    <w:p>
      <w:r>
        <w:t>• ACR-006 Governed edits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8FAFC"/>
          </w:tcPr>
          <w:p>
            <w:r>
              <w:rPr>
                <w:b/>
                <w:color w:val="172033"/>
                <w:sz w:val="20"/>
              </w:rPr>
              <w:t>Criterio di accettazione schermata</w:t>
              <w:br/>
            </w:r>
            <w:r>
              <w:rPr>
                <w:sz w:val="18"/>
              </w:rPr>
              <w:t>Ogni modifica Admin ha motivazione e notifica quando impatta Partner.</w:t>
            </w:r>
          </w:p>
        </w:tc>
      </w:tr>
    </w:tbl>
    <w:p/>
    <w:p>
      <w:r>
        <w:br w:type="page"/>
      </w:r>
    </w:p>
    <w:p>
      <w:pPr>
        <w:pStyle w:val="Heading1"/>
      </w:pPr>
      <w:r>
        <w:t>Audit schermata - Prenotazioni Admin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Campo</w:t>
            </w:r>
          </w:p>
        </w:tc>
        <w:tc>
          <w:tcPr>
            <w:tcW w:type="dxa" w:w="6803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Valutazione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Route / Area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/admin/bookings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Ruolo primario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Supervisione transazioni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Responsabilità target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Monitorare stati, anomalie, cancellazioni e supporto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Attori coinvolti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Admin Ops/Support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Correlazione ecosistema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Parent e Partner condividono stato booking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Criticità principale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Manca vista eccezioni prioritaria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Rischio operativo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Booking bloccati e perdita fiducia</w:t>
            </w:r>
          </w:p>
        </w:tc>
      </w:tr>
    </w:tbl>
    <w:p/>
    <w:p>
      <w:pPr>
        <w:pStyle w:val="Heading2"/>
      </w:pPr>
      <w:r>
        <w:t>KPI da monitorare</w:t>
      </w:r>
    </w:p>
    <w:p>
      <w:r>
        <w:t>• Stuck bookings</w:t>
      </w:r>
    </w:p>
    <w:p>
      <w:r>
        <w:t>• Disputes</w:t>
      </w:r>
    </w:p>
    <w:p>
      <w:r>
        <w:t>• Admin interventions</w:t>
      </w:r>
    </w:p>
    <w:p>
      <w:pPr>
        <w:pStyle w:val="Heading2"/>
      </w:pPr>
      <w:r>
        <w:t>Change Request collegate</w:t>
      </w:r>
    </w:p>
    <w:p>
      <w:r>
        <w:t>• ACR-007 Booking operations queue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8FAFC"/>
          </w:tcPr>
          <w:p>
            <w:r>
              <w:rPr>
                <w:b/>
                <w:color w:val="172033"/>
                <w:sz w:val="20"/>
              </w:rPr>
              <w:t>Criterio di accettazione schermata</w:t>
              <w:br/>
            </w:r>
            <w:r>
              <w:rPr>
                <w:sz w:val="18"/>
              </w:rPr>
              <w:t>La vista ordina le prenotazioni per rischio operativo e SLA.</w:t>
            </w:r>
          </w:p>
        </w:tc>
      </w:tr>
    </w:tbl>
    <w:p/>
    <w:p>
      <w:r>
        <w:br w:type="page"/>
      </w:r>
    </w:p>
    <w:p>
      <w:pPr>
        <w:pStyle w:val="Heading1"/>
      </w:pPr>
      <w:r>
        <w:t>Audit schermata - Richieste / Lead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Campo</w:t>
            </w:r>
          </w:p>
        </w:tc>
        <w:tc>
          <w:tcPr>
            <w:tcW w:type="dxa" w:w="6803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Valutazione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Route / Area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/admin/requests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Ruolo primario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Monitor domanda non convertita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Responsabilità target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Controllare richieste verso partner e suggerimenti centri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Attori coinvolti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Admin commerciale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Correlazione ecosistema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Parent genera domanda; Partner converte o perde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Criticità principale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Richieste e lead supply possono confondersi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Rischio operativo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Pipeline non misurabile</w:t>
            </w:r>
          </w:p>
        </w:tc>
      </w:tr>
    </w:tbl>
    <w:p/>
    <w:p>
      <w:pPr>
        <w:pStyle w:val="Heading2"/>
      </w:pPr>
      <w:r>
        <w:t>KPI da monitorare</w:t>
      </w:r>
    </w:p>
    <w:p>
      <w:r>
        <w:t>• Request SLA</w:t>
      </w:r>
    </w:p>
    <w:p>
      <w:r>
        <w:t>• Lead conversion</w:t>
      </w:r>
    </w:p>
    <w:p>
      <w:r>
        <w:t>• Lost demand</w:t>
      </w:r>
    </w:p>
    <w:p>
      <w:pPr>
        <w:pStyle w:val="Heading2"/>
      </w:pPr>
      <w:r>
        <w:t>Change Request collegate</w:t>
      </w:r>
    </w:p>
    <w:p>
      <w:r>
        <w:t>• ACR-008 Demand and supply queues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8FAFC"/>
          </w:tcPr>
          <w:p>
            <w:r>
              <w:rPr>
                <w:b/>
                <w:color w:val="172033"/>
                <w:sz w:val="20"/>
              </w:rPr>
              <w:t>Criterio di accettazione schermata</w:t>
              <w:br/>
            </w:r>
            <w:r>
              <w:rPr>
                <w:sz w:val="18"/>
              </w:rPr>
              <w:t>Richieste famiglia e lead centro sono code distinte ma correlate.</w:t>
            </w:r>
          </w:p>
        </w:tc>
      </w:tr>
    </w:tbl>
    <w:p/>
    <w:p>
      <w:r>
        <w:br w:type="page"/>
      </w:r>
    </w:p>
    <w:p>
      <w:pPr>
        <w:pStyle w:val="Heading1"/>
      </w:pPr>
      <w:r>
        <w:t>Audit schermata - Utenti e Famiglie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Campo</w:t>
            </w:r>
          </w:p>
        </w:tc>
        <w:tc>
          <w:tcPr>
            <w:tcW w:type="dxa" w:w="6803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Valutazione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Route / Area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/admin/families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Ruolo primario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Supporto account Parent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Responsabilità target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Assistenza, stato account, consenso, anomalie e beta cohort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Attori coinvolti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Admin Support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Correlazione ecosistema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Parent e feedback beta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Criticità principale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Accesso dati sensibili non minimizzato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Rischio operativo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Privacy e abuso interno</w:t>
            </w:r>
          </w:p>
        </w:tc>
      </w:tr>
    </w:tbl>
    <w:p/>
    <w:p>
      <w:pPr>
        <w:pStyle w:val="Heading2"/>
      </w:pPr>
      <w:r>
        <w:t>KPI da monitorare</w:t>
      </w:r>
    </w:p>
    <w:p>
      <w:r>
        <w:t>• Support cases</w:t>
      </w:r>
    </w:p>
    <w:p>
      <w:r>
        <w:t>• Data access events</w:t>
      </w:r>
    </w:p>
    <w:p>
      <w:r>
        <w:t>• Consent issues</w:t>
      </w:r>
    </w:p>
    <w:p>
      <w:pPr>
        <w:pStyle w:val="Heading2"/>
      </w:pPr>
      <w:r>
        <w:t>Change Request collegate</w:t>
      </w:r>
    </w:p>
    <w:p>
      <w:r>
        <w:t>• ACR-009 Family support permissions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8FAFC"/>
          </w:tcPr>
          <w:p>
            <w:r>
              <w:rPr>
                <w:b/>
                <w:color w:val="172033"/>
                <w:sz w:val="20"/>
              </w:rPr>
              <w:t>Criterio di accettazione schermata</w:t>
              <w:br/>
            </w:r>
            <w:r>
              <w:rPr>
                <w:sz w:val="18"/>
              </w:rPr>
              <w:t>Accesso ai dati famiglia è profilato e tracciato.</w:t>
            </w:r>
          </w:p>
        </w:tc>
      </w:tr>
    </w:tbl>
    <w:p/>
    <w:p>
      <w:r>
        <w:br w:type="page"/>
      </w:r>
    </w:p>
    <w:p>
      <w:pPr>
        <w:pStyle w:val="Heading1"/>
      </w:pPr>
      <w:r>
        <w:t>Audit schermata - Pagamenti / Commissioni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Campo</w:t>
            </w:r>
          </w:p>
        </w:tc>
        <w:tc>
          <w:tcPr>
            <w:tcW w:type="dxa" w:w="6803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Valutazione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Route / Area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/admin/payments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Ruolo primario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Governance economica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Responsabilità target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Commissioni, payout, fee, rimborsi e riconciliazioni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Attori coinvolti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Admin Finance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Correlazione ecosistema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Partner ricavi; Parent pagamenti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Criticità principale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Commissioni non collegate a booking states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Rischio operativo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Disallineamento economico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Incentivi referral</w:t>
            </w:r>
          </w:p>
        </w:tc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Configurare 5% standard / 3% agevolato, durata 12 mesi o 50 booking, target e cause di revoca.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Reward Genitore</w:t>
            </w:r>
          </w:p>
        </w:tc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10% fino a 25 euro sul primo booking confermato con il centro referral, scadenza 6 mesi; nel beta può essere shadow/manuale.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Ledger</w:t>
            </w:r>
          </w:p>
        </w:tc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Eligibility, earned, issued, redeemed, expired, suspended e reversed derivano da eventi tracciati.</w:t>
            </w:r>
          </w:p>
        </w:tc>
      </w:tr>
    </w:tbl>
    <w:p/>
    <w:p>
      <w:pPr>
        <w:pStyle w:val="Heading2"/>
      </w:pPr>
      <w:r>
        <w:t>KPI da monitorare</w:t>
      </w:r>
    </w:p>
    <w:p>
      <w:pPr/>
      <w:r>
        <w:rPr>
          <w:rFonts w:ascii="Arial" w:hAnsi="Arial"/>
          <w:b w:val="0"/>
          <w:sz w:val="18"/>
        </w:rPr>
        <w:t>• Commission accuracy</w:t>
      </w:r>
    </w:p>
    <w:p>
      <w:pPr/>
      <w:r>
        <w:rPr>
          <w:rFonts w:ascii="Arial" w:hAnsi="Arial"/>
          <w:b w:val="0"/>
          <w:sz w:val="18"/>
        </w:rPr>
        <w:t>• Referral incentive eligibility</w:t>
      </w:r>
    </w:p>
    <w:p>
      <w:pPr/>
      <w:r>
        <w:rPr>
          <w:rFonts w:ascii="Arial" w:hAnsi="Arial"/>
          <w:b w:val="0"/>
          <w:sz w:val="18"/>
        </w:rPr>
        <w:t>• Reward issued/redeemed</w:t>
      </w:r>
    </w:p>
    <w:p>
      <w:pPr/>
      <w:r>
        <w:rPr>
          <w:rFonts w:ascii="Arial" w:hAnsi="Arial"/>
          <w:b w:val="0"/>
          <w:sz w:val="18"/>
        </w:rPr>
        <w:t>• Incentive quality compliance</w:t>
      </w:r>
    </w:p>
    <w:p>
      <w:pPr/>
      <w:r>
        <w:rPr>
          <w:rFonts w:ascii="Arial" w:hAnsi="Arial"/>
          <w:b w:val="0"/>
          <w:sz w:val="18"/>
        </w:rPr>
        <w:t>• Reversal/fraud rate</w:t>
      </w:r>
    </w:p>
    <w:p>
      <w:pPr/>
      <w:r>
        <w:rPr>
          <w:rFonts w:ascii="Arial" w:hAnsi="Arial"/>
          <w:b w:val="0"/>
          <w:sz w:val="18"/>
        </w:rPr>
        <w:t>• Reconciliation errors</w:t>
      </w:r>
    </w:p>
    <w:p>
      <w:pPr>
        <w:pStyle w:val="Heading2"/>
      </w:pPr>
      <w:r>
        <w:t>Change Request collegate</w:t>
      </w:r>
    </w:p>
    <w:p>
      <w:r>
        <w:t>• ACR-010 Commercial ledger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8FAFC"/>
          </w:tcPr>
          <w:p>
            <w:r/>
            <w:r>
              <w:rPr>
                <w:rFonts w:ascii="Arial" w:hAnsi="Arial"/>
                <w:b w:val="0"/>
                <w:sz w:val="17"/>
              </w:rPr>
              <w:t>Criterio di accettazione schermata</w:t>
              <w:br/>
              <w:t>Commissioni e reward derivano da booking e referral events; regole, soglie, versioni, sospensioni, scadenze e reversal sono riconciliabili.</w:t>
            </w:r>
          </w:p>
        </w:tc>
      </w:tr>
    </w:tbl>
    <w:p/>
    <w:p>
      <w:r>
        <w:br w:type="page"/>
      </w:r>
    </w:p>
    <w:p>
      <w:pPr>
        <w:pStyle w:val="Heading1"/>
      </w:pPr>
      <w:r>
        <w:t>Audit schermata - Servizi Extra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Campo</w:t>
            </w:r>
          </w:p>
        </w:tc>
        <w:tc>
          <w:tcPr>
            <w:tcW w:type="dxa" w:w="6803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Valutazione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Route / Area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/admin/services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Ruolo primario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Marketplace B2B extra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Responsabilità target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Configurare catering, navette, pre/post e offerte ai centri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Attori coinvolti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Admin BizDev, Partner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Correlazione ecosistema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Partner attiva; Parent compra/vede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Criticità principale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Servizi extra non modellati come offerta B2B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Rischio operativo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Operazioni manuali e promesse non scalabili</w:t>
            </w:r>
          </w:p>
        </w:tc>
      </w:tr>
    </w:tbl>
    <w:p/>
    <w:p>
      <w:pPr>
        <w:pStyle w:val="Heading2"/>
      </w:pPr>
      <w:r>
        <w:t>KPI da monitorare</w:t>
      </w:r>
    </w:p>
    <w:p>
      <w:r>
        <w:t>• Service adoption</w:t>
      </w:r>
    </w:p>
    <w:p>
      <w:r>
        <w:t>• Attach rate</w:t>
      </w:r>
    </w:p>
    <w:p>
      <w:r>
        <w:t>• Service incidents</w:t>
      </w:r>
    </w:p>
    <w:p>
      <w:pPr>
        <w:pStyle w:val="Heading2"/>
      </w:pPr>
      <w:r>
        <w:t>Change Request collegate</w:t>
      </w:r>
    </w:p>
    <w:p>
      <w:r>
        <w:t>• ACR-011 Extra service 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8FAFC"/>
          </w:tcPr>
          <w:p>
            <w:r>
              <w:rPr>
                <w:b/>
                <w:color w:val="172033"/>
                <w:sz w:val="20"/>
              </w:rPr>
              <w:t>Criterio di accettazione schermata</w:t>
              <w:br/>
            </w:r>
            <w:r>
              <w:rPr>
                <w:sz w:val="18"/>
              </w:rPr>
              <w:t>Servizi hanno provider, condizioni, aree, SLA e visibilità configurabili.</w:t>
            </w:r>
          </w:p>
        </w:tc>
      </w:tr>
    </w:tbl>
    <w:p/>
    <w:p>
      <w:r>
        <w:br w:type="page"/>
      </w:r>
    </w:p>
    <w:p>
      <w:pPr>
        <w:pStyle w:val="Heading1"/>
      </w:pPr>
      <w:r>
        <w:t>Audit schermata - Fornitori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Campo</w:t>
            </w:r>
          </w:p>
        </w:tc>
        <w:tc>
          <w:tcPr>
            <w:tcW w:type="dxa" w:w="6803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Valutazione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Route / Area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/admin/suppliers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Ruolo primario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Gestione supplier ecosystem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Responsabilità target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Onboarding, copertura, listini e SLA fornitori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Attori coinvolti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Admin BizDev/Ops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Correlazione ecosistema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Supporta servizi extra per Partner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Criticità principale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Fornitore non collegato a servizio e area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Rischio operativo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Catering/navetta non erogabile</w:t>
            </w:r>
          </w:p>
        </w:tc>
      </w:tr>
    </w:tbl>
    <w:p/>
    <w:p>
      <w:pPr>
        <w:pStyle w:val="Heading2"/>
      </w:pPr>
      <w:r>
        <w:t>KPI da monitorare</w:t>
      </w:r>
    </w:p>
    <w:p>
      <w:r>
        <w:t>• Supplier coverage</w:t>
      </w:r>
    </w:p>
    <w:p>
      <w:r>
        <w:t>• SLA breaches</w:t>
      </w:r>
    </w:p>
    <w:p>
      <w:r>
        <w:t>• Active suppliers</w:t>
      </w:r>
    </w:p>
    <w:p>
      <w:pPr>
        <w:pStyle w:val="Heading2"/>
      </w:pPr>
      <w:r>
        <w:t>Change Request collegate</w:t>
      </w:r>
    </w:p>
    <w:p>
      <w:r>
        <w:t>• ACR-012 Supplier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8FAFC"/>
          </w:tcPr>
          <w:p>
            <w:r>
              <w:rPr>
                <w:b/>
                <w:color w:val="172033"/>
                <w:sz w:val="20"/>
              </w:rPr>
              <w:t>Criterio di accettazione schermata</w:t>
              <w:br/>
            </w:r>
            <w:r>
              <w:rPr>
                <w:sz w:val="18"/>
              </w:rPr>
              <w:t>Un servizio extra non è proponibile senza fornitore e area validi.</w:t>
            </w:r>
          </w:p>
        </w:tc>
      </w:tr>
    </w:tbl>
    <w:p/>
    <w:p>
      <w:r>
        <w:br w:type="page"/>
      </w:r>
    </w:p>
    <w:p>
      <w:pPr>
        <w:pStyle w:val="Heading1"/>
      </w:pPr>
      <w:r>
        <w:t>Audit schermata - Tassonomie / Contenuti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Campo</w:t>
            </w:r>
          </w:p>
        </w:tc>
        <w:tc>
          <w:tcPr>
            <w:tcW w:type="dxa" w:w="6803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Valutazione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Route / Area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/admin/taxonomies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Ruolo primario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Regole catalogo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Responsabilità target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Gestire categorie, età, tag, stagioni, servizi e copy standard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Attori coinvolti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Admin Product/Content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Correlazione ecosistema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Parent ricerca; Partner creazione attività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Criticità principale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Tassonomie hardcoded o duplicate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Rischio operativo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Ricerca incoerente</w:t>
            </w:r>
          </w:p>
        </w:tc>
      </w:tr>
    </w:tbl>
    <w:p/>
    <w:p>
      <w:pPr>
        <w:pStyle w:val="Heading2"/>
      </w:pPr>
      <w:r>
        <w:t>KPI da monitorare</w:t>
      </w:r>
    </w:p>
    <w:p>
      <w:r>
        <w:t>• Taxonomy usage</w:t>
      </w:r>
    </w:p>
    <w:p>
      <w:r>
        <w:t>• Unmapped activities</w:t>
      </w:r>
    </w:p>
    <w:p>
      <w:r>
        <w:t>• Filter conversion</w:t>
      </w:r>
    </w:p>
    <w:p>
      <w:pPr>
        <w:pStyle w:val="Heading2"/>
      </w:pPr>
      <w:r>
        <w:t>Change Request collegate</w:t>
      </w:r>
    </w:p>
    <w:p>
      <w:r>
        <w:t>• ACR-013 Taxonomy governance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8FAFC"/>
          </w:tcPr>
          <w:p>
            <w:r>
              <w:rPr>
                <w:b/>
                <w:color w:val="172033"/>
                <w:sz w:val="20"/>
              </w:rPr>
              <w:t>Criterio di accettazione schermata</w:t>
              <w:br/>
            </w:r>
            <w:r>
              <w:rPr>
                <w:sz w:val="18"/>
              </w:rPr>
              <w:t>Tutte le categorie usate da Partner sono governate da Admin.</w:t>
            </w:r>
          </w:p>
        </w:tc>
      </w:tr>
    </w:tbl>
    <w:p/>
    <w:p>
      <w:r>
        <w:br w:type="page"/>
      </w:r>
    </w:p>
    <w:p>
      <w:pPr>
        <w:pStyle w:val="Heading1"/>
      </w:pPr>
      <w:r>
        <w:t>Audit schermata - Analytics Ecosistema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Campo</w:t>
            </w:r>
          </w:p>
        </w:tc>
        <w:tc>
          <w:tcPr>
            <w:tcW w:type="dxa" w:w="6803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Valutazione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Route / Area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/admin/analytics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Ruolo primario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Osservabilità marketplace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Responsabilità target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Misurare supply, demand, conversione, qualità, stagionalità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Attori coinvolti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Admin, Product, Business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Correlazione ecosistema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Tutti i portali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Criticità principale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Metriche non collegate a decisioni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Rischio operativo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Roadmap guidata da impressioni</w:t>
            </w:r>
          </w:p>
        </w:tc>
      </w:tr>
    </w:tbl>
    <w:p/>
    <w:p>
      <w:pPr>
        <w:pStyle w:val="Heading2"/>
      </w:pPr>
      <w:r>
        <w:t>KPI da monitorare</w:t>
      </w:r>
    </w:p>
    <w:p>
      <w:r>
        <w:t>• North Star</w:t>
      </w:r>
    </w:p>
    <w:p>
      <w:r>
        <w:t>• Supply activation</w:t>
      </w:r>
    </w:p>
    <w:p>
      <w:r>
        <w:t>• Booking conversion</w:t>
      </w:r>
    </w:p>
    <w:p>
      <w:pPr>
        <w:pStyle w:val="Heading2"/>
      </w:pPr>
      <w:r>
        <w:t>Change Request collegate</w:t>
      </w:r>
    </w:p>
    <w:p>
      <w:r>
        <w:t>• ACR-014 Ecosystem analytics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8FAFC"/>
          </w:tcPr>
          <w:p>
            <w:r>
              <w:rPr>
                <w:b/>
                <w:color w:val="172033"/>
                <w:sz w:val="20"/>
              </w:rPr>
              <w:t>Criterio di accettazione schermata</w:t>
              <w:br/>
            </w:r>
            <w:r>
              <w:rPr>
                <w:sz w:val="18"/>
              </w:rPr>
              <w:t>Ogni dashboard ha owner, frequenza e decisione collegata.</w:t>
            </w:r>
          </w:p>
        </w:tc>
      </w:tr>
    </w:tbl>
    <w:p/>
    <w:p>
      <w:r>
        <w:br w:type="page"/>
      </w:r>
    </w:p>
    <w:p>
      <w:pPr>
        <w:pStyle w:val="Heading1"/>
      </w:pPr>
      <w:r>
        <w:t>Audit schermata - Support Tickets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Campo</w:t>
            </w:r>
          </w:p>
        </w:tc>
        <w:tc>
          <w:tcPr>
            <w:tcW w:type="dxa" w:w="6803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Valutazione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Route / Area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/admin/support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Ruolo primario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Gestione assistenza multi-portale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Responsabilità target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Triage feedback, bug, supporto Parent e Partner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Attori coinvolti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Admin Support/Product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Correlazione ecosistema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Floating CTA beta e Partner support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Criticità principale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Ticket non contestualizzati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Rischio operativo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Bassa actionability</w:t>
            </w:r>
          </w:p>
        </w:tc>
      </w:tr>
    </w:tbl>
    <w:p/>
    <w:p>
      <w:pPr>
        <w:pStyle w:val="Heading2"/>
      </w:pPr>
      <w:r>
        <w:t>KPI da monitorare</w:t>
      </w:r>
    </w:p>
    <w:p>
      <w:r>
        <w:t>• Triage time</w:t>
      </w:r>
    </w:p>
    <w:p>
      <w:r>
        <w:t>• Actionability rate</w:t>
      </w:r>
    </w:p>
    <w:p>
      <w:r>
        <w:t>• Reopen rate</w:t>
      </w:r>
    </w:p>
    <w:p>
      <w:pPr>
        <w:pStyle w:val="Heading2"/>
      </w:pPr>
      <w:r>
        <w:t>Change Request collegate</w:t>
      </w:r>
    </w:p>
    <w:p>
      <w:r>
        <w:t>• ACR-015 Unified support queue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8FAFC"/>
          </w:tcPr>
          <w:p>
            <w:r>
              <w:rPr>
                <w:b/>
                <w:color w:val="172033"/>
                <w:sz w:val="20"/>
              </w:rPr>
              <w:t>Criterio di accettazione schermata</w:t>
              <w:br/>
            </w:r>
            <w:r>
              <w:rPr>
                <w:sz w:val="18"/>
              </w:rPr>
              <w:t>Ogni ticket è collegato a route, utente, dominio e severità.</w:t>
            </w:r>
          </w:p>
        </w:tc>
      </w:tr>
    </w:tbl>
    <w:p/>
    <w:p>
      <w:r>
        <w:br w:type="page"/>
      </w:r>
    </w:p>
    <w:p>
      <w:pPr>
        <w:pStyle w:val="Heading1"/>
      </w:pPr>
      <w:r>
        <w:t>Audit schermata - Feedback Beta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Campo</w:t>
            </w:r>
          </w:p>
        </w:tc>
        <w:tc>
          <w:tcPr>
            <w:tcW w:type="dxa" w:w="6803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Valutazione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Route / Area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/admin/beta-feedback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Ruolo primario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Product discovery contestuale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Responsabilità target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Gestire segnalazioni beta da floating CTA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Attori coinvolti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Product, Admin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Correlazione ecosistema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Parent/Partner/Admin beta feedback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Criticità principale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Feedback non trasformato in backlog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Rischio operativo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Perdita apprendimento clienti amici</w:t>
            </w:r>
          </w:p>
        </w:tc>
      </w:tr>
    </w:tbl>
    <w:p/>
    <w:p>
      <w:pPr>
        <w:pStyle w:val="Heading2"/>
      </w:pPr>
      <w:r>
        <w:t>KPI da monitorare</w:t>
      </w:r>
    </w:p>
    <w:p>
      <w:r>
        <w:t>• Feedback actionability</w:t>
      </w:r>
    </w:p>
    <w:p>
      <w:r>
        <w:t>• Feedback to CR</w:t>
      </w:r>
    </w:p>
    <w:p>
      <w:r>
        <w:t>• Median triage</w:t>
      </w:r>
    </w:p>
    <w:p>
      <w:pPr>
        <w:pStyle w:val="Heading2"/>
      </w:pPr>
      <w:r>
        <w:t>Change Request collegate</w:t>
      </w:r>
    </w:p>
    <w:p>
      <w:r>
        <w:t>• ACR-016 Beta feedback triage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8FAFC"/>
          </w:tcPr>
          <w:p>
            <w:r>
              <w:rPr>
                <w:b/>
                <w:color w:val="172033"/>
                <w:sz w:val="20"/>
              </w:rPr>
              <w:t>Criterio di accettazione schermata</w:t>
              <w:br/>
            </w:r>
            <w:r>
              <w:rPr>
                <w:sz w:val="18"/>
              </w:rPr>
              <w:t>Ogni feedback viene classificato entro SLA e legato a bug/CR/decisione.</w:t>
            </w:r>
          </w:p>
        </w:tc>
      </w:tr>
    </w:tbl>
    <w:p/>
    <w:p>
      <w:r>
        <w:br w:type="page"/>
      </w:r>
    </w:p>
    <w:p>
      <w:pPr>
        <w:pStyle w:val="Heading1"/>
      </w:pPr>
      <w:r>
        <w:t>Audit schermata - Configurazione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Campo</w:t>
            </w:r>
          </w:p>
        </w:tc>
        <w:tc>
          <w:tcPr>
            <w:tcW w:type="dxa" w:w="6803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Valutazione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Route / Area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/admin/settings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Ruolo primario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Feature flag e parametri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Responsabilità target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Controllare feature beta, ruoli, soglie e parametri marketplace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Attori coinvolti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Admin Superuser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Correlazione ecosistema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Tutti i portali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Criticità principale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Configurazioni critiche senza governance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Rischio operativo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Rotture applicative o esposizione errata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Trust configuration</w:t>
            </w:r>
          </w:p>
        </w:tc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Driver, pesi, soglie, versioni, livelli e date di efficacia.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Referral configuration</w:t>
            </w:r>
          </w:p>
        </w:tc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Reward, cap, durata, first-qualified attribution, target Partner, cumulabilità e budget.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Feature flags</w:t>
            </w:r>
          </w:p>
        </w:tc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Rollout per coorte di onboarding, walkthrough, trust, livelli e incentivi con rollback.</w:t>
            </w:r>
          </w:p>
        </w:tc>
      </w:tr>
    </w:tbl>
    <w:p/>
    <w:p>
      <w:pPr>
        <w:pStyle w:val="Heading2"/>
      </w:pPr>
      <w:r>
        <w:t>KPI da monitorare</w:t>
      </w:r>
    </w:p>
    <w:p>
      <w:pPr/>
      <w:r>
        <w:rPr>
          <w:rFonts w:ascii="Arial" w:hAnsi="Arial"/>
          <w:b w:val="0"/>
          <w:sz w:val="18"/>
        </w:rPr>
        <w:t>• Trust rule versions</w:t>
      </w:r>
    </w:p>
    <w:p>
      <w:pPr/>
      <w:r>
        <w:rPr>
          <w:rFonts w:ascii="Arial" w:hAnsi="Arial"/>
          <w:b w:val="0"/>
          <w:sz w:val="18"/>
        </w:rPr>
        <w:t>• Config changes with approval</w:t>
      </w:r>
    </w:p>
    <w:p>
      <w:pPr/>
      <w:r>
        <w:rPr>
          <w:rFonts w:ascii="Arial" w:hAnsi="Arial"/>
          <w:b w:val="0"/>
          <w:sz w:val="18"/>
        </w:rPr>
        <w:t>• Feature flag rollback time</w:t>
      </w:r>
    </w:p>
    <w:p>
      <w:pPr/>
      <w:r>
        <w:rPr>
          <w:rFonts w:ascii="Arial" w:hAnsi="Arial"/>
          <w:b w:val="0"/>
          <w:sz w:val="18"/>
        </w:rPr>
        <w:t>• Referral budget consumption</w:t>
      </w:r>
    </w:p>
    <w:p>
      <w:pPr/>
      <w:r>
        <w:rPr>
          <w:rFonts w:ascii="Arial" w:hAnsi="Arial"/>
          <w:b w:val="0"/>
          <w:sz w:val="18"/>
        </w:rPr>
        <w:t>• Configuration incidents</w:t>
      </w:r>
    </w:p>
    <w:p>
      <w:pPr>
        <w:pStyle w:val="Heading2"/>
      </w:pPr>
      <w:r>
        <w:t>Change Request collegate</w:t>
      </w:r>
    </w:p>
    <w:p>
      <w:r>
        <w:t>• ACR-017 Controlled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8FAFC"/>
          </w:tcPr>
          <w:p>
            <w:r/>
            <w:r>
              <w:rPr>
                <w:rFonts w:ascii="Arial" w:hAnsi="Arial"/>
                <w:b w:val="0"/>
                <w:sz w:val="17"/>
              </w:rPr>
              <w:t>Criterio di accettazione schermata</w:t>
              <w:br/>
              <w:t>Pesi Trust, livelli, referral reward, commission tiers e feature flag sono versionati, approvati, auditati e reversibili.</w:t>
            </w:r>
          </w:p>
        </w:tc>
      </w:tr>
    </w:tbl>
    <w:p/>
    <w:p>
      <w:r>
        <w:br w:type="page"/>
      </w:r>
    </w:p>
    <w:p>
      <w:pPr>
        <w:pStyle w:val="Heading1"/>
      </w:pPr>
      <w:r>
        <w:t>Audit schermata - Audit Log / Admin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Campo</w:t>
            </w:r>
          </w:p>
        </w:tc>
        <w:tc>
          <w:tcPr>
            <w:tcW w:type="dxa" w:w="6803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Valutazione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Route / Area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/admin/audit-log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Ruolo primario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Sicurezza e tracciabilità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Responsabilità target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Tracciare azioni sensibili e gestire utenti Admin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Attori coinvolti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Admin Superuser, Security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Correlazione ecosistema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Tutti i domini dati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Criticità principale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Assenza di audit trail completo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Rischio operativo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Compliance e accountability insufficienti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Requisiti PR integrati</w:t>
            </w:r>
          </w:p>
        </w:tc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Audit di review, cambi stato, pesi Trust, livelli, referral attribution, reward, commissioni, configurazioni e impersonation/support access.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Immutabilità</w:t>
            </w:r>
          </w:p>
        </w:tc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Gli eventi non vengono cancellati; eventuali correzioni sono nuovi eventi correlati.</w:t>
            </w:r>
          </w:p>
        </w:tc>
      </w:tr>
    </w:tbl>
    <w:p/>
    <w:p>
      <w:pPr>
        <w:pStyle w:val="Heading2"/>
      </w:pPr>
      <w:r>
        <w:t>KPI da monitorare</w:t>
      </w:r>
    </w:p>
    <w:p>
      <w:pPr/>
      <w:r>
        <w:rPr>
          <w:rFonts w:ascii="Arial" w:hAnsi="Arial"/>
          <w:b w:val="0"/>
          <w:sz w:val="18"/>
        </w:rPr>
        <w:t>• Sensitive actions logged</w:t>
      </w:r>
    </w:p>
    <w:p>
      <w:pPr/>
      <w:r>
        <w:rPr>
          <w:rFonts w:ascii="Arial" w:hAnsi="Arial"/>
          <w:b w:val="0"/>
          <w:sz w:val="18"/>
        </w:rPr>
        <w:t>• Unattributed changes</w:t>
      </w:r>
    </w:p>
    <w:p>
      <w:pPr/>
      <w:r>
        <w:rPr>
          <w:rFonts w:ascii="Arial" w:hAnsi="Arial"/>
          <w:b w:val="0"/>
          <w:sz w:val="18"/>
        </w:rPr>
        <w:t>• Role drift</w:t>
      </w:r>
    </w:p>
    <w:p>
      <w:pPr/>
      <w:r>
        <w:rPr>
          <w:rFonts w:ascii="Arial" w:hAnsi="Arial"/>
          <w:b w:val="0"/>
          <w:sz w:val="18"/>
        </w:rPr>
        <w:t>• Audit query time</w:t>
      </w:r>
    </w:p>
    <w:p>
      <w:pPr/>
      <w:r>
        <w:rPr>
          <w:rFonts w:ascii="Arial" w:hAnsi="Arial"/>
          <w:b w:val="0"/>
          <w:sz w:val="18"/>
        </w:rPr>
        <w:t>• Unauthorized attempts</w:t>
      </w:r>
    </w:p>
    <w:p>
      <w:pPr/>
      <w:r>
        <w:rPr>
          <w:rFonts w:ascii="Arial" w:hAnsi="Arial"/>
          <w:b w:val="0"/>
          <w:sz w:val="18"/>
        </w:rPr>
        <w:t>• Correction events</w:t>
      </w:r>
    </w:p>
    <w:p>
      <w:pPr>
        <w:pStyle w:val="Heading2"/>
      </w:pPr>
      <w:r>
        <w:t>Change Request collegate</w:t>
      </w:r>
    </w:p>
    <w:p>
      <w:r>
        <w:t>• ACR-018 Audit and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8FAFC"/>
          </w:tcPr>
          <w:p>
            <w:r/>
            <w:r>
              <w:rPr>
                <w:rFonts w:ascii="Arial" w:hAnsi="Arial"/>
                <w:b w:val="0"/>
                <w:sz w:val="17"/>
              </w:rPr>
              <w:t>Criterio di accettazione schermata</w:t>
              <w:br/>
              <w:t>Audit Log copre review, Trust config, livelli, referral attribution, incentivi, accessi ai dati e correzioni tramite eventi append-only.</w:t>
            </w:r>
          </w:p>
        </w:tc>
      </w:tr>
    </w:tbl>
    <w:p/>
    <w:p>
      <w:r>
        <w:br w:type="page"/>
      </w:r>
    </w:p>
    <w:p>
      <w:pPr>
        <w:pStyle w:val="Heading1"/>
      </w:pPr>
      <w:r>
        <w:t>3. Journey e processi Admin</w:t>
      </w:r>
    </w:p>
    <w:p>
      <w:r>
        <w:br w:type="page"/>
      </w:r>
    </w:p>
    <w:p>
      <w:pPr>
        <w:pStyle w:val="Heading1"/>
      </w:pPr>
      <w:r>
        <w:t>AJ01 - Approva e attiva partner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Obiettivo</w:t>
              <w:br/>
              <w:t>Garantire un ingresso Partner rapido ma controllato, con review coerente, attivazione guidata e dati Trust utilizzabili senza trasformare Admin in un revisore burocratico.</w:t>
            </w:r>
          </w:p>
        </w:tc>
      </w:tr>
    </w:tbl>
    <w:p/>
    <w:p>
      <w:pPr>
        <w:pStyle w:val="Heading2"/>
      </w:pPr>
      <w:r>
        <w:t>Diagramma AS-IS</w:t>
      </w:r>
    </w:p>
    <w:p>
      <w:r>
        <w:rPr>
          <w:rFonts w:ascii="Courier New" w:hAnsi="Courier New"/>
          <w:b w:val="0"/>
          <w:sz w:val="16"/>
        </w:rPr>
        <w:t>Registrazione Partner → revisione manuale non standard → richieste integrazione non strutturate → approvazione → configurazione Partner non osservabile</w:t>
      </w:r>
    </w:p>
    <w:p>
      <w:pPr>
        <w:pStyle w:val="Heading2"/>
      </w:pPr>
      <w:r>
        <w:t>Diagramma TO-BE</w:t>
      </w:r>
    </w:p>
    <w:p>
      <w:r>
        <w:rPr>
          <w:rFonts w:ascii="Courier New" w:hAnsi="Courier New"/>
          <w:b w:val="0"/>
          <w:sz w:val="16"/>
        </w:rPr>
        <w:t>Partner Request → Identity Verification → Application Card → Admin Review → approve / changes / review / reject → Audit + Notification → Partner Walkthrough → Checklist → first publish → active → Trust/Level monitoring</w:t>
      </w:r>
    </w:p>
    <w:p>
      <w:pPr>
        <w:pStyle w:val="Heading2"/>
      </w:pPr>
      <w:r>
        <w:t>Business Rules</w:t>
      </w:r>
    </w:p>
    <w:p>
      <w:pPr/>
      <w:r>
        <w:rPr>
          <w:rFonts w:ascii="Arial" w:hAnsi="Arial"/>
          <w:b w:val="0"/>
          <w:sz w:val="18"/>
        </w:rPr>
        <w:t>BR-01-01 La candidatura Admin è una pratica di workflow con stato, non una riga anagrafica.</w:t>
      </w:r>
    </w:p>
    <w:p>
      <w:pPr/>
      <w:r>
        <w:rPr>
          <w:rFonts w:ascii="Arial" w:hAnsi="Arial"/>
          <w:b w:val="0"/>
          <w:sz w:val="18"/>
        </w:rPr>
        <w:t>BR-01-02 Ogni card mostra dati identificativi, completezza, documenti/fonti, data, note e azioni rapide.</w:t>
      </w:r>
    </w:p>
    <w:p>
      <w:pPr/>
      <w:r>
        <w:rPr>
          <w:rFonts w:ascii="Arial" w:hAnsi="Arial"/>
          <w:b w:val="0"/>
          <w:sz w:val="18"/>
        </w:rPr>
        <w:t>BR-01-03 Approva, integrazione, revisione e rifiuto richiedono reason code e AuditEvent.</w:t>
      </w:r>
    </w:p>
    <w:p>
      <w:pPr/>
      <w:r>
        <w:rPr>
          <w:rFonts w:ascii="Arial" w:hAnsi="Arial"/>
          <w:b w:val="0"/>
          <w:sz w:val="18"/>
        </w:rPr>
        <w:t>BR-01-04 Ogni stato determina permessi Partner, comunicazioni e SLA.</w:t>
      </w:r>
    </w:p>
    <w:p>
      <w:pPr/>
      <w:r>
        <w:rPr>
          <w:rFonts w:ascii="Arial" w:hAnsi="Arial"/>
          <w:b w:val="0"/>
          <w:sz w:val="18"/>
        </w:rPr>
        <w:t>BR-01-05 La verifica AI non viene eseguita nel MVP; l’architettura supporta fonti e adapter futuri.</w:t>
      </w:r>
    </w:p>
    <w:p>
      <w:pPr/>
      <w:r>
        <w:rPr>
          <w:rFonts w:ascii="Arial" w:hAnsi="Arial"/>
          <w:b w:val="0"/>
          <w:sz w:val="18"/>
        </w:rPr>
        <w:t>BR-01-06 L’approvazione abilita il walkthrough ma non rende automaticamente pubblicabile un’attività incompleta.</w:t>
      </w:r>
    </w:p>
    <w:p>
      <w:pPr/>
      <w:r>
        <w:rPr>
          <w:rFonts w:ascii="Arial" w:hAnsi="Arial"/>
          <w:b w:val="0"/>
          <w:sz w:val="18"/>
        </w:rPr>
        <w:t>BR-01-07 Admin vede progresso checklist e tutorial per supporto, senza completare attività al posto del Partner.</w:t>
      </w:r>
    </w:p>
    <w:p>
      <w:pPr/>
      <w:r>
        <w:rPr>
          <w:rFonts w:ascii="Arial" w:hAnsi="Arial"/>
          <w:b w:val="0"/>
          <w:sz w:val="18"/>
        </w:rPr>
        <w:t>BR-01-08 Trust Score e livello sono calcolati dal sistema e non modificabili manualmente.</w:t>
      </w:r>
    </w:p>
    <w:p>
      <w:pPr/>
      <w:r>
        <w:rPr>
          <w:rFonts w:ascii="Arial" w:hAnsi="Arial"/>
          <w:b w:val="0"/>
          <w:sz w:val="18"/>
        </w:rPr>
        <w:t>BR-01-09 I pesi Trust e le soglie sono configurazioni versionate con separation of duties.</w:t>
      </w:r>
    </w:p>
    <w:p>
      <w:pPr/>
      <w:r>
        <w:rPr>
          <w:rFonts w:ascii="Arial" w:hAnsi="Arial"/>
          <w:b w:val="0"/>
          <w:sz w:val="18"/>
        </w:rPr>
        <w:t>BR-01-10 Ogni cambiamento di stato o configurazione produce Notification e AuditEvent.</w:t>
      </w:r>
    </w:p>
    <w:p>
      <w:pPr>
        <w:pStyle w:val="Heading2"/>
      </w:pPr>
      <w:r>
        <w:t>KPI e Change 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4535"/>
            <w:shd w:fill="E2E8F0"/>
            <w:vAlign w:val="top"/>
          </w:tcPr>
          <w:p>
            <w:r/>
            <w:r>
              <w:rPr>
                <w:b/>
                <w:color w:val="172033"/>
                <w:sz w:val="16"/>
              </w:rPr>
              <w:t>KPI</w:t>
            </w:r>
          </w:p>
        </w:tc>
        <w:tc>
          <w:tcPr>
            <w:tcW w:type="dxa" w:w="4535"/>
            <w:shd w:fill="E2E8F0"/>
            <w:vAlign w:val="top"/>
          </w:tcPr>
          <w:p>
            <w:r/>
            <w:r>
              <w:rPr>
                <w:b/>
                <w:color w:val="172033"/>
                <w:sz w:val="16"/>
              </w:rPr>
              <w:t>Change Request</w:t>
            </w:r>
          </w:p>
        </w:tc>
      </w:tr>
      <w:tr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time to approve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ACR-002, ACR-003</w:t>
            </w:r>
          </w:p>
        </w:tc>
      </w:tr>
      <w:tr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revision rate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ACR-002, ACR-003</w:t>
            </w:r>
          </w:p>
        </w:tc>
      </w:tr>
      <w:tr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approved supply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ACR-002, ACR-003</w:t>
            </w:r>
          </w:p>
        </w:tc>
      </w:tr>
    </w:tbl>
    <w:p/>
    <w:p>
      <w:r>
        <w:br w:type="page"/>
      </w:r>
    </w:p>
    <w:p>
      <w:pPr>
        <w:pStyle w:val="Heading1"/>
      </w:pPr>
      <w:r>
        <w:t>AJ02 - Governance qualità attività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8FAFC"/>
          </w:tcPr>
          <w:p>
            <w:r>
              <w:rPr>
                <w:b/>
                <w:color w:val="172033"/>
                <w:sz w:val="20"/>
              </w:rPr>
              <w:t>Obiettivo</w:t>
              <w:br/>
            </w:r>
            <w:r>
              <w:rPr>
                <w:sz w:val="18"/>
              </w:rPr>
              <w:t>Assicurare schede comparabili e affidabili per i genitori.</w:t>
            </w:r>
          </w:p>
        </w:tc>
      </w:tr>
    </w:tbl>
    <w:p/>
    <w:p>
      <w:pPr>
        <w:pStyle w:val="Heading2"/>
      </w:pPr>
      <w:r>
        <w:t>Diagramma AS-IS</w:t>
      </w:r>
    </w:p>
    <w:p>
      <w:r>
        <w:rPr>
          <w:rFonts w:ascii="Courier New" w:hAnsi="Courier New"/>
          <w:sz w:val="16"/>
        </w:rPr>
        <w:t>Attività pubblicate con controlli variabili</w:t>
      </w:r>
    </w:p>
    <w:p>
      <w:pPr>
        <w:pStyle w:val="Heading2"/>
      </w:pPr>
      <w:r>
        <w:t>Diagramma TO-BE</w:t>
      </w:r>
    </w:p>
    <w:p>
      <w:r>
        <w:rPr>
          <w:rFonts w:ascii="Courier New" w:hAnsi="Courier New"/>
          <w:sz w:val="16"/>
        </w:rPr>
        <w:t>Review queue → quality score → preview Parent → approve/pending → publish</w:t>
      </w:r>
    </w:p>
    <w:p>
      <w:pPr>
        <w:pStyle w:val="Heading2"/>
      </w:pPr>
      <w:r>
        <w:t>Business Rules</w:t>
      </w:r>
    </w:p>
    <w:p>
      <w:r>
        <w:t>BR-02-01 Quality score minimo obbligatorio.</w:t>
      </w:r>
    </w:p>
    <w:p>
      <w:r>
        <w:t>BR-02-02 Categorie da tassonomia.</w:t>
      </w:r>
    </w:p>
    <w:p>
      <w:r>
        <w:t>BR-02-03 Prezzi/settimane verificati.</w:t>
      </w:r>
    </w:p>
    <w:p>
      <w:pPr>
        <w:pStyle w:val="Heading2"/>
      </w:pPr>
      <w:r>
        <w:t>KPI e Change 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4535"/>
            <w:shd w:fill="E2E8F0"/>
            <w:vAlign w:val="top"/>
          </w:tcPr>
          <w:p>
            <w:r/>
            <w:r>
              <w:rPr>
                <w:b/>
                <w:color w:val="172033"/>
                <w:sz w:val="16"/>
              </w:rPr>
              <w:t>KPI</w:t>
            </w:r>
          </w:p>
        </w:tc>
        <w:tc>
          <w:tcPr>
            <w:tcW w:type="dxa" w:w="4535"/>
            <w:shd w:fill="E2E8F0"/>
            <w:vAlign w:val="top"/>
          </w:tcPr>
          <w:p>
            <w:r/>
            <w:r>
              <w:rPr>
                <w:b/>
                <w:color w:val="172033"/>
                <w:sz w:val="16"/>
              </w:rPr>
              <w:t>Change Request</w:t>
            </w:r>
          </w:p>
        </w:tc>
      </w:tr>
      <w:tr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quality score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ACR-005, ACR-006, ACR-013</w:t>
            </w:r>
          </w:p>
        </w:tc>
      </w:tr>
      <w:tr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activities pending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ACR-005, ACR-006, ACR-013</w:t>
            </w:r>
          </w:p>
        </w:tc>
      </w:tr>
      <w:tr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search defects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ACR-005, ACR-006, ACR-013</w:t>
            </w:r>
          </w:p>
        </w:tc>
      </w:tr>
    </w:tbl>
    <w:p/>
    <w:p>
      <w:r>
        <w:br w:type="page"/>
      </w:r>
    </w:p>
    <w:p>
      <w:pPr>
        <w:pStyle w:val="Heading1"/>
      </w:pPr>
      <w:r>
        <w:t>AJ03 - Gestione booking anomali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8FAFC"/>
          </w:tcPr>
          <w:p>
            <w:r>
              <w:rPr>
                <w:b/>
                <w:color w:val="172033"/>
                <w:sz w:val="20"/>
              </w:rPr>
              <w:t>Obiettivo</w:t>
              <w:br/>
            </w:r>
            <w:r>
              <w:rPr>
                <w:sz w:val="18"/>
              </w:rPr>
              <w:t>Sbloccare prenotazioni critiche e ridurre perdita fiducia.</w:t>
            </w:r>
          </w:p>
        </w:tc>
      </w:tr>
    </w:tbl>
    <w:p/>
    <w:p>
      <w:pPr>
        <w:pStyle w:val="Heading2"/>
      </w:pPr>
      <w:r>
        <w:t>Diagramma AS-IS</w:t>
      </w:r>
    </w:p>
    <w:p>
      <w:r>
        <w:rPr>
          <w:rFonts w:ascii="Courier New" w:hAnsi="Courier New"/>
          <w:sz w:val="16"/>
        </w:rPr>
        <w:t>Booking distribuiti tra Partner e Parent</w:t>
      </w:r>
    </w:p>
    <w:p>
      <w:pPr>
        <w:pStyle w:val="Heading2"/>
      </w:pPr>
      <w:r>
        <w:t>Diagramma TO-BE</w:t>
      </w:r>
    </w:p>
    <w:p>
      <w:r>
        <w:rPr>
          <w:rFonts w:ascii="Courier New" w:hAnsi="Courier New"/>
          <w:sz w:val="16"/>
        </w:rPr>
        <w:t>Exception queue → owner → intervento → notifica → chiusura con reason code</w:t>
      </w:r>
    </w:p>
    <w:p>
      <w:pPr>
        <w:pStyle w:val="Heading2"/>
      </w:pPr>
      <w:r>
        <w:t>Business Rules</w:t>
      </w:r>
    </w:p>
    <w:p>
      <w:r>
        <w:t>BR-03-01 Booking bloccato oltre SLA entra in coda.</w:t>
      </w:r>
    </w:p>
    <w:p>
      <w:r>
        <w:t>BR-03-02 Ogni intervento admin è tracciato.</w:t>
      </w:r>
    </w:p>
    <w:p>
      <w:r>
        <w:t>BR-03-03 Famiglia e Partner hanno stato allineato.</w:t>
      </w:r>
    </w:p>
    <w:p>
      <w:pPr>
        <w:pStyle w:val="Heading2"/>
      </w:pPr>
      <w:r>
        <w:t>KPI e Change 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4535"/>
            <w:shd w:fill="E2E8F0"/>
            <w:vAlign w:val="top"/>
          </w:tcPr>
          <w:p>
            <w:r/>
            <w:r>
              <w:rPr>
                <w:b/>
                <w:color w:val="172033"/>
                <w:sz w:val="16"/>
              </w:rPr>
              <w:t>KPI</w:t>
            </w:r>
          </w:p>
        </w:tc>
        <w:tc>
          <w:tcPr>
            <w:tcW w:type="dxa" w:w="4535"/>
            <w:shd w:fill="E2E8F0"/>
            <w:vAlign w:val="top"/>
          </w:tcPr>
          <w:p>
            <w:r/>
            <w:r>
              <w:rPr>
                <w:b/>
                <w:color w:val="172033"/>
                <w:sz w:val="16"/>
              </w:rPr>
              <w:t>Change Request</w:t>
            </w:r>
          </w:p>
        </w:tc>
      </w:tr>
      <w:tr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stuck bookings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ACR-007</w:t>
            </w:r>
          </w:p>
        </w:tc>
      </w:tr>
      <w:tr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intervention time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ACR-007</w:t>
            </w:r>
          </w:p>
        </w:tc>
      </w:tr>
      <w:tr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disputes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ACR-007</w:t>
            </w:r>
          </w:p>
        </w:tc>
      </w:tr>
    </w:tbl>
    <w:p/>
    <w:p>
      <w:r>
        <w:br w:type="page"/>
      </w:r>
    </w:p>
    <w:p>
      <w:pPr>
        <w:pStyle w:val="Heading1"/>
      </w:pPr>
      <w:r>
        <w:t>AJ04 - Pipeline domanda non servita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8FAFC"/>
          </w:tcPr>
          <w:p>
            <w:r>
              <w:rPr>
                <w:b/>
                <w:color w:val="172033"/>
                <w:sz w:val="20"/>
              </w:rPr>
              <w:t>Obiettivo</w:t>
              <w:br/>
            </w:r>
            <w:r>
              <w:rPr>
                <w:sz w:val="18"/>
              </w:rPr>
              <w:t>Trasformare richieste e suggerimenti centri in crescita supply.</w:t>
            </w:r>
          </w:p>
        </w:tc>
      </w:tr>
    </w:tbl>
    <w:p/>
    <w:p>
      <w:pPr>
        <w:pStyle w:val="Heading2"/>
      </w:pPr>
      <w:r>
        <w:t>Diagramma AS-IS</w:t>
      </w:r>
    </w:p>
    <w:p>
      <w:r>
        <w:rPr>
          <w:rFonts w:ascii="Courier New" w:hAnsi="Courier New"/>
          <w:sz w:val="16"/>
        </w:rPr>
        <w:t>Richieste e suggerimenti dispersi</w:t>
      </w:r>
    </w:p>
    <w:p>
      <w:pPr>
        <w:pStyle w:val="Heading2"/>
      </w:pPr>
      <w:r>
        <w:t>Diagramma TO-BE</w:t>
      </w:r>
    </w:p>
    <w:p>
      <w:r>
        <w:rPr>
          <w:rFonts w:ascii="Courier New" w:hAnsi="Courier New"/>
          <w:b w:val="0"/>
          <w:sz w:val="16"/>
        </w:rPr>
        <w:t>Parent suggestion/invite → CenterLead + DemandContext → dedupe → first-qualified attribution → outreach/invitation → claim → Partner request/verification → Admin approval → first publish → activation → Parent reward eligibility + Partner commission incentive</w:t>
      </w:r>
    </w:p>
    <w:p>
      <w:pPr>
        <w:pStyle w:val="Heading2"/>
      </w:pPr>
      <w:r>
        <w:t>Business Rules</w:t>
      </w:r>
    </w:p>
    <w:p>
      <w:pPr/>
      <w:r>
        <w:rPr>
          <w:rFonts w:ascii="Arial" w:hAnsi="Arial"/>
          <w:b w:val="0"/>
          <w:sz w:val="18"/>
        </w:rPr>
        <w:t>BR-04-01 Un centro suggerito è CenterLead e non un listing pubblico.</w:t>
      </w:r>
    </w:p>
    <w:p>
      <w:pPr/>
      <w:r>
        <w:rPr>
          <w:rFonts w:ascii="Arial" w:hAnsi="Arial"/>
          <w:b w:val="0"/>
          <w:sz w:val="18"/>
        </w:rPr>
        <w:t>BR-04-02 Lead duplicati aggregano DemandContext ma non moltiplicano reward economici.</w:t>
      </w:r>
    </w:p>
    <w:p>
      <w:pPr/>
      <w:r>
        <w:rPr>
          <w:rFonts w:ascii="Arial" w:hAnsi="Arial"/>
          <w:b w:val="0"/>
          <w:sz w:val="18"/>
        </w:rPr>
        <w:t>BR-04-03 L’attribution economica usa il primo suggerimento qualificato precedente alla registrazione/claim.</w:t>
      </w:r>
    </w:p>
    <w:p>
      <w:pPr/>
      <w:r>
        <w:rPr>
          <w:rFonts w:ascii="Arial" w:hAnsi="Arial"/>
          <w:b w:val="0"/>
          <w:sz w:val="18"/>
        </w:rPr>
        <w:t>BR-04-04 Self-referral, organizzazioni collegate e anomalie devono essere sottoposte a controllo anti-abuso.</w:t>
      </w:r>
    </w:p>
    <w:p>
      <w:pPr/>
      <w:r>
        <w:rPr>
          <w:rFonts w:ascii="Arial" w:hAnsi="Arial"/>
          <w:b w:val="0"/>
          <w:sz w:val="18"/>
        </w:rPr>
        <w:t>BR-04-05 Il Genitore matura il reward solo dopo approvazione, prima attività pubblicata e primo booking confermato con il centro.</w:t>
      </w:r>
    </w:p>
    <w:p>
      <w:pPr/>
      <w:r>
        <w:rPr>
          <w:rFonts w:ascii="Arial" w:hAnsi="Arial"/>
          <w:b w:val="0"/>
          <w:sz w:val="18"/>
        </w:rPr>
        <w:t>BR-04-06 Il reward proposto è 10% fino a 25 euro, one-shot, scadenza 6 mesi e non cumulabile salvo regola esplicita.</w:t>
      </w:r>
    </w:p>
    <w:p>
      <w:pPr/>
      <w:r>
        <w:rPr>
          <w:rFonts w:ascii="Arial" w:hAnsi="Arial"/>
          <w:b w:val="0"/>
          <w:sz w:val="18"/>
        </w:rPr>
        <w:t>BR-04-07 Il Partner accede alla commissione ridotta solo dopo attivazione e target di qualità verificati.</w:t>
      </w:r>
    </w:p>
    <w:p>
      <w:pPr/>
      <w:r>
        <w:rPr>
          <w:rFonts w:ascii="Arial" w:hAnsi="Arial"/>
          <w:b w:val="0"/>
          <w:sz w:val="18"/>
        </w:rPr>
        <w:t>BR-04-08 Ogni passaggio lead → claim → activation → reward/incentive è tracciato e notificabile.</w:t>
      </w:r>
    </w:p>
    <w:p>
      <w:pPr>
        <w:pStyle w:val="Heading2"/>
      </w:pPr>
      <w:r>
        <w:t>KPI e Change 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4535"/>
            <w:shd w:fill="E2E8F0"/>
            <w:vAlign w:val="top"/>
          </w:tcPr>
          <w:p>
            <w:r/>
            <w:r>
              <w:rPr>
                <w:b/>
                <w:color w:val="172033"/>
                <w:sz w:val="16"/>
              </w:rPr>
              <w:t>KPI</w:t>
            </w:r>
          </w:p>
        </w:tc>
        <w:tc>
          <w:tcPr>
            <w:tcW w:type="dxa" w:w="4535"/>
            <w:shd w:fill="E2E8F0"/>
            <w:vAlign w:val="top"/>
          </w:tcPr>
          <w:p>
            <w:r/>
            <w:r>
              <w:rPr>
                <w:b/>
                <w:color w:val="172033"/>
                <w:sz w:val="16"/>
              </w:rPr>
              <w:t>Change Request</w:t>
            </w:r>
          </w:p>
        </w:tc>
      </w:tr>
      <w:tr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lead conversion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ACR-004, ACR-008</w:t>
            </w:r>
          </w:p>
        </w:tc>
      </w:tr>
      <w:tr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lost demand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ACR-004, ACR-008</w:t>
            </w:r>
          </w:p>
        </w:tc>
      </w:tr>
      <w:tr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center claim rate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ACR-004, ACR-008</w:t>
            </w:r>
          </w:p>
        </w:tc>
      </w:tr>
    </w:tbl>
    <w:p/>
    <w:p>
      <w:r>
        <w:br w:type="page"/>
      </w:r>
    </w:p>
    <w:p>
      <w:pPr>
        <w:pStyle w:val="Heading1"/>
      </w:pPr>
      <w:r>
        <w:t>AJ05 - Servizi extra e fornitori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8FAFC"/>
          </w:tcPr>
          <w:p>
            <w:r>
              <w:rPr>
                <w:b/>
                <w:color w:val="172033"/>
                <w:sz w:val="20"/>
              </w:rPr>
              <w:t>Obiettivo</w:t>
              <w:br/>
            </w:r>
            <w:r>
              <w:rPr>
                <w:sz w:val="18"/>
              </w:rPr>
              <w:t>Creare efficienza B2B per centri senza servizi.</w:t>
            </w:r>
          </w:p>
        </w:tc>
      </w:tr>
    </w:tbl>
    <w:p/>
    <w:p>
      <w:pPr>
        <w:pStyle w:val="Heading2"/>
      </w:pPr>
      <w:r>
        <w:t>Diagramma AS-IS</w:t>
      </w:r>
    </w:p>
    <w:p>
      <w:r>
        <w:rPr>
          <w:rFonts w:ascii="Courier New" w:hAnsi="Courier New"/>
          <w:sz w:val="16"/>
        </w:rPr>
        <w:t>Servizi extra gestiti manualmente</w:t>
      </w:r>
    </w:p>
    <w:p>
      <w:pPr>
        <w:pStyle w:val="Heading2"/>
      </w:pPr>
      <w:r>
        <w:t>Diagramma TO-BE</w:t>
      </w:r>
    </w:p>
    <w:p>
      <w:r>
        <w:rPr>
          <w:rFonts w:ascii="Courier New" w:hAnsi="Courier New"/>
          <w:sz w:val="16"/>
        </w:rPr>
        <w:t>Supplier → service → area/SLA/pricing → proposta Partner → attivazione → Parent visibility</w:t>
      </w:r>
    </w:p>
    <w:p>
      <w:pPr>
        <w:pStyle w:val="Heading2"/>
      </w:pPr>
      <w:r>
        <w:t>Business Rules</w:t>
      </w:r>
    </w:p>
    <w:p>
      <w:r>
        <w:t>BR-05-01 Servizio richiede fornitore valido.</w:t>
      </w:r>
    </w:p>
    <w:p>
      <w:r>
        <w:t>BR-05-02 Area copertura obbligatoria.</w:t>
      </w:r>
    </w:p>
    <w:p>
      <w:r>
        <w:t>BR-05-03 Adesione Partner tracciata.</w:t>
      </w:r>
    </w:p>
    <w:p>
      <w:pPr>
        <w:pStyle w:val="Heading2"/>
      </w:pPr>
      <w:r>
        <w:t>KPI e Change 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4535"/>
            <w:shd w:fill="E2E8F0"/>
            <w:vAlign w:val="top"/>
          </w:tcPr>
          <w:p>
            <w:r/>
            <w:r>
              <w:rPr>
                <w:b/>
                <w:color w:val="172033"/>
                <w:sz w:val="16"/>
              </w:rPr>
              <w:t>KPI</w:t>
            </w:r>
          </w:p>
        </w:tc>
        <w:tc>
          <w:tcPr>
            <w:tcW w:type="dxa" w:w="4535"/>
            <w:shd w:fill="E2E8F0"/>
            <w:vAlign w:val="top"/>
          </w:tcPr>
          <w:p>
            <w:r/>
            <w:r>
              <w:rPr>
                <w:b/>
                <w:color w:val="172033"/>
                <w:sz w:val="16"/>
              </w:rPr>
              <w:t>Change Request</w:t>
            </w:r>
          </w:p>
        </w:tc>
      </w:tr>
      <w:tr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service adoption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ACR-011, ACR-012</w:t>
            </w:r>
          </w:p>
        </w:tc>
      </w:tr>
      <w:tr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supplier coverage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ACR-011, ACR-012</w:t>
            </w:r>
          </w:p>
        </w:tc>
      </w:tr>
      <w:tr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attach rate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ACR-011, ACR-012</w:t>
            </w:r>
          </w:p>
        </w:tc>
      </w:tr>
    </w:tbl>
    <w:p/>
    <w:p>
      <w:r>
        <w:br w:type="page"/>
      </w:r>
    </w:p>
    <w:p>
      <w:pPr>
        <w:pStyle w:val="Heading1"/>
      </w:pPr>
      <w:r>
        <w:t>AJ06 - Supporto unificato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8FAFC"/>
          </w:tcPr>
          <w:p>
            <w:r>
              <w:rPr>
                <w:b/>
                <w:color w:val="172033"/>
                <w:sz w:val="20"/>
              </w:rPr>
              <w:t>Obiettivo</w:t>
              <w:br/>
            </w:r>
            <w:r>
              <w:rPr>
                <w:sz w:val="18"/>
              </w:rPr>
              <w:t>Gestire problemi Genitore, Partner e feedback beta in un’unica logica.</w:t>
            </w:r>
          </w:p>
        </w:tc>
      </w:tr>
    </w:tbl>
    <w:p/>
    <w:p>
      <w:pPr>
        <w:pStyle w:val="Heading2"/>
      </w:pPr>
      <w:r>
        <w:t>Diagramma AS-IS</w:t>
      </w:r>
    </w:p>
    <w:p>
      <w:r>
        <w:rPr>
          <w:rFonts w:ascii="Courier New" w:hAnsi="Courier New"/>
          <w:sz w:val="16"/>
        </w:rPr>
        <w:t>Canali separati e non contestualizzati</w:t>
      </w:r>
    </w:p>
    <w:p>
      <w:pPr>
        <w:pStyle w:val="Heading2"/>
      </w:pPr>
      <w:r>
        <w:t>Diagramma TO-BE</w:t>
      </w:r>
    </w:p>
    <w:p>
      <w:r>
        <w:rPr>
          <w:rFonts w:ascii="Courier New" w:hAnsi="Courier New"/>
          <w:sz w:val="16"/>
        </w:rPr>
        <w:t>Unified queue → triage → bug/CR/support → owner → chiusura → analytics</w:t>
      </w:r>
    </w:p>
    <w:p>
      <w:pPr>
        <w:pStyle w:val="Heading2"/>
      </w:pPr>
      <w:r>
        <w:t>Business Rules</w:t>
      </w:r>
    </w:p>
    <w:p>
      <w:r>
        <w:t>BR-06-01 Ticket ha contesto.</w:t>
      </w:r>
    </w:p>
    <w:p>
      <w:r>
        <w:t>BR-06-02 Feedback beta triage entro SLA.</w:t>
      </w:r>
    </w:p>
    <w:p>
      <w:r>
        <w:t>BR-06-03 Bug ricorrente genera CR.</w:t>
      </w:r>
    </w:p>
    <w:p>
      <w:pPr>
        <w:pStyle w:val="Heading2"/>
      </w:pPr>
      <w:r>
        <w:t>KPI e Change 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4535"/>
            <w:shd w:fill="E2E8F0"/>
            <w:vAlign w:val="top"/>
          </w:tcPr>
          <w:p>
            <w:r/>
            <w:r>
              <w:rPr>
                <w:b/>
                <w:color w:val="172033"/>
                <w:sz w:val="16"/>
              </w:rPr>
              <w:t>KPI</w:t>
            </w:r>
          </w:p>
        </w:tc>
        <w:tc>
          <w:tcPr>
            <w:tcW w:type="dxa" w:w="4535"/>
            <w:shd w:fill="E2E8F0"/>
            <w:vAlign w:val="top"/>
          </w:tcPr>
          <w:p>
            <w:r/>
            <w:r>
              <w:rPr>
                <w:b/>
                <w:color w:val="172033"/>
                <w:sz w:val="16"/>
              </w:rPr>
              <w:t>Change Request</w:t>
            </w:r>
          </w:p>
        </w:tc>
      </w:tr>
      <w:tr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triage time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ACR-015, ACR-016</w:t>
            </w:r>
          </w:p>
        </w:tc>
      </w:tr>
      <w:tr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actionability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ACR-015, ACR-016</w:t>
            </w:r>
          </w:p>
        </w:tc>
      </w:tr>
      <w:tr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reopen rate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ACR-015, ACR-016</w:t>
            </w:r>
          </w:p>
        </w:tc>
      </w:tr>
    </w:tbl>
    <w:p/>
    <w:p>
      <w:r>
        <w:br w:type="page"/>
      </w:r>
    </w:p>
    <w:p>
      <w:pPr>
        <w:pStyle w:val="Heading1"/>
      </w:pPr>
      <w:r>
        <w:t>AJ07 - Tassonomie e catalogo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8FAFC"/>
          </w:tcPr>
          <w:p>
            <w:r>
              <w:rPr>
                <w:b/>
                <w:color w:val="172033"/>
                <w:sz w:val="20"/>
              </w:rPr>
              <w:t>Obiettivo</w:t>
              <w:br/>
            </w:r>
            <w:r>
              <w:rPr>
                <w:sz w:val="18"/>
              </w:rPr>
              <w:t>Mantenere coerenza di ricerca, filtri e creazione attività.</w:t>
            </w:r>
          </w:p>
        </w:tc>
      </w:tr>
    </w:tbl>
    <w:p/>
    <w:p>
      <w:pPr>
        <w:pStyle w:val="Heading2"/>
      </w:pPr>
      <w:r>
        <w:t>Diagramma AS-IS</w:t>
      </w:r>
    </w:p>
    <w:p>
      <w:r>
        <w:rPr>
          <w:rFonts w:ascii="Courier New" w:hAnsi="Courier New"/>
          <w:sz w:val="16"/>
        </w:rPr>
        <w:t>Categorie duplicate/hardcoded</w:t>
      </w:r>
    </w:p>
    <w:p>
      <w:pPr>
        <w:pStyle w:val="Heading2"/>
      </w:pPr>
      <w:r>
        <w:t>Diagramma TO-BE</w:t>
      </w:r>
    </w:p>
    <w:p>
      <w:r>
        <w:rPr>
          <w:rFonts w:ascii="Courier New" w:hAnsi="Courier New"/>
          <w:sz w:val="16"/>
        </w:rPr>
        <w:t>Admin taxonomy → Partner creation → Parent filters → analytics adoption</w:t>
      </w:r>
    </w:p>
    <w:p>
      <w:pPr>
        <w:pStyle w:val="Heading2"/>
      </w:pPr>
      <w:r>
        <w:t>Business Rules</w:t>
      </w:r>
    </w:p>
    <w:p>
      <w:r>
        <w:t>BR-07-01 Solo tassonomie attive sono usabili.</w:t>
      </w:r>
    </w:p>
    <w:p>
      <w:r>
        <w:t>BR-07-02 Deprecazioni hanno migrazione.</w:t>
      </w:r>
    </w:p>
    <w:p>
      <w:r>
        <w:t>BR-07-03 Tag non mappati bloccano pubblicazione.</w:t>
      </w:r>
    </w:p>
    <w:p>
      <w:pPr>
        <w:pStyle w:val="Heading2"/>
      </w:pPr>
      <w:r>
        <w:t>KPI e Change 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4535"/>
            <w:shd w:fill="E2E8F0"/>
            <w:vAlign w:val="top"/>
          </w:tcPr>
          <w:p>
            <w:r/>
            <w:r>
              <w:rPr>
                <w:b/>
                <w:color w:val="172033"/>
                <w:sz w:val="16"/>
              </w:rPr>
              <w:t>KPI</w:t>
            </w:r>
          </w:p>
        </w:tc>
        <w:tc>
          <w:tcPr>
            <w:tcW w:type="dxa" w:w="4535"/>
            <w:shd w:fill="E2E8F0"/>
            <w:vAlign w:val="top"/>
          </w:tcPr>
          <w:p>
            <w:r/>
            <w:r>
              <w:rPr>
                <w:b/>
                <w:color w:val="172033"/>
                <w:sz w:val="16"/>
              </w:rPr>
              <w:t>Change Request</w:t>
            </w:r>
          </w:p>
        </w:tc>
      </w:tr>
      <w:tr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unmapped activities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ACR-013</w:t>
            </w:r>
          </w:p>
        </w:tc>
      </w:tr>
      <w:tr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filter usage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ACR-013</w:t>
            </w:r>
          </w:p>
        </w:tc>
      </w:tr>
      <w:tr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conversion by tag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ACR-013</w:t>
            </w:r>
          </w:p>
        </w:tc>
      </w:tr>
    </w:tbl>
    <w:p/>
    <w:p>
      <w:r>
        <w:br w:type="page"/>
      </w:r>
    </w:p>
    <w:p>
      <w:pPr>
        <w:pStyle w:val="Heading1"/>
      </w:pPr>
      <w:r>
        <w:t>AJ08 - Commercial governance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8FAFC"/>
          </w:tcPr>
          <w:p>
            <w:r>
              <w:rPr>
                <w:b/>
                <w:color w:val="172033"/>
                <w:sz w:val="20"/>
              </w:rPr>
              <w:t>Obiettivo</w:t>
              <w:br/>
            </w:r>
            <w:r>
              <w:rPr>
                <w:sz w:val="18"/>
              </w:rPr>
              <w:t>Controllare commissioni, payout, rimborsi e marginalità.</w:t>
            </w:r>
          </w:p>
        </w:tc>
      </w:tr>
    </w:tbl>
    <w:p/>
    <w:p>
      <w:pPr>
        <w:pStyle w:val="Heading2"/>
      </w:pPr>
      <w:r>
        <w:t>Diagramma AS-IS</w:t>
      </w:r>
    </w:p>
    <w:p>
      <w:r>
        <w:rPr>
          <w:rFonts w:ascii="Courier New" w:hAnsi="Courier New"/>
          <w:sz w:val="16"/>
        </w:rPr>
        <w:t>Dati economici non sempre collegati agli stati operativi</w:t>
      </w:r>
    </w:p>
    <w:p>
      <w:pPr>
        <w:pStyle w:val="Heading2"/>
      </w:pPr>
      <w:r>
        <w:t>Diagramma TO-BE</w:t>
      </w:r>
    </w:p>
    <w:p>
      <w:r>
        <w:rPr>
          <w:rFonts w:ascii="Courier New" w:hAnsi="Courier New"/>
          <w:b w:val="0"/>
          <w:sz w:val="16"/>
        </w:rPr>
        <w:t>Booking/referral event → eligibility engine → commission tier / reward → ledger → issue/redeem/payout/reversal → quality monitoring → expiry or renewal → reconciliation</w:t>
      </w:r>
    </w:p>
    <w:p>
      <w:pPr>
        <w:pStyle w:val="Heading2"/>
      </w:pPr>
      <w:r>
        <w:t>Business Rules</w:t>
      </w:r>
    </w:p>
    <w:p>
      <w:pPr/>
      <w:r>
        <w:rPr>
          <w:rFonts w:ascii="Arial" w:hAnsi="Arial"/>
          <w:b w:val="0"/>
          <w:sz w:val="18"/>
        </w:rPr>
        <w:t>BR-08-01 Ogni evento economico deriva da booking, servizio o referral tracciato.</w:t>
      </w:r>
    </w:p>
    <w:p>
      <w:pPr/>
      <w:r>
        <w:rPr>
          <w:rFonts w:ascii="Arial" w:hAnsi="Arial"/>
          <w:b w:val="0"/>
          <w:sz w:val="18"/>
        </w:rPr>
        <w:t>BR-08-02 Rimborsi, reversal e sospensioni hanno reason code e correlazione all’evento originario.</w:t>
      </w:r>
    </w:p>
    <w:p>
      <w:pPr/>
      <w:r>
        <w:rPr>
          <w:rFonts w:ascii="Arial" w:hAnsi="Arial"/>
          <w:b w:val="0"/>
          <w:sz w:val="18"/>
        </w:rPr>
        <w:t>BR-08-03 Commissioni, reward e target sono versionati con data di efficacia.</w:t>
      </w:r>
    </w:p>
    <w:p>
      <w:pPr/>
      <w:r>
        <w:rPr>
          <w:rFonts w:ascii="Arial" w:hAnsi="Arial"/>
          <w:b w:val="0"/>
          <w:sz w:val="18"/>
        </w:rPr>
        <w:t>BR-08-04 La commissione standard proposta è 5%; il referral tier è 3% per 50 booking o 12 mesi.</w:t>
      </w:r>
    </w:p>
    <w:p>
      <w:pPr/>
      <w:r>
        <w:rPr>
          <w:rFonts w:ascii="Arial" w:hAnsi="Arial"/>
          <w:b w:val="0"/>
          <w:sz w:val="18"/>
        </w:rPr>
        <w:t>BR-08-05 Il referral tier richiede profilo ≥90%, SLA risposta ≥80%, disponibilità fresca ≥90% e cancellazioni &lt;5%.</w:t>
      </w:r>
    </w:p>
    <w:p>
      <w:pPr/>
      <w:r>
        <w:rPr>
          <w:rFonts w:ascii="Arial" w:hAnsi="Arial"/>
          <w:b w:val="0"/>
          <w:sz w:val="18"/>
        </w:rPr>
        <w:t>BR-08-06 Il reward Genitore è earned solo con prima transazione confermata; nessun vantaggio economico sulla sola segnalazione.</w:t>
      </w:r>
    </w:p>
    <w:p>
      <w:pPr/>
      <w:r>
        <w:rPr>
          <w:rFonts w:ascii="Arial" w:hAnsi="Arial"/>
          <w:b w:val="0"/>
          <w:sz w:val="18"/>
        </w:rPr>
        <w:t>BR-08-07 In beta senza pagamento, eligibility e costi sono calcolati in shadow mode o applicati manualmente con audit.</w:t>
      </w:r>
    </w:p>
    <w:p>
      <w:pPr/>
      <w:r>
        <w:rPr>
          <w:rFonts w:ascii="Arial" w:hAnsi="Arial"/>
          <w:b w:val="0"/>
          <w:sz w:val="18"/>
        </w:rPr>
        <w:t>BR-08-08 Budget, cap, cumulabilità e anti-frode sono configurazioni Admin separate dai contenuti UI.</w:t>
      </w:r>
    </w:p>
    <w:p>
      <w:pPr>
        <w:pStyle w:val="Heading2"/>
      </w:pPr>
      <w:r>
        <w:t>KPI e Change 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4535"/>
            <w:shd w:fill="E2E8F0"/>
            <w:vAlign w:val="top"/>
          </w:tcPr>
          <w:p>
            <w:r/>
            <w:r>
              <w:rPr>
                <w:b/>
                <w:color w:val="172033"/>
                <w:sz w:val="16"/>
              </w:rPr>
              <w:t>KPI</w:t>
            </w:r>
          </w:p>
        </w:tc>
        <w:tc>
          <w:tcPr>
            <w:tcW w:type="dxa" w:w="4535"/>
            <w:shd w:fill="E2E8F0"/>
            <w:vAlign w:val="top"/>
          </w:tcPr>
          <w:p>
            <w:r/>
            <w:r>
              <w:rPr>
                <w:b/>
                <w:color w:val="172033"/>
                <w:sz w:val="16"/>
              </w:rPr>
              <w:t>Change Request</w:t>
            </w:r>
          </w:p>
        </w:tc>
      </w:tr>
      <w:tr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reconciliation errors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ACR-010</w:t>
            </w:r>
          </w:p>
        </w:tc>
      </w:tr>
      <w:tr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refund time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ACR-010</w:t>
            </w:r>
          </w:p>
        </w:tc>
      </w:tr>
      <w:tr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commission accuracy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ACR-010</w:t>
            </w:r>
          </w:p>
        </w:tc>
      </w:tr>
    </w:tbl>
    <w:p/>
    <w:p>
      <w:r>
        <w:br w:type="page"/>
      </w:r>
    </w:p>
    <w:p>
      <w:pPr>
        <w:pStyle w:val="Heading1"/>
      </w:pPr>
      <w:r>
        <w:t>AJ09 - Feature flags e configurazioni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8FAFC"/>
          </w:tcPr>
          <w:p>
            <w:r>
              <w:rPr>
                <w:b/>
                <w:color w:val="172033"/>
                <w:sz w:val="20"/>
              </w:rPr>
              <w:t>Obiettivo</w:t>
              <w:br/>
            </w:r>
            <w:r>
              <w:rPr>
                <w:sz w:val="18"/>
              </w:rPr>
              <w:t>Abilitare beta e rollout controllati senza rischi.</w:t>
            </w:r>
          </w:p>
        </w:tc>
      </w:tr>
    </w:tbl>
    <w:p/>
    <w:p>
      <w:pPr>
        <w:pStyle w:val="Heading2"/>
      </w:pPr>
      <w:r>
        <w:t>Diagramma AS-IS</w:t>
      </w:r>
    </w:p>
    <w:p>
      <w:r>
        <w:rPr>
          <w:rFonts w:ascii="Courier New" w:hAnsi="Courier New"/>
          <w:sz w:val="16"/>
        </w:rPr>
        <w:t>Configurazioni potenzialmente manuali</w:t>
      </w:r>
    </w:p>
    <w:p>
      <w:pPr>
        <w:pStyle w:val="Heading2"/>
      </w:pPr>
      <w:r>
        <w:t>Diagramma TO-BE</w:t>
      </w:r>
    </w:p>
    <w:p>
      <w:r>
        <w:rPr>
          <w:rFonts w:ascii="Courier New" w:hAnsi="Courier New"/>
          <w:sz w:val="16"/>
        </w:rPr>
        <w:t>Flag → target cohort → rollout → monitoring → rollback</w:t>
      </w:r>
    </w:p>
    <w:p>
      <w:pPr>
        <w:pStyle w:val="Heading2"/>
      </w:pPr>
      <w:r>
        <w:t>Business Rules</w:t>
      </w:r>
    </w:p>
    <w:p>
      <w:r>
        <w:t>BR-09-01 Flag critico richiede owner.</w:t>
      </w:r>
    </w:p>
    <w:p>
      <w:r>
        <w:t>BR-09-02 Rollback disponibile.</w:t>
      </w:r>
    </w:p>
    <w:p>
      <w:r>
        <w:t>BR-09-03 Cambio configurazione tracciato.</w:t>
      </w:r>
    </w:p>
    <w:p>
      <w:pPr>
        <w:pStyle w:val="Heading2"/>
      </w:pPr>
      <w:r>
        <w:t>KPI e Change 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4535"/>
            <w:shd w:fill="E2E8F0"/>
            <w:vAlign w:val="top"/>
          </w:tcPr>
          <w:p>
            <w:r/>
            <w:r>
              <w:rPr>
                <w:b/>
                <w:color w:val="172033"/>
                <w:sz w:val="16"/>
              </w:rPr>
              <w:t>KPI</w:t>
            </w:r>
          </w:p>
        </w:tc>
        <w:tc>
          <w:tcPr>
            <w:tcW w:type="dxa" w:w="4535"/>
            <w:shd w:fill="E2E8F0"/>
            <w:vAlign w:val="top"/>
          </w:tcPr>
          <w:p>
            <w:r/>
            <w:r>
              <w:rPr>
                <w:b/>
                <w:color w:val="172033"/>
                <w:sz w:val="16"/>
              </w:rPr>
              <w:t>Change Request</w:t>
            </w:r>
          </w:p>
        </w:tc>
      </w:tr>
      <w:tr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config incidents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ACR-017</w:t>
            </w:r>
          </w:p>
        </w:tc>
      </w:tr>
      <w:tr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rollback time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ACR-017</w:t>
            </w:r>
          </w:p>
        </w:tc>
      </w:tr>
      <w:tr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flag changes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ACR-017</w:t>
            </w:r>
          </w:p>
        </w:tc>
      </w:tr>
    </w:tbl>
    <w:p/>
    <w:p>
      <w:r>
        <w:br w:type="page"/>
      </w:r>
    </w:p>
    <w:p>
      <w:pPr>
        <w:pStyle w:val="Heading1"/>
      </w:pPr>
      <w:r>
        <w:t>AJ10 - Audit e sicurezza interna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8FAFC"/>
          </w:tcPr>
          <w:p>
            <w:r>
              <w:rPr>
                <w:b/>
                <w:color w:val="172033"/>
                <w:sz w:val="20"/>
              </w:rPr>
              <w:t>Obiettivo</w:t>
              <w:br/>
            </w:r>
            <w:r>
              <w:rPr>
                <w:sz w:val="18"/>
              </w:rPr>
              <w:t>Garantire accountability su dati e azioni sensibili.</w:t>
            </w:r>
          </w:p>
        </w:tc>
      </w:tr>
    </w:tbl>
    <w:p/>
    <w:p>
      <w:pPr>
        <w:pStyle w:val="Heading2"/>
      </w:pPr>
      <w:r>
        <w:t>Diagramma AS-IS</w:t>
      </w:r>
    </w:p>
    <w:p>
      <w:r>
        <w:rPr>
          <w:rFonts w:ascii="Courier New" w:hAnsi="Courier New"/>
          <w:sz w:val="16"/>
        </w:rPr>
        <w:t>Logging parziale</w:t>
      </w:r>
    </w:p>
    <w:p>
      <w:pPr>
        <w:pStyle w:val="Heading2"/>
      </w:pPr>
      <w:r>
        <w:t>Diagramma TO-BE</w:t>
      </w:r>
    </w:p>
    <w:p>
      <w:r>
        <w:rPr>
          <w:rFonts w:ascii="Courier New" w:hAnsi="Courier New"/>
          <w:sz w:val="16"/>
        </w:rPr>
        <w:t>Role model → action log → review → alert anomalie → remediation</w:t>
      </w:r>
    </w:p>
    <w:p>
      <w:pPr>
        <w:pStyle w:val="Heading2"/>
      </w:pPr>
      <w:r>
        <w:t>Business Rules</w:t>
      </w:r>
    </w:p>
    <w:p>
      <w:r>
        <w:t>BR-10-01 Azioni sensibili sempre loggate.</w:t>
      </w:r>
    </w:p>
    <w:p>
      <w:r>
        <w:t>BR-10-02 Accesso dati personali minimizzato.</w:t>
      </w:r>
    </w:p>
    <w:p>
      <w:r>
        <w:t>BR-10-03 Ruoli admin periodicamente rivisti.</w:t>
      </w:r>
    </w:p>
    <w:p>
      <w:pPr>
        <w:pStyle w:val="Heading2"/>
      </w:pPr>
      <w:r>
        <w:t>KPI e Change 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4535"/>
            <w:shd w:fill="E2E8F0"/>
            <w:vAlign w:val="top"/>
          </w:tcPr>
          <w:p>
            <w:r/>
            <w:r>
              <w:rPr>
                <w:b/>
                <w:color w:val="172033"/>
                <w:sz w:val="16"/>
              </w:rPr>
              <w:t>KPI</w:t>
            </w:r>
          </w:p>
        </w:tc>
        <w:tc>
          <w:tcPr>
            <w:tcW w:type="dxa" w:w="4535"/>
            <w:shd w:fill="E2E8F0"/>
            <w:vAlign w:val="top"/>
          </w:tcPr>
          <w:p>
            <w:r/>
            <w:r>
              <w:rPr>
                <w:b/>
                <w:color w:val="172033"/>
                <w:sz w:val="16"/>
              </w:rPr>
              <w:t>Change Request</w:t>
            </w:r>
          </w:p>
        </w:tc>
      </w:tr>
      <w:tr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sensitive actions logged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ACR-018</w:t>
            </w:r>
          </w:p>
        </w:tc>
      </w:tr>
      <w:tr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unauthorized attempts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ACR-018</w:t>
            </w:r>
          </w:p>
        </w:tc>
      </w:tr>
      <w:tr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role drift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ACR-018</w:t>
            </w:r>
          </w:p>
        </w:tc>
      </w:tr>
    </w:tbl>
    <w:p/>
    <w:p>
      <w:r>
        <w:br w:type="page"/>
      </w:r>
    </w:p>
    <w:p>
      <w:pPr>
        <w:pStyle w:val="Heading1"/>
      </w:pPr>
      <w:r>
        <w:t>Information Architecture TO-BE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fill="EDE9FE"/>
            <w:vAlign w:val="top"/>
          </w:tcPr>
          <w:p>
            <w:r/>
            <w:r>
              <w:rPr>
                <w:b/>
                <w:color w:val="172033"/>
                <w:sz w:val="15"/>
              </w:rPr>
              <w:t>Sezione TO-BE</w:t>
            </w:r>
          </w:p>
        </w:tc>
        <w:tc>
          <w:tcPr>
            <w:tcW w:type="dxa" w:w="2835"/>
            <w:shd w:fill="EDE9FE"/>
            <w:vAlign w:val="top"/>
          </w:tcPr>
          <w:p>
            <w:r/>
            <w:r>
              <w:rPr>
                <w:b/>
                <w:color w:val="172033"/>
                <w:sz w:val="15"/>
              </w:rPr>
              <w:t>Responsabilità</w:t>
            </w:r>
          </w:p>
        </w:tc>
        <w:tc>
          <w:tcPr>
            <w:tcW w:type="dxa" w:w="2835"/>
            <w:shd w:fill="EDE9FE"/>
            <w:vAlign w:val="top"/>
          </w:tcPr>
          <w:p>
            <w:r/>
            <w:r>
              <w:rPr>
                <w:b/>
                <w:color w:val="172033"/>
                <w:sz w:val="15"/>
              </w:rPr>
              <w:t>Motivazione</w:t>
            </w:r>
          </w:p>
        </w:tc>
        <w:tc>
          <w:tcPr>
            <w:tcW w:type="dxa" w:w="2835"/>
            <w:shd w:fill="EDE9FE"/>
            <w:vAlign w:val="top"/>
          </w:tcPr>
          <w:p>
            <w:r/>
            <w:r>
              <w:rPr>
                <w:b/>
                <w:color w:val="172033"/>
                <w:sz w:val="15"/>
              </w:rPr>
              <w:t>Dipendenze cross-portale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5"/>
              </w:rPr>
              <w:t>Command Center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5"/>
              </w:rPr>
              <w:t>Priorità operative e anomalie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5"/>
              </w:rPr>
              <w:t>Admin lavora per code e SLA, non per menu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5"/>
              </w:rPr>
              <w:t>Tutti i portali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5"/>
              </w:rPr>
              <w:t>Supply Governance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5"/>
              </w:rPr>
              <w:t>Partner, centri, lead e approvazioni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5"/>
              </w:rPr>
              <w:t>Garantisce qualità e crescita offerta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5"/>
              </w:rPr>
              <w:t>Partner onboarding, Parent suggestions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5"/>
              </w:rPr>
              <w:t>Catalog Governance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5"/>
              </w:rPr>
              <w:t>Attività, tassonomie, contenuti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5"/>
              </w:rPr>
              <w:t>Rende la ricerca Parent coerente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5"/>
              </w:rPr>
              <w:t>Partner activity creation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5"/>
              </w:rPr>
              <w:t>Marketplace Operations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5"/>
              </w:rPr>
              <w:t>Booking, richieste, supporto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5"/>
              </w:rPr>
              <w:t>Riduce frizioni transazionali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5"/>
              </w:rPr>
              <w:t>Parent/Partner status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5"/>
              </w:rPr>
              <w:t>Services Platform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5"/>
              </w:rPr>
              <w:t>Fornitori e servizi extra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5"/>
              </w:rPr>
              <w:t>Abilita efficienze B2B e nuove revenue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5"/>
              </w:rPr>
              <w:t>Partner services, Parent extras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5"/>
              </w:rPr>
              <w:t>System Governance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5"/>
              </w:rPr>
              <w:t>Ruoli, audit, configurazioni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5"/>
              </w:rPr>
              <w:t>Sicurezza e controllo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5"/>
              </w:rPr>
              <w:t>Tutti i domini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Partner Review &amp; Trust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Candidature, verifiche, checklist, score, livelli e storico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Unifica qualità di ingresso e monitoraggio continuo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Partner onboarding, Parent catalog/ranking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Activation Oversight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Walkthrough, tutorial progress, profilo e first publish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Riduce partner approvati ma inattivi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Partner Dashboard, Activity, Notifications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Referral &amp; Incentives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CenterLead, attribution, reward, commission tier e anti-abuso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Trasforma domanda non servita in crescita supply sostenibile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Parent suggestion, Partner onboarding, Commercial ledger</w:t>
            </w:r>
          </w:p>
        </w:tc>
      </w:tr>
    </w:tbl>
    <w:p/>
    <w:p>
      <w:r>
        <w:br w:type="page"/>
      </w:r>
    </w:p>
    <w:p>
      <w:pPr>
        <w:pStyle w:val="Heading1"/>
      </w:pPr>
      <w:r>
        <w:t>Domain Model e ownership dati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1701"/>
            <w:shd w:fill="EDE9FE"/>
            <w:vAlign w:val="top"/>
          </w:tcPr>
          <w:p>
            <w:r/>
            <w:r>
              <w:rPr>
                <w:b/>
                <w:color w:val="172033"/>
                <w:sz w:val="14"/>
              </w:rPr>
              <w:t>Dominio</w:t>
            </w:r>
          </w:p>
        </w:tc>
        <w:tc>
          <w:tcPr>
            <w:tcW w:type="dxa" w:w="2835"/>
            <w:shd w:fill="EDE9FE"/>
            <w:vAlign w:val="top"/>
          </w:tcPr>
          <w:p>
            <w:r/>
            <w:r>
              <w:rPr>
                <w:b/>
                <w:color w:val="172033"/>
                <w:sz w:val="14"/>
              </w:rPr>
              <w:t>Entità principali</w:t>
            </w:r>
          </w:p>
        </w:tc>
        <w:tc>
          <w:tcPr>
            <w:tcW w:type="dxa" w:w="1701"/>
            <w:shd w:fill="EDE9FE"/>
            <w:vAlign w:val="top"/>
          </w:tcPr>
          <w:p>
            <w:r/>
            <w:r>
              <w:rPr>
                <w:b/>
                <w:color w:val="172033"/>
                <w:sz w:val="14"/>
              </w:rPr>
              <w:t>Owner scrittura</w:t>
            </w:r>
          </w:p>
        </w:tc>
        <w:tc>
          <w:tcPr>
            <w:tcW w:type="dxa" w:w="1701"/>
            <w:shd w:fill="EDE9FE"/>
            <w:vAlign w:val="top"/>
          </w:tcPr>
          <w:p>
            <w:r/>
            <w:r>
              <w:rPr>
                <w:b/>
                <w:color w:val="172033"/>
                <w:sz w:val="14"/>
              </w:rPr>
              <w:t>Portali consumatori</w:t>
            </w:r>
          </w:p>
        </w:tc>
        <w:tc>
          <w:tcPr>
            <w:tcW w:type="dxa" w:w="2835"/>
            <w:shd w:fill="EDE9FE"/>
            <w:vAlign w:val="top"/>
          </w:tcPr>
          <w:p>
            <w:r/>
            <w:r>
              <w:rPr>
                <w:b/>
                <w:color w:val="172033"/>
                <w:sz w:val="14"/>
              </w:rPr>
              <w:t>Regole chiave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Supply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4"/>
              </w:rPr>
              <w:t>Partner, Center, CenterLead, CenterClaim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Admin/Partner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Parent, Partner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4"/>
              </w:rPr>
              <w:t>Lead suggeriti e centri iscritti sono stati distinti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Catalog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4"/>
              </w:rPr>
              <w:t>Activity, Taxonomy, QualityScore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Admin/Partner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Parent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4"/>
              </w:rPr>
              <w:t>Pubblicazione governata da qualità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Transaction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4"/>
              </w:rPr>
              <w:t>Booking, Request, PaymentEvent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Parent/Partner/Admin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Tutti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4"/>
              </w:rPr>
              <w:t>Stati e ledger derivano da eventi tracciati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Services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4"/>
              </w:rPr>
              <w:t>Supplier, ExtraService, SLA, CoverageArea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Admin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Partner, Parent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4"/>
              </w:rPr>
              <w:t>Servizi extra richiedono fornitore valido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Support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4"/>
              </w:rPr>
              <w:t>Ticket, BetaFeedback, Resolution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Admin/Product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Parent, Partner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4"/>
              </w:rPr>
              <w:t>Feedback convertibile in CR o bug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Security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4"/>
              </w:rPr>
              <w:t>AdminUser, Role, AuditEvent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Admin Superuser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4"/>
              </w:rPr>
              <w:t>Azione sensibile sempre tracciata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Analytics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4"/>
              </w:rPr>
              <w:t>Event, KPI, Cohort, Report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Admin/Product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Business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4"/>
              </w:rPr>
              <w:t>Metriche collegate a decisioni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Partner verification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PartnerVerification, VerificationStatus, VerificationDocument, AdminReview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Admin/Partner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Partner, Admin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Decisioni e fonti versionate; nessuna pubblicazione prima di approvazione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Trust governance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TrustScoreHistory, TrustWeightVersion, PartnerLevel, PartnerRanking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System/Admin config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Admin, Search/Ranking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Score automatico, non sovrascrivibile; pesi e soglie versionati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Activation oversight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TutorialProgress, TutorialModule, ChecklistItem, ProfileCompleteness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Partner/System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Partner, Admin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Admin monitora, Partner esegue; motori generici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Referral economics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ReferralAttribution, ReferralReward, PartnerIncentive, EligibilityDecision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System/Admin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Parent, Partner, Finance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Reward e fee ridotta solo dopo eventi e target eleggibili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Notification &amp; audit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Notification, NotificationTemplate, AuditEvent, CorrectionEvent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System/Admin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Partner, Admin, Parent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Stati e azioni critiche hanno comunicazioni e audit append-only</w:t>
            </w:r>
          </w:p>
        </w:tc>
      </w:tr>
    </w:tbl>
    <w:p/>
    <w:p>
      <w:r>
        <w:br w:type="page"/>
      </w:r>
    </w:p>
    <w:p>
      <w:pPr>
        <w:pStyle w:val="Heading1"/>
      </w:pPr>
      <w:r>
        <w:t>Matrice Processi × Pagine × Responsabilità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</w:tblGrid>
      <w:tr>
        <w:tc>
          <w:tcPr>
            <w:tcW w:type="dxa" w:w="802"/>
            <w:shd w:fill="E2E8F0"/>
            <w:vAlign w:val="top"/>
          </w:tcPr>
          <w:p>
            <w:r/>
            <w:r>
              <w:rPr>
                <w:b/>
                <w:color w:val="172033"/>
                <w:sz w:val="12"/>
              </w:rPr>
              <w:t>Processo</w:t>
            </w:r>
          </w:p>
        </w:tc>
        <w:tc>
          <w:tcPr>
            <w:tcW w:type="dxa" w:w="802"/>
            <w:shd w:fill="E2E8F0"/>
            <w:vAlign w:val="top"/>
          </w:tcPr>
          <w:p>
            <w:r/>
            <w:r>
              <w:rPr>
                <w:b/>
                <w:color w:val="172033"/>
                <w:sz w:val="12"/>
              </w:rPr>
              <w:t>Dashboard Admin</w:t>
            </w:r>
          </w:p>
        </w:tc>
        <w:tc>
          <w:tcPr>
            <w:tcW w:type="dxa" w:w="802"/>
            <w:shd w:fill="E2E8F0"/>
            <w:vAlign w:val="top"/>
          </w:tcPr>
          <w:p>
            <w:r/>
            <w:r>
              <w:rPr>
                <w:b/>
                <w:color w:val="172033"/>
                <w:sz w:val="12"/>
              </w:rPr>
              <w:t>Approvazioni Par</w:t>
            </w:r>
          </w:p>
        </w:tc>
        <w:tc>
          <w:tcPr>
            <w:tcW w:type="dxa" w:w="802"/>
            <w:shd w:fill="E2E8F0"/>
            <w:vAlign w:val="top"/>
          </w:tcPr>
          <w:p>
            <w:r/>
            <w:r>
              <w:rPr>
                <w:b/>
                <w:color w:val="172033"/>
                <w:sz w:val="12"/>
              </w:rPr>
              <w:t>Dettaglio Partne</w:t>
            </w:r>
          </w:p>
        </w:tc>
        <w:tc>
          <w:tcPr>
            <w:tcW w:type="dxa" w:w="802"/>
            <w:shd w:fill="E2E8F0"/>
            <w:vAlign w:val="top"/>
          </w:tcPr>
          <w:p>
            <w:r/>
            <w:r>
              <w:rPr>
                <w:b/>
                <w:color w:val="172033"/>
                <w:sz w:val="12"/>
              </w:rPr>
              <w:t>Registry Centri</w:t>
            </w:r>
          </w:p>
        </w:tc>
        <w:tc>
          <w:tcPr>
            <w:tcW w:type="dxa" w:w="802"/>
            <w:shd w:fill="E2E8F0"/>
            <w:vAlign w:val="top"/>
          </w:tcPr>
          <w:p>
            <w:r/>
            <w:r>
              <w:rPr>
                <w:b/>
                <w:color w:val="172033"/>
                <w:sz w:val="12"/>
              </w:rPr>
              <w:t>Catalogo Attivit</w:t>
            </w:r>
          </w:p>
        </w:tc>
        <w:tc>
          <w:tcPr>
            <w:tcW w:type="dxa" w:w="802"/>
            <w:shd w:fill="E2E8F0"/>
            <w:vAlign w:val="top"/>
          </w:tcPr>
          <w:p>
            <w:r/>
            <w:r>
              <w:rPr>
                <w:b/>
                <w:color w:val="172033"/>
                <w:sz w:val="12"/>
              </w:rPr>
              <w:t>Dettaglio Attivi</w:t>
            </w:r>
          </w:p>
        </w:tc>
        <w:tc>
          <w:tcPr>
            <w:tcW w:type="dxa" w:w="802"/>
            <w:shd w:fill="E2E8F0"/>
            <w:vAlign w:val="top"/>
          </w:tcPr>
          <w:p>
            <w:r/>
            <w:r>
              <w:rPr>
                <w:b/>
                <w:color w:val="172033"/>
                <w:sz w:val="12"/>
              </w:rPr>
              <w:t>Prenotazioni Adm</w:t>
            </w:r>
          </w:p>
        </w:tc>
        <w:tc>
          <w:tcPr>
            <w:tcW w:type="dxa" w:w="802"/>
            <w:shd w:fill="E2E8F0"/>
            <w:vAlign w:val="top"/>
          </w:tcPr>
          <w:p>
            <w:r/>
            <w:r>
              <w:rPr>
                <w:b/>
                <w:color w:val="172033"/>
                <w:sz w:val="12"/>
              </w:rPr>
              <w:t>Richieste / Lead</w:t>
            </w:r>
          </w:p>
        </w:tc>
        <w:tc>
          <w:tcPr>
            <w:tcW w:type="dxa" w:w="802"/>
            <w:shd w:fill="E2E8F0"/>
            <w:vAlign w:val="top"/>
          </w:tcPr>
          <w:p>
            <w:r/>
            <w:r>
              <w:rPr>
                <w:b/>
                <w:color w:val="172033"/>
                <w:sz w:val="12"/>
              </w:rPr>
              <w:t>Utenti e Famigli</w:t>
            </w:r>
          </w:p>
        </w:tc>
        <w:tc>
          <w:tcPr>
            <w:tcW w:type="dxa" w:w="802"/>
            <w:shd w:fill="E2E8F0"/>
            <w:vAlign w:val="top"/>
          </w:tcPr>
          <w:p>
            <w:r/>
            <w:r>
              <w:rPr>
                <w:b/>
                <w:color w:val="172033"/>
                <w:sz w:val="12"/>
              </w:rPr>
              <w:t>Pagamenti / Comm</w:t>
            </w:r>
          </w:p>
        </w:tc>
        <w:tc>
          <w:tcPr>
            <w:tcW w:type="dxa" w:w="802"/>
            <w:shd w:fill="E2E8F0"/>
            <w:vAlign w:val="top"/>
          </w:tcPr>
          <w:p>
            <w:r/>
            <w:r>
              <w:rPr>
                <w:b/>
                <w:color w:val="172033"/>
                <w:sz w:val="12"/>
              </w:rPr>
              <w:t>Servizi Extra</w:t>
            </w:r>
          </w:p>
        </w:tc>
        <w:tc>
          <w:tcPr>
            <w:tcW w:type="dxa" w:w="802"/>
            <w:shd w:fill="E2E8F0"/>
            <w:vAlign w:val="top"/>
          </w:tcPr>
          <w:p>
            <w:r/>
            <w:r>
              <w:rPr>
                <w:b/>
                <w:color w:val="172033"/>
                <w:sz w:val="12"/>
              </w:rPr>
              <w:t>Fornitori</w:t>
            </w:r>
          </w:p>
        </w:tc>
      </w:tr>
      <w:tr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Approva e attiva partner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R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C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C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C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C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R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C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C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C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C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R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C</w:t>
            </w:r>
          </w:p>
        </w:tc>
      </w:tr>
      <w:tr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Governance qualità attività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C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S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R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S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C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S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R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S</w:t>
            </w:r>
          </w:p>
        </w:tc>
      </w:tr>
      <w:tr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Gestione booking anomali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C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S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R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S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C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R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S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</w:tr>
      <w:tr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Pipeline domanda non servita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C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R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S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S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R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S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</w:tr>
      <w:tr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Servizi extra e fornitori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C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R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S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S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R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C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S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R</w:t>
            </w:r>
          </w:p>
        </w:tc>
      </w:tr>
      <w:tr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Supporto unificato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R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S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S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R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C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R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</w:tr>
      <w:tr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Tassonomie e catalogo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C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S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R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S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C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R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</w:tr>
      <w:tr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Commercial governance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C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C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C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R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C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C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C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C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R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C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C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C</w:t>
            </w:r>
          </w:p>
        </w:tc>
      </w:tr>
      <w:tr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Feature flags e configurazioni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C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S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R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S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R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S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</w:tr>
      <w:tr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Audit e sicurezza interna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C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R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S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R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C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S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8FAFC"/>
          </w:tcPr>
          <w:p>
            <w:r>
              <w:rPr>
                <w:b/>
                <w:color w:val="172033"/>
                <w:sz w:val="20"/>
              </w:rPr>
              <w:t>Legenda</w:t>
              <w:br/>
            </w:r>
            <w:r>
              <w:rPr>
                <w:sz w:val="18"/>
              </w:rPr>
              <w:t>R = responsabilità primaria; S = supporto operativo; C = controllo/governance; vuoto = non coinvolta.</w:t>
            </w:r>
          </w:p>
        </w:tc>
      </w:tr>
    </w:tbl>
    <w:p/>
    <w:p>
      <w:r>
        <w:br w:type="page"/>
      </w:r>
    </w:p>
    <w:p>
      <w:pPr>
        <w:pStyle w:val="Heading1"/>
      </w:pPr>
      <w:r>
        <w:t>Backlog Change 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907"/>
            <w:shd w:fill="EDE9FE"/>
            <w:vAlign w:val="top"/>
          </w:tcPr>
          <w:p>
            <w:r/>
            <w:r>
              <w:rPr>
                <w:b/>
                <w:color w:val="172033"/>
                <w:sz w:val="14"/>
              </w:rPr>
              <w:t>ID</w:t>
            </w:r>
          </w:p>
        </w:tc>
        <w:tc>
          <w:tcPr>
            <w:tcW w:type="dxa" w:w="1701"/>
            <w:shd w:fill="EDE9FE"/>
            <w:vAlign w:val="top"/>
          </w:tcPr>
          <w:p>
            <w:r/>
            <w:r>
              <w:rPr>
                <w:b/>
                <w:color w:val="172033"/>
                <w:sz w:val="14"/>
              </w:rPr>
              <w:t>Area</w:t>
            </w:r>
          </w:p>
        </w:tc>
        <w:tc>
          <w:tcPr>
            <w:tcW w:type="dxa" w:w="3969"/>
            <w:shd w:fill="EDE9FE"/>
            <w:vAlign w:val="top"/>
          </w:tcPr>
          <w:p>
            <w:r/>
            <w:r>
              <w:rPr>
                <w:b/>
                <w:color w:val="172033"/>
                <w:sz w:val="14"/>
              </w:rPr>
              <w:t>Descrizione</w:t>
            </w:r>
          </w:p>
        </w:tc>
        <w:tc>
          <w:tcPr>
            <w:tcW w:type="dxa" w:w="794"/>
            <w:shd w:fill="EDE9FE"/>
            <w:vAlign w:val="top"/>
          </w:tcPr>
          <w:p>
            <w:r/>
            <w:r>
              <w:rPr>
                <w:b/>
                <w:color w:val="172033"/>
                <w:sz w:val="14"/>
              </w:rPr>
              <w:t>Priorità</w:t>
            </w:r>
          </w:p>
        </w:tc>
        <w:tc>
          <w:tcPr>
            <w:tcW w:type="dxa" w:w="1701"/>
            <w:shd w:fill="EDE9FE"/>
            <w:vAlign w:val="top"/>
          </w:tcPr>
          <w:p>
            <w:r/>
            <w:r>
              <w:rPr>
                <w:b/>
                <w:color w:val="172033"/>
                <w:sz w:val="14"/>
              </w:rPr>
              <w:t>Dipendenze</w:t>
            </w:r>
          </w:p>
        </w:tc>
        <w:tc>
          <w:tcPr>
            <w:tcW w:type="dxa" w:w="680"/>
            <w:shd w:fill="EDE9FE"/>
            <w:vAlign w:val="top"/>
          </w:tcPr>
          <w:p>
            <w:r/>
            <w:r>
              <w:rPr>
                <w:b/>
                <w:color w:val="172033"/>
                <w:sz w:val="14"/>
              </w:rPr>
              <w:t>Sprint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ACR-001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Governance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4"/>
              </w:rPr>
              <w:t>Admin command center operativo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b w:val="0"/>
                <w:sz w:val="14"/>
              </w:rPr>
              <w:t>S6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ACR-002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Booking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4"/>
              </w:rPr>
              <w:t>Workflow approvazione Partner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Partner model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b w:val="0"/>
                <w:sz w:val="14"/>
              </w:rPr>
              <w:t>S6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ACR-003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Supply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4"/>
              </w:rPr>
              <w:t>Partner 360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Partner model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b w:val="0"/>
                <w:sz w:val="14"/>
              </w:rPr>
              <w:t>S8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ACR-004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Services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4"/>
              </w:rPr>
              <w:t>Registry centri e lead dedupe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CenterLead model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b w:val="0"/>
                <w:sz w:val="14"/>
              </w:rPr>
              <w:t>S6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ACR-005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Support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4"/>
              </w:rPr>
              <w:t>Activity quality workflow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b w:val="0"/>
                <w:sz w:val="14"/>
              </w:rPr>
              <w:t>S6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ACR-006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Taxonomy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4"/>
              </w:rPr>
              <w:t>Modifiche governate attività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b w:val="0"/>
                <w:sz w:val="14"/>
              </w:rPr>
              <w:t>S8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ACR-007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Finance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4"/>
              </w:rPr>
              <w:t>Booking operations queue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Booking model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b w:val="0"/>
                <w:sz w:val="14"/>
              </w:rPr>
              <w:t>S6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ACR-008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Security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4"/>
              </w:rPr>
              <w:t>Code domanda e supply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CenterLead model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b w:val="0"/>
                <w:sz w:val="14"/>
              </w:rPr>
              <w:t>S6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ACR-009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Approvals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4"/>
              </w:rPr>
              <w:t>Permessi supporto famiglie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b w:val="0"/>
                <w:sz w:val="14"/>
              </w:rPr>
              <w:t>S8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ACR-010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Governance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4"/>
              </w:rPr>
              <w:t>Commercial ledger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Booking model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b w:val="0"/>
                <w:sz w:val="14"/>
              </w:rPr>
              <w:t>S8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ACR-011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Booking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4"/>
              </w:rPr>
              <w:t>Piattaforma servizi extra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Service/Supplier model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b w:val="0"/>
                <w:sz w:val="14"/>
              </w:rPr>
              <w:t>S7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ACR-012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Supply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4"/>
              </w:rPr>
              <w:t>Supplier model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Service/Supplier model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b w:val="0"/>
                <w:sz w:val="14"/>
              </w:rPr>
              <w:t>S8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ACR-013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Services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4"/>
              </w:rPr>
              <w:t>Taxonomy governance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b w:val="0"/>
                <w:sz w:val="14"/>
              </w:rPr>
              <w:t>S7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ACR-014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Support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4"/>
              </w:rPr>
              <w:t>Ecosystem analytics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b w:val="0"/>
                <w:sz w:val="14"/>
              </w:rPr>
              <w:t>S8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ACR-015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Taxonomy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4"/>
              </w:rPr>
              <w:t>Unified support queue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b w:val="0"/>
                <w:sz w:val="14"/>
              </w:rPr>
              <w:t>S7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ACR-016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Finance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4"/>
              </w:rPr>
              <w:t>Beta feedback triage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b w:val="0"/>
                <w:sz w:val="14"/>
              </w:rPr>
              <w:t>S7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ACR-017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Security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4"/>
              </w:rPr>
              <w:t>Configurazione controllata e rollback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b w:val="0"/>
                <w:sz w:val="14"/>
              </w:rPr>
              <w:t>S8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ACR-018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Approvals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4"/>
              </w:rPr>
              <w:t>Audit log e ruoli Admin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b w:val="0"/>
                <w:sz w:val="14"/>
              </w:rPr>
              <w:t>S7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ACR-019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Governance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4"/>
              </w:rPr>
              <w:t>Checklist qualità centro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Partner model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b w:val="0"/>
                <w:sz w:val="14"/>
              </w:rPr>
              <w:t>S8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ACR-020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Booking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4"/>
              </w:rPr>
              <w:t>Reason code richieste integrazione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Partner model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b w:val="0"/>
                <w:sz w:val="14"/>
              </w:rPr>
              <w:t>S9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ACR-021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Supply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4"/>
              </w:rPr>
              <w:t>Scoring marketplace health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b w:val="0"/>
                <w:sz w:val="14"/>
              </w:rPr>
              <w:t>S9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ACR-022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Services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4"/>
              </w:rPr>
              <w:t>SLA engine richieste/prenotazioni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Booking model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b w:val="0"/>
                <w:sz w:val="14"/>
              </w:rPr>
              <w:t>S9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ACR-023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Support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4"/>
              </w:rPr>
              <w:t>Lead supply outreach tracking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CenterLead model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b w:val="0"/>
                <w:sz w:val="14"/>
              </w:rPr>
              <w:t>S9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ACR-024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Taxonomy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4"/>
              </w:rPr>
              <w:t>Center claim process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CenterLead model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b w:val="0"/>
                <w:sz w:val="14"/>
              </w:rPr>
              <w:t>S9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ACR-025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Finance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4"/>
              </w:rPr>
              <w:t>Cohort beta management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b w:val="0"/>
                <w:sz w:val="14"/>
              </w:rPr>
              <w:t>S9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ACR-026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Security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4"/>
              </w:rPr>
              <w:t>Incident management operativo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b w:val="0"/>
                <w:sz w:val="14"/>
              </w:rPr>
              <w:t>S9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ACR-027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Approvals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4"/>
              </w:rPr>
              <w:t>Commission versioning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Booking model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b w:val="0"/>
                <w:sz w:val="14"/>
              </w:rPr>
              <w:t>S9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ACR-028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Governance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4"/>
              </w:rPr>
              <w:t>Supplier SLA monitoring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Service/Supplier model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b w:val="0"/>
                <w:sz w:val="14"/>
              </w:rPr>
              <w:t>S9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ACR-029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Booking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4"/>
              </w:rPr>
              <w:t>Data access minimization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b w:val="0"/>
                <w:sz w:val="14"/>
              </w:rPr>
              <w:t>S10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ACR-030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Supply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4"/>
              </w:rPr>
              <w:t>Admin feature flags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b w:val="0"/>
                <w:sz w:val="14"/>
              </w:rPr>
              <w:t>S10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ACR-031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Services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4"/>
              </w:rPr>
              <w:t>Report settimanale pilot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b w:val="0"/>
                <w:sz w:val="14"/>
              </w:rPr>
              <w:t>S10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ACR-032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Support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4"/>
              </w:rPr>
              <w:t>Playwright Admin journeys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b w:val="0"/>
                <w:sz w:val="14"/>
              </w:rPr>
              <w:t>S7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ACR-033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Taxonomy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4"/>
              </w:rPr>
              <w:t>Data retention policies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b w:val="0"/>
                <w:sz w:val="14"/>
              </w:rPr>
              <w:t>S10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ACR-034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Finance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4"/>
              </w:rPr>
              <w:t>Cross-portal event catalog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b w:val="0"/>
                <w:sz w:val="14"/>
              </w:rPr>
              <w:t>S10</w:t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ACR-035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Approvals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Dashboard candidature con card, quick actions e SLA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P0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Partner request model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S6</w:t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ACR-036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Approvals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State machine Partner, permessi, reason code e comunicazioni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P0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ACR-035, Partner PCR-039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S6</w:t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ACR-037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Verification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Modello fonti/documenti e adapter per verifica futura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P1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PartnerVerification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S6-S7</w:t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ACR-038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Activation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Oversight checklist, completezza e first publish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P1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Partner PCR-042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S7</w:t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ACR-039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Activation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Oversight tutorial progress e re-engagement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P1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Partner PCR-040/041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S7</w:t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ACR-040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Trust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Trust Score engine interno e history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P1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Event catalog, analytics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S9</w:t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ACR-041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Trust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Configurazione pesi/soglie Trust versionata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P1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ACR-040, RBAC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S9</w:t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ACR-042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Trust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Partnership Level e ranking governance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P2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ACR-040/041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S10</w:t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ACR-043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Platform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Notification Center e template per stati Partner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P1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ACR-036, event catalog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S7</w:t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ACR-044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Growth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Referral attribution, dedupe e anti-abuso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P1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CenterLead, Parent CR-051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S9</w:t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ACR-045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Commercial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Reward Genitore e commission incentive eligibility/ledger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P1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ACR-010, ACR-044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S9-S10</w:t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ACR-046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Security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Audit esteso per trust, review, livelli e incentivi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P0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ACR-018, ACR-036/041/045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S6-S10</w:t>
            </w:r>
          </w:p>
        </w:tc>
      </w:tr>
    </w:tbl>
    <w:p/>
    <w:p>
      <w:pPr>
        <w:pStyle w:val="Heading1"/>
      </w:pPr>
      <w:r>
        <w:t>Roadmap per Sprint e criteri di accettazione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850"/>
            <w:shd w:fill="EDE9FE"/>
            <w:vAlign w:val="top"/>
          </w:tcPr>
          <w:p>
            <w:r/>
            <w:r>
              <w:rPr>
                <w:b/>
                <w:color w:val="172033"/>
                <w:sz w:val="15"/>
              </w:rPr>
              <w:t>Sprint</w:t>
            </w:r>
          </w:p>
        </w:tc>
        <w:tc>
          <w:tcPr>
            <w:tcW w:type="dxa" w:w="2268"/>
            <w:shd w:fill="EDE9FE"/>
            <w:vAlign w:val="top"/>
          </w:tcPr>
          <w:p>
            <w:r/>
            <w:r>
              <w:rPr>
                <w:b/>
                <w:color w:val="172033"/>
                <w:sz w:val="15"/>
              </w:rPr>
              <w:t>Obiettivo</w:t>
            </w:r>
          </w:p>
        </w:tc>
        <w:tc>
          <w:tcPr>
            <w:tcW w:type="dxa" w:w="2268"/>
            <w:shd w:fill="EDE9FE"/>
            <w:vAlign w:val="top"/>
          </w:tcPr>
          <w:p>
            <w:r/>
            <w:r>
              <w:rPr>
                <w:b/>
                <w:color w:val="172033"/>
                <w:sz w:val="15"/>
              </w:rPr>
              <w:t>CR principali</w:t>
            </w:r>
          </w:p>
        </w:tc>
        <w:tc>
          <w:tcPr>
            <w:tcW w:type="dxa" w:w="3969"/>
            <w:shd w:fill="EDE9FE"/>
            <w:vAlign w:val="top"/>
          </w:tcPr>
          <w:p>
            <w:r/>
            <w:r>
              <w:rPr>
                <w:b/>
                <w:color w:val="172033"/>
                <w:sz w:val="15"/>
              </w:rPr>
              <w:t>Criteri di accettazione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S6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Control Room e ingresso Partner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ACR-001,002,004,005,018,035-037,046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Candidature in card; state machine e quick actions; audit e notifiche; lead/centri distinti; nessuna decisione priva di reason code. Gate pre-coding: journey, BPMN, state machine, wireframe Partner/Admin, module architecture, ER, migrazione, rollout, test e microcopy approvati.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S7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Activation oversight e supporto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ACR-015,016,032,038,039,043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Checklist e tutorial osservabili; unified support; feedback beta; notifiche; Playwright review-to-first-publish verdi.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S8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Booking, catalogo e servizi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ACR-006-013,017,019,020,022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Quality workflow, booking exceptions, tassonomie e service model; config/rollback operativi.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S9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Trust e referral economics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ACR-014,021,023-028,040,041,044,045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Trust history e pesi versionati; referral attribution; shadow ledger reward/commission; anti-abuso e marketplace health.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S10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Livelli, sicurezza e hardening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ACR-029-034,042,046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Partnership Level, RBAC, retention, audit coverage, event catalog e quality gates cross-portale superati.</w:t>
            </w:r>
          </w:p>
        </w:tc>
      </w:tr>
    </w:tbl>
    <w:p/>
    <w:p>
      <w:r>
        <w:br w:type="page"/>
      </w:r>
    </w:p>
    <w:p>
      <w:pPr>
        <w:pStyle w:val="Heading1"/>
      </w:pPr>
      <w:r>
        <w:t>KPI di prodotto, UX e qualità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fill="EDE9FE"/>
            <w:vAlign w:val="top"/>
          </w:tcPr>
          <w:p>
            <w:r/>
            <w:r>
              <w:rPr>
                <w:b/>
                <w:color w:val="172033"/>
                <w:sz w:val="15"/>
              </w:rPr>
              <w:t>KPI</w:t>
            </w:r>
          </w:p>
        </w:tc>
        <w:tc>
          <w:tcPr>
            <w:tcW w:type="dxa" w:w="3969"/>
            <w:shd w:fill="EDE9FE"/>
            <w:vAlign w:val="top"/>
          </w:tcPr>
          <w:p>
            <w:r/>
            <w:r>
              <w:rPr>
                <w:b/>
                <w:color w:val="172033"/>
                <w:sz w:val="15"/>
              </w:rPr>
              <w:t>Definizione</w:t>
            </w:r>
          </w:p>
        </w:tc>
        <w:tc>
          <w:tcPr>
            <w:tcW w:type="dxa" w:w="1134"/>
            <w:shd w:fill="EDE9FE"/>
            <w:vAlign w:val="top"/>
          </w:tcPr>
          <w:p>
            <w:r/>
            <w:r>
              <w:rPr>
                <w:b/>
                <w:color w:val="172033"/>
                <w:sz w:val="15"/>
              </w:rPr>
              <w:t>Owner</w:t>
            </w:r>
          </w:p>
        </w:tc>
        <w:tc>
          <w:tcPr>
            <w:tcW w:type="dxa" w:w="1701"/>
            <w:shd w:fill="EDE9FE"/>
            <w:vAlign w:val="top"/>
          </w:tcPr>
          <w:p>
            <w:r/>
            <w:r>
              <w:rPr>
                <w:b/>
                <w:color w:val="172033"/>
                <w:sz w:val="15"/>
              </w:rPr>
              <w:t>Target iniziale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5"/>
              </w:rPr>
              <w:t>Marketplace Health Score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5"/>
              </w:rPr>
              <w:t>Indice combinato supply, domanda, qualità e anomalie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5"/>
              </w:rPr>
              <w:t>Product/Business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5"/>
              </w:rPr>
              <w:t>Baseline pilot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5"/>
              </w:rPr>
              <w:t>Time to Approve Partner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5"/>
              </w:rPr>
              <w:t>Tempo da submission a decisione Admin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5"/>
              </w:rPr>
              <w:t>Ops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5"/>
              </w:rPr>
              <w:t>&lt;3 giorni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5"/>
              </w:rPr>
              <w:t>Activity Quality Score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5"/>
              </w:rPr>
              <w:t>Qualità media schede pubblicate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5"/>
              </w:rPr>
              <w:t>Product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5"/>
              </w:rPr>
              <w:t>&gt;85/100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5"/>
              </w:rPr>
              <w:t>Stuck Booking Rate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5"/>
              </w:rPr>
              <w:t>Booking fermi oltre SLA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5"/>
              </w:rPr>
              <w:t>Ops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5"/>
              </w:rPr>
              <w:t>&lt;5%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5"/>
              </w:rPr>
              <w:t>Lost Demand Rate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5"/>
              </w:rPr>
              <w:t>Richieste senza risposta o senza offerta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5"/>
              </w:rPr>
              <w:t>Business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5"/>
              </w:rPr>
              <w:t>Trend decrescente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5"/>
              </w:rPr>
              <w:t>Lead to Active Center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5"/>
              </w:rPr>
              <w:t>Lead/suggerimenti convertiti in centro attivo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5"/>
              </w:rPr>
              <w:t>BizDev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5"/>
              </w:rPr>
              <w:t>Baseline pilot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5"/>
              </w:rPr>
              <w:t>Service Adoption Rate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5"/>
              </w:rPr>
              <w:t>Centri che adottano servizi extra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5"/>
              </w:rPr>
              <w:t>Business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5"/>
              </w:rPr>
              <w:t>Baseline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5"/>
              </w:rPr>
              <w:t>Audit Coverage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5"/>
              </w:rPr>
              <w:t>Azioni sensibili tracciate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5"/>
              </w:rPr>
              <w:t>Security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5"/>
              </w:rPr>
              <w:t>100%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Partner Application First Review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Tempo submission → prima azione Admin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Ops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&lt;1 giorno lavorativo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Decision Consistency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Decisioni conformi a checklist / decisioni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Product/Ops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&gt;95%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Approved-to-Active Conversion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Partner attivi / approvati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Business/Ops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&gt;60% pilot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Trust Data Coverage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Driver popolati / driver applicabili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Data/Product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100% driver MVP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Trust Manual Override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Modifiche manuali al punteggio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Security/Product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Referral Attribution Dispute Rate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Attribution contestate / referral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Growth/Ops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&lt;2%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Parent Reward Earn Rate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Reward earned / referral qualificati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Growth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Baseline pilot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Referral Partner Quality Compliance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Partner referral che mantengono target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Business/Ops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≥80%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Incentive Reversal Rate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Reward/fee reversed per abuso o errore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Finance/Ops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&lt;2%</w:t>
            </w:r>
          </w:p>
        </w:tc>
      </w:tr>
    </w:tbl>
    <w:p/>
    <w:p>
      <w:r>
        <w:br w:type="page"/>
      </w:r>
    </w:p>
    <w:p>
      <w:pPr>
        <w:pStyle w:val="Heading1"/>
      </w:pPr>
      <w:r>
        <w:t>Design Decision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794"/>
            <w:shd w:fill="EDE9FE"/>
            <w:vAlign w:val="top"/>
          </w:tcPr>
          <w:p>
            <w:r/>
            <w:r>
              <w:rPr>
                <w:b/>
                <w:color w:val="172033"/>
                <w:sz w:val="14"/>
              </w:rPr>
              <w:t>ID</w:t>
            </w:r>
          </w:p>
        </w:tc>
        <w:tc>
          <w:tcPr>
            <w:tcW w:type="dxa" w:w="2551"/>
            <w:shd w:fill="EDE9FE"/>
            <w:vAlign w:val="top"/>
          </w:tcPr>
          <w:p>
            <w:r/>
            <w:r>
              <w:rPr>
                <w:b/>
                <w:color w:val="172033"/>
                <w:sz w:val="14"/>
              </w:rPr>
              <w:t>Decisione</w:t>
            </w:r>
          </w:p>
        </w:tc>
        <w:tc>
          <w:tcPr>
            <w:tcW w:type="dxa" w:w="3118"/>
            <w:shd w:fill="EDE9FE"/>
            <w:vAlign w:val="top"/>
          </w:tcPr>
          <w:p>
            <w:r/>
            <w:r>
              <w:rPr>
                <w:b/>
                <w:color w:val="172033"/>
                <w:sz w:val="14"/>
              </w:rPr>
              <w:t>Razionale</w:t>
            </w:r>
          </w:p>
        </w:tc>
        <w:tc>
          <w:tcPr>
            <w:tcW w:type="dxa" w:w="1984"/>
            <w:shd w:fill="EDE9FE"/>
            <w:vAlign w:val="top"/>
          </w:tcPr>
          <w:p>
            <w:r/>
            <w:r>
              <w:rPr>
                <w:b/>
                <w:color w:val="172033"/>
                <w:sz w:val="14"/>
              </w:rPr>
              <w:t>Alternative</w:t>
            </w:r>
          </w:p>
        </w:tc>
        <w:tc>
          <w:tcPr>
            <w:tcW w:type="dxa" w:w="907"/>
            <w:shd w:fill="EDE9FE"/>
            <w:vAlign w:val="top"/>
          </w:tcPr>
          <w:p>
            <w:r/>
            <w:r>
              <w:rPr>
                <w:b/>
                <w:color w:val="172033"/>
                <w:sz w:val="14"/>
              </w:rPr>
              <w:t>Stato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ADDL-001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4"/>
              </w:rPr>
              <w:t>Admin come control plane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b w:val="0"/>
                <w:sz w:val="14"/>
              </w:rPr>
              <w:t>TRAMA deve governare processi, non solo dati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4"/>
              </w:rPr>
              <w:t>CRUD / command center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Proposed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ADDL-002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4"/>
              </w:rPr>
              <w:t>Approvazione con checklist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b w:val="0"/>
                <w:sz w:val="14"/>
              </w:rPr>
              <w:t>Qualità supply richiede criteri espliciti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4"/>
              </w:rPr>
              <w:t>Review libera / checklist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Proposed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ADDL-003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4"/>
              </w:rPr>
              <w:t>CenterLead distinto da Center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b w:val="0"/>
                <w:sz w:val="14"/>
              </w:rPr>
              <w:t>Suggerimenti Parent non sono centri pubblicabili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4"/>
              </w:rPr>
              <w:t>Unica anagrafica / lead model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Proposed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ADDL-004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4"/>
              </w:rPr>
              <w:t>Quality score attività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b w:val="0"/>
                <w:sz w:val="14"/>
              </w:rPr>
              <w:t>Catalogo affidabile richiede regole oggettive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4"/>
              </w:rPr>
              <w:t>Moderazione manuale / scoring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Proposed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ADDL-005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4"/>
              </w:rPr>
              <w:t>Booking exception queue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b w:val="0"/>
                <w:sz w:val="14"/>
              </w:rPr>
              <w:t>Admin deve vedere prima ciò che blocca valore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4"/>
              </w:rPr>
              <w:t>Lista completa / exception queue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Proposed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ADDL-006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4"/>
              </w:rPr>
              <w:t>Servizi extra B2B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b w:val="0"/>
                <w:sz w:val="14"/>
              </w:rPr>
              <w:t>Catering/navette creano nuovo sottodominio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4"/>
              </w:rPr>
              <w:t>Note testuali / service platform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Proposed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ADDL-007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4"/>
              </w:rPr>
              <w:t>Supplier model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b w:val="0"/>
                <w:sz w:val="14"/>
              </w:rPr>
              <w:t>Un servizio senza fornitore e SLA non è governabile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4"/>
              </w:rPr>
              <w:t>Servizio generico / supplier domain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Proposed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ADDL-008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4"/>
              </w:rPr>
              <w:t>Supporto unificato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b w:val="0"/>
                <w:sz w:val="14"/>
              </w:rPr>
              <w:t>Beta feedback e ticket devono alimentare backlog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4"/>
              </w:rPr>
              <w:t>Canali separati / unified queue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Proposed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ADDL-009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4"/>
              </w:rPr>
              <w:t>Tassonomie governate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b w:val="0"/>
                <w:sz w:val="14"/>
              </w:rPr>
              <w:t>Filtri Parent e creazione Partner devono condividere semantica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4"/>
              </w:rPr>
              <w:t>Hardcoded / admin taxonomy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Proposed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ADDL-010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4"/>
              </w:rPr>
              <w:t>Audit log obbligatorio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b w:val="0"/>
                <w:sz w:val="14"/>
              </w:rPr>
              <w:t>Dati sensibili e azioni critiche richiedono accountability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4"/>
              </w:rPr>
              <w:t>Logging parziale / audit trail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Proposed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ADDL-011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4"/>
              </w:rPr>
              <w:t>Feature flag controllati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b w:val="0"/>
                <w:sz w:val="14"/>
              </w:rPr>
              <w:t>Beta e rollout richiedono rollback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4"/>
              </w:rPr>
              <w:t>Deploy diretto / feature flags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Proposed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ADDL-012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4"/>
              </w:rPr>
              <w:t>Ledger commerciale event-based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b w:val="0"/>
                <w:sz w:val="14"/>
              </w:rPr>
              <w:t>Commissioni devono derivare da eventi di dominio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4"/>
              </w:rPr>
              <w:t>Calcoli manuali / ledger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Proposed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ADDL-013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Candidatura Partner come workflow card-based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Review e SLA non sono governabili con tabella CRUD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Generic table / review cards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Proposed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ADDL-014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State machine Partner centrale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Permessi e comunicazioni devono dipendere da un solo stato canonico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Flags locali / shared state machine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Proposed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ADDL-015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Trust Score non modificabile manualmente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Evitare favoritismi e perdita di spiegabilità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Admin override / configurable weights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Proposed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ADDL-016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Pesi Trust versionati con separation of duties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Cambi ranking hanno impatto economico e reputazionale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Config libera / governed version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Proposed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ADDL-017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Admin osserva, Partner completa il walkthrough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Evitare che Ops faccia data entry al posto della supply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Admin completion / Partner ownership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Proposed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ADDL-018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Center referral usa first-qualified attribution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Premiare acquisizione incrementale evitando duplicati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Last touch / first qualified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Proposed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ADDL-019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Reward Genitore solo dopo transazione confermata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La sola segnalazione incentiva spam e non genera valore verificato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Reward on submit / activation+booking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Proposed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ADDL-020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Commissione Partner ridotta solo con target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Fee agevolata deve premiare supply di qualità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Automatic discount / quality-gated tier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Proposed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ADDL-021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Incentivi gestiti da ledger event-based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Servono riconciliazione, reversal e audit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Manual notes / incentive ledger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Proposed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ADDL-022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Trust, checklist, tutorial e notification come shared engines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Riduce hardcoding e consente riuso sui tre portali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Vertical implementations / platform engines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Proposed</w:t>
            </w:r>
          </w:p>
        </w:tc>
      </w:tr>
    </w:tbl>
    <w:p/>
    <w:p>
      <w:r>
        <w:br w:type="page"/>
      </w:r>
    </w:p>
    <w:p>
      <w:pPr>
        <w:pStyle w:val="Heading1"/>
      </w:pPr>
      <w:r>
        <w:t>Conclusioni e punti di efficienza cross-portale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5F3FF"/>
          </w:tcPr>
          <w:p>
            <w:r/>
            <w:r>
              <w:rPr>
                <w:rFonts w:ascii="Arial" w:hAnsi="Arial"/>
                <w:b w:val="0"/>
                <w:sz w:val="17"/>
              </w:rPr>
              <w:t>Efficienze attese</w:t>
              <w:br/>
              <w:t>1. Review coerente: candidature, fonti, checklist e decisioni usano un unico workflow con SLA e audit.</w:t>
              <w:br/>
              <w:t>2. Meno Partner inattivi: Admin monitora walkthrough e first publish senza sostituirsi al Gestore.</w:t>
              <w:br/>
              <w:t>3. Trust spiegabile: score, pesi, livelli e ranking condividono eventi, history e configurazioni versionate.</w:t>
              <w:br/>
              <w:t>4. Crescita supply demand-driven: CenterLead e attribution collegano i gap Parent all’onboarding Partner.</w:t>
              <w:br/>
              <w:t>5. Incentivi sostenibili: reward e commissione ridotta sono condizionati a attivazione, booking e qualità.</w:t>
              <w:br/>
              <w:t>6. Meno lavoro manuale: code operative, notifiche e reason code sostituiscono e-mail e controlli ad hoc.</w:t>
              <w:br/>
              <w:t>7. Riutilizzo cross-portale: state machine, walkthrough, checklist, notification, audit e feature flags diventano servizi comuni.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07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64748B"/>
        <w:sz w:val="14"/>
      </w:rPr>
      <w:t>TRAMA Product Architecture &amp; CX Handbook | Draft 1.1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20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20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720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