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172033"/>
          <w:sz w:val="76"/>
        </w:rPr>
        <w:t>TRAMA</w:t>
      </w:r>
    </w:p>
    <w:p>
      <w:pPr>
        <w:jc w:val="center"/>
      </w:pPr>
      <w:r>
        <w:rPr>
          <w:b/>
          <w:color w:val="2563EB"/>
          <w:sz w:val="48"/>
        </w:rPr>
        <w:t>MVP SETTEMBRE 2026</w:t>
      </w:r>
    </w:p>
    <w:p>
      <w:pPr>
        <w:jc w:val="center"/>
      </w:pPr>
      <w:r>
        <w:rPr>
          <w:color w:val="64748B"/>
          <w:sz w:val="34"/>
        </w:rPr>
        <w:t>Piano integrato Parent · Partner · Admin</w:t>
      </w:r>
    </w:p>
    <w:p>
      <w:pPr>
        <w:spacing w:before="360"/>
        <w:jc w:val="center"/>
      </w:pPr>
      <w:r>
        <w:rPr>
          <w:b/>
          <w:color w:val="7E22CE"/>
          <w:sz w:val="44"/>
        </w:rPr>
        <w:t>Competitive Intelligence Italia</w:t>
      </w:r>
    </w:p>
    <w:p>
      <w:pPr>
        <w:jc w:val="center"/>
      </w:pPr>
      <w:r>
        <w:rPr>
          <w:color w:val="64748B"/>
          <w:sz w:val="24"/>
        </w:rPr>
        <w:t>Posizionamento, competitor, scelte build/partner/buy e piano di validazione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0FDF4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F0FDF4"/>
              <w:left w:val="single" w:sz="20" w:color="15803D"/>
              <w:bottom w:val="single" w:sz="4" w:color="F0FDF4"/>
              <w:right w:val="single" w:sz="4" w:color="F0FDF4"/>
            </w:tcBorders>
          </w:tcPr>
          <w:p>
            <w:r/>
            <w:r>
              <w:rPr>
                <w:rFonts w:ascii="Arial" w:hAnsi="Arial"/>
                <w:b w:val="0"/>
                <w:sz w:val="18"/>
              </w:rPr>
              <w:t>Decisione proposta</w:t>
              <w:br/>
              <w:t>Lanciare a fine settembre 2026 una beta privata e geograficamente concentrata. La revisione Partner rende strettamente necessario includere un Trust Layer minimo: richiesta “Diventa Partner TRAMA” in due minuti, verifica identità, review Admin, checklist e walkthrough fino alla prima pubblicazione. Trust Score completo, livelli e incentivi referral restano dietro feature flag/shadow mode e non devono ritardare la vertical slice domanda → richiesta → risposta → Planner.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Campo</w:t>
            </w:r>
          </w:p>
        </w:tc>
        <w:tc>
          <w:tcPr>
            <w:tcW w:type="dxa" w:w="6803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Valore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Versione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1.1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Data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8"/>
              </w:rPr>
              <w:t>16 luglio 2026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Stato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Piano operativo aggiornato - GO WITH CONDITIONS, Trust Layer minimo obbligatorio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Autore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8"/>
              </w:rPr>
              <w:t>Fabrizio Pirulli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Base documentale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8"/>
              </w:rPr>
              <w:t>Handbook Parent 1.1, Partner 1.0, Admin 1.0; sitemap 27/22/18 pagine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Indice</w:t>
      </w:r>
    </w:p>
    <w:p>
      <w:pPr>
        <w:spacing w:after="60"/>
      </w:pPr>
      <w:r>
        <w:rPr>
          <w:b/>
        </w:rPr>
        <w:t>1. Executive decision e piano condiviso</w:t>
      </w:r>
    </w:p>
    <w:p>
      <w:pPr>
        <w:spacing w:after="60"/>
      </w:pPr>
      <w:r>
        <w:rPr>
          <w:b w:val="0"/>
        </w:rPr>
        <w:t>2. Definizione del beta MVP settembre 2026</w:t>
      </w:r>
    </w:p>
    <w:p>
      <w:pPr>
        <w:spacing w:after="60"/>
      </w:pPr>
      <w:r>
        <w:rPr>
          <w:b w:val="0"/>
        </w:rPr>
        <w:t>3. Service blueprint cross-portale</w:t>
      </w:r>
    </w:p>
    <w:p>
      <w:pPr>
        <w:spacing w:after="60"/>
      </w:pPr>
      <w:r>
        <w:rPr>
          <w:b w:val="0"/>
        </w:rPr>
        <w:t>4. Scope funzionale Parent, Partner e Admin</w:t>
      </w:r>
    </w:p>
    <w:p>
      <w:pPr>
        <w:spacing w:after="60"/>
      </w:pPr>
      <w:r>
        <w:rPr>
          <w:b w:val="0"/>
        </w:rPr>
        <w:t>5. Modello di dominio e stati condivisi</w:t>
      </w:r>
    </w:p>
    <w:p>
      <w:pPr>
        <w:spacing w:after="60"/>
      </w:pPr>
      <w:r>
        <w:rPr>
          <w:b w:val="0"/>
        </w:rPr>
        <w:t>6. Backlog MVP e dipendenze</w:t>
      </w:r>
    </w:p>
    <w:p>
      <w:pPr>
        <w:spacing w:after="60"/>
      </w:pPr>
      <w:r>
        <w:rPr>
          <w:b w:val="0"/>
        </w:rPr>
        <w:t>7. Roadmap luglio–settembre 2026</w:t>
      </w:r>
    </w:p>
    <w:p>
      <w:pPr>
        <w:spacing w:after="60"/>
      </w:pPr>
      <w:r>
        <w:rPr>
          <w:b w:val="0"/>
        </w:rPr>
        <w:t>8. Operating model del pilot</w:t>
      </w:r>
    </w:p>
    <w:p>
      <w:pPr>
        <w:spacing w:after="60"/>
      </w:pPr>
      <w:r>
        <w:rPr>
          <w:b w:val="0"/>
        </w:rPr>
        <w:t>9. Esperimenti, KPI e gate decisionali</w:t>
      </w:r>
    </w:p>
    <w:p>
      <w:pPr>
        <w:spacing w:after="60"/>
      </w:pPr>
      <w:r>
        <w:rPr>
          <w:b w:val="0"/>
        </w:rPr>
        <w:t>10. Modello commerciale da validare</w:t>
      </w:r>
    </w:p>
    <w:p>
      <w:pPr>
        <w:pStyle w:val="ListBullet"/>
      </w:pPr>
      <w:r>
        <w:rPr>
          <w:rFonts w:ascii="Arial" w:hAnsi="Arial"/>
          <w:b w:val="0"/>
          <w:sz w:val="18"/>
        </w:rPr>
        <w:t>Trust e Partnership Level come leve di ranking e crescita, non come tier acquistabili o pay-to-win.</w:t>
      </w:r>
    </w:p>
    <w:p>
      <w:pPr>
        <w:pStyle w:val="ListBullet"/>
      </w:pPr>
      <w:r>
        <w:rPr>
          <w:rFonts w:ascii="Arial" w:hAnsi="Arial"/>
          <w:b w:val="0"/>
          <w:sz w:val="18"/>
        </w:rPr>
        <w:t>Referral program demand-driven: reward Genitore e fee Partner agevolata solo dopo valore verificato e con anti-abuso.</w:t>
      </w:r>
    </w:p>
    <w:p>
      <w:pPr>
        <w:spacing w:after="60"/>
      </w:pPr>
      <w:r>
        <w:rPr>
          <w:b/>
        </w:rPr>
        <w:t>11. Scenario competitivo italiano</w:t>
      </w:r>
    </w:p>
    <w:p>
      <w:pPr>
        <w:spacing w:after="60"/>
      </w:pPr>
      <w:r>
        <w:rPr>
          <w:b/>
        </w:rPr>
        <w:t>12. Deep dive SQUBY</w:t>
      </w:r>
    </w:p>
    <w:p>
      <w:pPr>
        <w:spacing w:after="60"/>
      </w:pPr>
      <w:r>
        <w:rPr>
          <w:b w:val="0"/>
        </w:rPr>
        <w:t>13. Profili dei player rilevanti</w:t>
      </w:r>
    </w:p>
    <w:p>
      <w:pPr>
        <w:spacing w:after="60"/>
      </w:pPr>
      <w:r>
        <w:rPr>
          <w:b w:val="0"/>
        </w:rPr>
        <w:t>14. Matrice comparativa e strategic whitespace</w:t>
      </w:r>
    </w:p>
    <w:p>
      <w:pPr>
        <w:spacing w:after="60"/>
      </w:pPr>
      <w:r>
        <w:rPr>
          <w:b w:val="0"/>
        </w:rPr>
        <w:t>15. Posizionamento e vantaggio difendibile</w:t>
      </w:r>
    </w:p>
    <w:p>
      <w:pPr>
        <w:spacing w:after="60"/>
      </w:pPr>
      <w:r>
        <w:rPr>
          <w:b w:val="0"/>
        </w:rPr>
        <w:t>16. Strategia build / partner / buy</w:t>
      </w:r>
    </w:p>
    <w:p>
      <w:pPr>
        <w:spacing w:after="60"/>
      </w:pPr>
      <w:r>
        <w:rPr>
          <w:b w:val="0"/>
        </w:rPr>
        <w:t>17. Rischi e mitigazioni</w:t>
      </w:r>
    </w:p>
    <w:p>
      <w:pPr>
        <w:spacing w:after="60"/>
      </w:pPr>
      <w:r>
        <w:rPr>
          <w:b/>
        </w:rPr>
        <w:t>18. Raccomandazioni finali</w:t>
      </w:r>
    </w:p>
    <w:p>
      <w:pPr>
        <w:spacing w:after="60"/>
      </w:pPr>
      <w:r>
        <w:rPr>
          <w:b w:val="0"/>
        </w:rPr>
        <w:t>Appendici – fonti, glossario e checklist di lancio</w:t>
      </w:r>
    </w:p>
    <w:p>
      <w:r>
        <w:br w:type="page"/>
      </w:r>
    </w:p>
    <w:p>
      <w:pPr>
        <w:pStyle w:val="Heading1"/>
      </w:pPr>
      <w:r>
        <w:t>1. Executive decision e piano condiviso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7ED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FFF7ED"/>
              <w:left w:val="single" w:sz="20" w:color="C2410C"/>
              <w:bottom w:val="single" w:sz="4" w:color="FFF7ED"/>
              <w:right w:val="single" w:sz="4" w:color="FFF7ED"/>
            </w:tcBorders>
          </w:tcPr>
          <w:p>
            <w:r/>
            <w:r>
              <w:rPr>
                <w:rFonts w:ascii="Arial" w:hAnsi="Arial"/>
                <w:b w:val="0"/>
                <w:sz w:val="18"/>
              </w:rPr>
              <w:t>Valutazione sintetica</w:t>
              <w:br/>
              <w:t>Il lancio di settembre resta fattibile come beta controllata. Il Product Requirements Partner modifica però il critical path: senza ingresso controllato, review e attivazione guidata non esiste supply affidabile da mostrare alle famiglie. Per contenere effort, il beta implementa state machine, checklist, walkthrough e trust telemetry minima; verifica AI, ranking avanzato, gamification, livelli visibili e programma economico referral completo sono predisposti o testati in shadow mode.</w:t>
            </w:r>
          </w:p>
        </w:tc>
      </w:tr>
    </w:tbl>
    <w:p>
      <w:pPr>
        <w:spacing w:after="20"/>
      </w:pPr>
    </w:p>
    <w:p>
      <w:pPr>
        <w:pStyle w:val="Heading2"/>
      </w:pPr>
      <w:r>
        <w:t>1.1 Il piano condiviso, ricordato e aggiornato</w:t>
      </w:r>
    </w:p>
    <w:p>
      <w:r>
        <w:t>Il piano concordato separa correttamente quattro momenti di validazione: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198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Periodo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Fase</w:t>
            </w:r>
          </w:p>
        </w:tc>
        <w:tc>
          <w:tcPr>
            <w:tcW w:type="dxa" w:w="510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Scopo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Settembre–dicembre 2026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Beta privata e apprendimento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Validare comprensione del valore, onboarding della supply, qualità dei dati, utilizzo del Planner, richieste e risposta dei centri.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Gennaio–febbraio 2027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Costruzione dell’offerta estiva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Onboardare centri per l’estate, caricare settimane e disponibilità, creare waitlist e interesse qualificato.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Marzo–aprile 2027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Pilot commerciale stagionale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Validare conversione ricerca → richiesta/prenotazione, disponibilità reale e willingness to pay. A Milano le iscrizioni comunali 2026 sono state aperte dal 19 marzo al 7 aprile [S2].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Giugno–luglio 2027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Validazione operativa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Misurare qualità del servizio, cambi, presenze, supporto, retention e valore del Planner durante l’utilizzo reale.</w:t>
            </w:r>
          </w:p>
        </w:tc>
      </w:tr>
    </w:tbl>
    <w:p>
      <w:pPr>
        <w:spacing w:after="20"/>
      </w:pPr>
    </w:p>
    <w:p>
      <w:r>
        <w:t>La riapertura delle scuole lombarde il 7/14 settembre 2026 rende settembre un momento utile per intercettare il riassetto delle routine familiari; non coincide però con il picco di acquisto dei centri estivi, che si concentra in primavera [S1][S2].</w:t>
      </w:r>
    </w:p>
    <w:p>
      <w:pPr>
        <w:pStyle w:val="Heading2"/>
      </w:pPr>
      <w:r>
        <w:t>1.2 Cosa significa “lancio settembre 2026”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Aspetto</w:t>
            </w:r>
          </w:p>
        </w:tc>
        <w:tc>
          <w:tcPr>
            <w:tcW w:type="dxa" w:w="708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Decisione MVP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Tipo di lancio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8"/>
              </w:rPr>
              <w:t>Beta privata / invite-only, non lancio nazionale pubblico.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Geografia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8"/>
              </w:rPr>
              <w:t>Una micro-area ad alta densità: 1–2 municipi di Milano e primo hinterland, scelta in base ai contatti disponibili.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Cohort Genitori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8"/>
              </w:rPr>
              <w:t>30–50 famiglie amiche o facilmente osservabili.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Cohort Partner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8"/>
              </w:rPr>
              <w:t>5–10 centri, con almeno 20–40 offerte complessive.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Transazione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8"/>
              </w:rPr>
              <w:t>Richiesta o prenotazione con conferma Partner; pagamento online non obbligatorio.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Operazioni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8"/>
              </w:rPr>
              <w:t>Admin supporta manualmente onboarding, qualità, deduplica e anomalie.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8"/>
              </w:rPr>
              <w:t>Obiettivo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8"/>
              </w:rPr>
              <w:t>Raccogliere evidenze su problema, soluzione, supply e intenzione transazionale; non massimizzare fatturato.</w:t>
            </w:r>
          </w:p>
        </w:tc>
      </w:tr>
    </w:tbl>
    <w:p>
      <w:pPr>
        <w:spacing w:after="20"/>
      </w:pPr>
    </w:p>
    <w:p>
      <w:pPr>
        <w:pStyle w:val="Heading2"/>
      </w:pPr>
      <w:r>
        <w:t>1.3 Tesi strategica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EFF6FF"/>
              <w:left w:val="single" w:sz="20" w:color="2563EB"/>
              <w:bottom w:val="single" w:sz="4" w:color="EFF6FF"/>
              <w:right w:val="single" w:sz="4" w:color="EFF6FF"/>
            </w:tcBorders>
          </w:tcPr>
          <w:p>
            <w:pPr>
              <w:pStyle w:val="Callout"/>
            </w:pPr>
            <w:r>
              <w:rPr>
                <w:color w:val="2563EB"/>
              </w:rPr>
              <w:t>TRAMA non deve essere “un altro gestionale” né “un altro elenco di campi estivi”.</w:t>
            </w:r>
          </w:p>
          <w:p>
            <w:pPr>
              <w:spacing w:after="0"/>
            </w:pPr>
            <w:r>
              <w:t>La proposta differenziante è un motore need-first: la famiglia parte da un tempo non coperto, trova un’offerta verificata e coerente, invia una richiesta o prenota e vede il proprio Planner aggiornarsi. Il Partner ottiene domanda incrementale senza dover sostituire subito il proprio gestionale. L’Admin governa qualità, stati e apprendimento del marketplace.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2. Definizione del beta MVP settembre 2026</w:t>
      </w:r>
    </w:p>
    <w:p>
      <w:pPr>
        <w:pStyle w:val="Heading2"/>
      </w:pPr>
      <w:r>
        <w:t>2.1 North Star del beta</w:t>
      </w:r>
    </w:p>
    <w:p>
      <w:r>
        <w:rPr>
          <w:b/>
          <w:color w:val="172033"/>
          <w:sz w:val="26"/>
        </w:rPr>
        <w:t>Settimane o bisogni familiari trasformati in una richiesta qualificata verso un centro verificato.</w:t>
      </w:r>
    </w:p>
    <w:p>
      <w:r>
        <w:t>Nel beta non serve dimostrare l’intero ciclo economico. Serve dimostrare che il circuito a tre portali produce valore e dati migliori del flusso frammentato Google/Instagram/WhatsApp/Excel.</w:t>
      </w:r>
    </w:p>
    <w:p>
      <w:pPr>
        <w:pStyle w:val="Heading2"/>
      </w:pPr>
      <w:r>
        <w:t>2.2 Principi di scope</w:t>
      </w:r>
    </w:p>
    <w:p>
      <w:pPr>
        <w:pStyle w:val="ListBullet"/>
        <w:spacing w:after="40"/>
        <w:ind w:left="255"/>
      </w:pPr>
      <w:r>
        <w:t>Una sola journey dominante, end-to-end e misurabile.</w:t>
      </w:r>
    </w:p>
    <w:p>
      <w:pPr>
        <w:pStyle w:val="ListBullet"/>
        <w:spacing w:after="40"/>
        <w:ind w:left="255"/>
      </w:pPr>
      <w:r>
        <w:t>Dati canonici condivisi tra i tre portali: nessuna duplicazione di stati.</w:t>
      </w:r>
    </w:p>
    <w:p>
      <w:pPr>
        <w:pStyle w:val="ListBullet"/>
        <w:spacing w:after="40"/>
        <w:ind w:left="255"/>
      </w:pPr>
      <w:r>
        <w:t>Manual operations acceptable: il beta può usare approvazioni e supporto manuali purché tracciati.</w:t>
      </w:r>
    </w:p>
    <w:p>
      <w:pPr>
        <w:pStyle w:val="ListBullet"/>
        <w:spacing w:after="40"/>
        <w:ind w:left="255"/>
      </w:pPr>
      <w:r>
        <w:t>Nessuna sostituzione forzata dei gestionali Partner nel beta.</w:t>
      </w:r>
    </w:p>
    <w:p>
      <w:pPr>
        <w:pStyle w:val="ListBullet"/>
        <w:spacing w:after="40"/>
        <w:ind w:left="255"/>
      </w:pPr>
      <w:r>
        <w:t>Nessun centro non verificato pubblicato o prenotabile.</w:t>
      </w:r>
    </w:p>
    <w:p>
      <w:pPr>
        <w:pStyle w:val="ListBullet"/>
        <w:spacing w:after="40"/>
        <w:ind w:left="255"/>
      </w:pPr>
      <w:r>
        <w:t>Feature flag e rollback per ogni capability nuova.</w:t>
      </w:r>
    </w:p>
    <w:p>
      <w:pPr>
        <w:pStyle w:val="ListBullet"/>
        <w:spacing w:after="40"/>
        <w:ind w:left="255"/>
      </w:pPr>
      <w:r>
        <w:t>Test Playwright sulle journey, non solo sulle singole pagine.</w:t>
      </w:r>
    </w:p>
    <w:p>
      <w:pPr>
        <w:pStyle w:val="ListBullet"/>
        <w:spacing w:after="40"/>
        <w:ind w:left="255"/>
      </w:pPr>
      <w:r>
        <w:t>Isolamento completo dei dati test e demo.</w:t>
      </w:r>
    </w:p>
    <w:p>
      <w:pPr>
        <w:pStyle w:val="ListBullet"/>
      </w:pPr>
      <w:r>
        <w:rPr>
          <w:rFonts w:ascii="Arial" w:hAnsi="Arial"/>
          <w:b w:val="0"/>
          <w:sz w:val="18"/>
        </w:rPr>
        <w:t>Referral incentives non bloccanti: eligibility misurata in shadow mode prima di impegni economici automatici.</w:t>
      </w:r>
    </w:p>
    <w:p>
      <w:pPr>
        <w:pStyle w:val="ListBullet"/>
      </w:pPr>
      <w:r>
        <w:rPr>
          <w:rFonts w:ascii="Arial" w:hAnsi="Arial"/>
          <w:b w:val="0"/>
          <w:sz w:val="18"/>
        </w:rPr>
        <w:t>Trust minimum viable: completezza, verification status, freshness e response SLA raccolti; score non visibile.</w:t>
      </w:r>
    </w:p>
    <w:p>
      <w:pPr>
        <w:pStyle w:val="ListBullet"/>
      </w:pPr>
      <w:r>
        <w:rPr>
          <w:rFonts w:ascii="Arial" w:hAnsi="Arial"/>
          <w:b w:val="0"/>
          <w:sz w:val="18"/>
        </w:rPr>
        <w:t>Progressive onboarding: richiesta iniziale ≤2 minuti, verifica e configurazione separate.</w:t>
      </w:r>
    </w:p>
    <w:p>
      <w:pPr>
        <w:pStyle w:val="ListBullet"/>
      </w:pPr>
      <w:r>
        <w:rPr>
          <w:rFonts w:ascii="Arial" w:hAnsi="Arial"/>
          <w:b w:val="0"/>
          <w:sz w:val="18"/>
        </w:rPr>
        <w:t>Partner entry controlled: nessun listing pubblico da account non verificato.</w:t>
      </w:r>
    </w:p>
    <w:p>
      <w:pPr>
        <w:pStyle w:val="Heading2"/>
      </w:pPr>
      <w:r>
        <w:t>2.3 Journey primaria del MVP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Partner invia richiesta “Diventa Partner” → verifica identità → Admin approva → walkthrough e checklist → Partner pubblica offerta → Genitore identifica un bisogno → scopre e invia richiesta → Partner risponde → Planner e stato si aggiornano → Admin monitora. Loop opzionale: Genitore suggerisce un centro → CenterLead → onboarding Partner; reward/incentive in shadow mode.</w:t>
            </w:r>
          </w:p>
        </w:tc>
      </w:tr>
    </w:tbl>
    <w:p>
      <w:pPr>
        <w:spacing w:after="20"/>
      </w:pPr>
    </w:p>
    <w:p>
      <w:pPr>
        <w:pStyle w:val="Heading2"/>
      </w:pPr>
      <w:r>
        <w:t>2.4 In scope / out of scope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shd w:fill="15803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IN scope</w:t>
            </w:r>
          </w:p>
        </w:tc>
        <w:tc>
          <w:tcPr>
            <w:tcW w:type="dxa" w:w="7087"/>
            <w:shd w:fill="15803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Contenuto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Identità e accessi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Account Parent, Partner e Admin; ruoli minimi e accesso protetto.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Supply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Onboarding centro, sede, attività, periodo/settimana, prezzo, età, capienza, servizi inclusi, policy minime.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Qualità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Checklist Admin e preview della scheda Parent.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Demand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Planner/bisogno, ricerca, filtri essenziali, dettaglio Next Gen, idoneità bambino.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Conversione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Richiesta o booking non pagato; accetta/rifiuta; stato condiviso.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Post-conversione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Planner aggiornato e “Le mie attività” minimo.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Growth learning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Suggerimento centro non iscritto e CenterLead.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Beta learning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Floating CTA contestuale e triage Admin.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Data &amp; quality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Eventi analytics, feature flag, audit essenziale, test E2E.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Trust Layer minimo</w:t>
            </w:r>
          </w:p>
        </w:tc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Partner request, identity verification, Admin Review, state machine, checklist, walkthrough, Notification Center e Audit Log.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Trust telemetry</w:t>
            </w:r>
          </w:p>
        </w:tc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Raccogliere completezza, verifica, availability freshness, response SLA e cancellazioni; score interno non visibile.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Referral foundation</w:t>
            </w:r>
          </w:p>
        </w:tc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CenterLead, DemandContext, dedupe, claim e status; reward/commission solo shadow/manuale.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shd w:fill="C2410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OUT of scope</w:t>
            </w:r>
          </w:p>
        </w:tc>
        <w:tc>
          <w:tcPr>
            <w:tcW w:type="dxa" w:w="7087"/>
            <w:shd w:fill="C2410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Motivazione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Pagamenti e finanza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Checkout, rimborsi, payout, riconciliazione, commission ledger reale.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Operations avanzate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RFID/QR, presenze giornaliere, gruppi, mensa, certificati, document management completo.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Servizi extra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Catering, navette e supplier marketplace: solo modello futuro, non delivery settembre.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Promozioni avanzate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Dynamic pricing, coupon, family discount engine, last minute automation.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Logistica avanzata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Travel time real-time, navigazione, reminder intelligenti e quiet hours.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Marketplace nazionale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SEO nazionale, catalogo ampio e self-service massivo.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Integrazioni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Connector completi con Squby/Golee/Sportclubby; nel beta CSV/deep link/manual sync.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Migrazione totale Legacy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Solo route attraversate dalla journey primaria.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Trust avanzato e AI</w:t>
            </w:r>
          </w:p>
        </w:tc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Verifica AI, analisi recensioni/social, ranking evoluto, Health/Quality Engine e AI Coach non necessari a settembre.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Gamification e livelli visibili</w:t>
            </w:r>
          </w:p>
        </w:tc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Badge, missioni, benchmark e Partnership Level in UI dopo la baseline di comportamento.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Referral automatico economico</w:t>
            </w:r>
          </w:p>
        </w:tc>
        <w:tc>
          <w:tcPr>
            <w:tcW w:type="dxa" w:w="4961"/>
          </w:tcPr>
          <w:p>
            <w:r/>
            <w:r>
              <w:rPr>
                <w:rFonts w:ascii="Arial" w:hAnsi="Arial"/>
                <w:b w:val="0"/>
                <w:sz w:val="14"/>
              </w:rPr>
              <w:t>Wallet, coupon automatico, commission ledger e settlement completi dopo booking/pagamenti; settembre usa shadow mode.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3. Service blueprint cross-portale</w:t>
      </w:r>
    </w:p>
    <w:p>
      <w:pPr>
        <w:pStyle w:val="Heading2"/>
      </w:pPr>
      <w:r>
        <w:t>3.1 Responsabilità per portale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41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Portale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Job to be done</w:t>
            </w:r>
          </w:p>
        </w:tc>
        <w:tc>
          <w:tcPr>
            <w:tcW w:type="dxa" w:w="294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Responsabilità MVP</w:t>
            </w:r>
          </w:p>
        </w:tc>
        <w:tc>
          <w:tcPr>
            <w:tcW w:type="dxa" w:w="294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Non responsabilità MVP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Parent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Organizzare il tempo dei figli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Bisogno/Planner, ricerca, confronto, richiesta, stato, suggerimento centro, feedback e status referral; reward solo se attivato in shadow/manuale.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Gestione operativa del centro; amministrazione e payout.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Partner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Trasformare la propria offerta in domanda qualificata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Richiesta Partner, verifica identità, checklist, walkthrough, profilo/sede, attività, periodi, disponibilità, risposta richieste, notifiche e dati Trust minimi.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AI verification, CRM/marketing automation, gamification, Trust Score visibile, gestionale operativo completo.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Admin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Garantire fiducia e continuità del marketplace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Candidature card-based, state machine, approvazioni, qualità catalogo, Trust config minima, code operative, CenterLead, feedback, feature flag, analytics e audit.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Automatizzazione totale; può operare manualmente con audit.</w:t>
            </w:r>
          </w:p>
        </w:tc>
      </w:tr>
    </w:tbl>
    <w:p>
      <w:pPr>
        <w:spacing w:after="20"/>
      </w:pPr>
    </w:p>
    <w:p>
      <w:pPr>
        <w:pStyle w:val="Heading2"/>
      </w:pPr>
      <w:r>
        <w:t>3.2 Contratti di servizio tra portali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181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Relazione</w:t>
            </w:r>
          </w:p>
        </w:tc>
        <w:tc>
          <w:tcPr>
            <w:tcW w:type="dxa" w:w="255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Evento / contratto</w:t>
            </w:r>
          </w:p>
        </w:tc>
        <w:tc>
          <w:tcPr>
            <w:tcW w:type="dxa" w:w="510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Requisito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Partner → Admin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center.submitted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Centro con dati minimi e documenti/consensi necessari alla verifica.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Admin → Partner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center.approved / changes_requested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Esito tracciato, reason code e requisiti residui.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Partner → Parent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offering.published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Scheda verificata, periodo, prezzo, età, disponibilità e policy.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Parent → Partner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request.submitted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Bambino, periodo, offerta, note e consenso minimo; nessun dato eccedente.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Partner → Parent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request.accepted / declined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Esito e indicazioni successive; Planner aggiornato in modo idempotente.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Parent → Admin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center.suggested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Lead contestualizzato, deduplicabile, non pubblicato.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Tutti → Admin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feedback.submitted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Contesto tecnico/funzionale e categoria per triage.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Admin → Tutti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feature_flag / configuration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Configurazione controllata e rollback.</w:t>
            </w:r>
          </w:p>
        </w:tc>
      </w:tr>
    </w:tbl>
    <w:p>
      <w:pPr>
        <w:spacing w:after="20"/>
      </w:pPr>
    </w:p>
    <w:p>
      <w:pPr>
        <w:pStyle w:val="Heading2"/>
      </w:pPr>
      <w:r>
        <w:t>3.3 Punto di efficienza principale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0FDF4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F0FDF4"/>
              <w:left w:val="single" w:sz="20" w:color="15803D"/>
              <w:bottom w:val="single" w:sz="4" w:color="F0FDF4"/>
              <w:right w:val="single" w:sz="4" w:color="F0FDF4"/>
            </w:tcBorders>
          </w:tcPr>
          <w:p>
            <w:pPr>
              <w:pStyle w:val="Callout"/>
            </w:pPr>
            <w:r>
              <w:rPr>
                <w:color w:val="15803D"/>
              </w:rPr>
              <w:t>Un solo stato, tre viste.</w:t>
            </w:r>
          </w:p>
          <w:p>
            <w:pPr>
              <w:spacing w:after="0"/>
            </w:pPr>
            <w:r>
              <w:t>Centro, offerta e richiesta non devono essere copiati nei tre portali. Devono essere gli stessi oggetti, con permessi e rappresentazioni diverse. È il principale risparmio della revisione: riduce incoerenze, supporto, doppio inserimento e test duplicati.</w:t>
            </w:r>
          </w:p>
        </w:tc>
      </w:tr>
    </w:tbl>
    <w:p>
      <w:pPr>
        <w:spacing w:after="20"/>
      </w:pPr>
    </w:p>
    <w:p>
      <w:pPr>
        <w:pStyle w:val="Heading1"/>
      </w:pPr>
      <w:r>
        <w:t>4. Scope funzionale Parent, Partner e Admin</w:t>
      </w:r>
    </w:p>
    <w:p>
      <w:pPr>
        <w:pStyle w:val="Heading2"/>
      </w:pPr>
      <w:r>
        <w:t>4.1 Parent MVP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13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ID</w:t>
            </w:r>
          </w:p>
        </w:tc>
        <w:tc>
          <w:tcPr>
            <w:tcW w:type="dxa" w:w="24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Capability</w:t>
            </w:r>
          </w:p>
        </w:tc>
        <w:tc>
          <w:tcPr>
            <w:tcW w:type="dxa" w:w="4819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Criterio MVP</w:t>
            </w:r>
          </w:p>
        </w:tc>
        <w:tc>
          <w:tcPr>
            <w:tcW w:type="dxa" w:w="73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Prio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P-MVP-01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Home/Planner orientati al bisogno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Mostrare copertura e una CTA dominante: “Trova un’attività”.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P-MVP-02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Context object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Conservare source, period/week, child, filtri e correlationId.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P-MVP-03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Ricerca essenziale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Località, età, periodo, categoria, prezzo; stato persistente.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P-MVP-04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Dettaglio Next Gen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Contenuto standard, disponibilità, idoneità, prezzo, servizi e CTA.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P-MVP-05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Richiesta/booking leggero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Selezione bambino e periodo, invio, riepilogo, stato.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P-MVP-06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Planner aggiornato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Inserimento una sola volta su accettazione/booking confermato.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P-MVP-07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Le mie attività minimo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Richieste in attesa, accettate, rifiutate e annullate.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P-MVP-08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Suggerisci un centro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Creazione CenterLead, dedupe e consenso di contatto.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P-MVP-09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Floating CTA beta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Feedback contestuale con route, journey, build e triage.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</w:pPr>
      <w:r>
        <w:t>4.2 Partner MVP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134"/>
            <w:shd w:fill="2563E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ID</w:t>
            </w:r>
          </w:p>
        </w:tc>
        <w:tc>
          <w:tcPr>
            <w:tcW w:type="dxa" w:w="2494"/>
            <w:shd w:fill="2563E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Capability</w:t>
            </w:r>
          </w:p>
        </w:tc>
        <w:tc>
          <w:tcPr>
            <w:tcW w:type="dxa" w:w="4819"/>
            <w:shd w:fill="2563E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Criterio MVP</w:t>
            </w:r>
          </w:p>
        </w:tc>
        <w:tc>
          <w:tcPr>
            <w:tcW w:type="dxa" w:w="737"/>
            <w:shd w:fill="2563E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Prio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PT-MVP-01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Diventa Partner TRAMA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Step 1 ≤2 min con dati minimi; progress e save/resume.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PT-MVP-02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Identity verification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Ragione sociale, P.IVA, fonte pubblica e dichiarazione di rappresentanza.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PT-MVP-03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Partner state machine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Stato, permessi, notifiche, e-mail e storico condivisi con Admin.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PT-MVP-04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Checklist profilo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Completezza deterministica e requisiti di pubblicazione.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PT-MVP-05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Walkthrough task-based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Profilo → prima attività → settimane → prezzi → pubblicazione → dashboard; resume/skip/relaunch.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PT-MVP-06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Centro e sede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Identità, contatti, indirizzo, servizi e area operativa.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PT-MVP-07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Wizard attività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Contenuto, età, periodo, prezzo, capienza, policy e preview Parent.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PT-MVP-08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Disponibilità strutturata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Capienza per periodo/settimana, freshness e alert.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PT-MVP-09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Inbox richieste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Queue con SLA, azioni semplici, reason code e stato condiviso.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PT-MVP-10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Dashboard task-first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Massimo tre azioni, checklist, alert, richieste e Guida Interattiva.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PT-MVP-11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Trust telemetry minima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Completezza, verifica, freshness, SLA e cancellazioni raccolti; score non mostrato.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PT-MVP-12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Notification/Audit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Eventi e comunicazioni su stati e azioni critiche.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</w:pPr>
      <w:r>
        <w:t>4.3 Admin MVP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134"/>
            <w:shd w:fill="7E22C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ID</w:t>
            </w:r>
          </w:p>
        </w:tc>
        <w:tc>
          <w:tcPr>
            <w:tcW w:type="dxa" w:w="2494"/>
            <w:shd w:fill="7E22C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Capability</w:t>
            </w:r>
          </w:p>
        </w:tc>
        <w:tc>
          <w:tcPr>
            <w:tcW w:type="dxa" w:w="4819"/>
            <w:shd w:fill="7E22C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Criterio MVP</w:t>
            </w:r>
          </w:p>
        </w:tc>
        <w:tc>
          <w:tcPr>
            <w:tcW w:type="dxa" w:w="737"/>
            <w:shd w:fill="7E22C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Prio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A-MVP-01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Command center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Code Partner, attività, richieste, feedback, categorie/territori scoperti.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A-MVP-02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Application review cards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Logo, categoria, città, completezza, fonti, note, azioni rapide e storico.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A-MVP-03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Partner approval state machine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Approve, changes, review, reject con reason code, notifica e audit.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A-MVP-04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Activation oversight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Checklist, tutorial progress e first publish, senza data entry Admin.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A-MVP-05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Activity quality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Checklist minima e preview Parent.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A-MVP-06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Demand/supply queue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Richieste in SLA, CenterLead, dedupe, claim e outreach status.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A-MVP-07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Trust config minima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Pesi/versione per completezza, verifica, freshness e response SLA; nessun override manuale.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A-MVP-08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Feedback beta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Triage contestuale, owner e link a bug/CR.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A-MVP-09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Feature flags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Coorte, rollout, rollback per onboarding, trust e referral.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A-MVP-10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Audit e RBAC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Azioni sensibili, accessi e config tracciati.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</w:tr>
    </w:tbl>
    <w:p>
      <w:pPr>
        <w:spacing w:after="20"/>
      </w:pPr>
    </w:p>
    <w:p>
      <w:pPr>
        <w:pStyle w:val="Heading1"/>
      </w:pPr>
      <w:r>
        <w:t>5. Modello di dominio e stati condivisi</w:t>
      </w:r>
    </w:p>
    <w:p>
      <w:pPr>
        <w:pStyle w:val="Heading2"/>
      </w:pPr>
      <w:r>
        <w:t>5.1 Entità canoniche MVP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70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Entità</w:t>
            </w:r>
          </w:p>
        </w:tc>
        <w:tc>
          <w:tcPr>
            <w:tcW w:type="dxa" w:w="22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Significato</w:t>
            </w:r>
          </w:p>
        </w:tc>
        <w:tc>
          <w:tcPr>
            <w:tcW w:type="dxa" w:w="170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Owner</w:t>
            </w:r>
          </w:p>
        </w:tc>
        <w:tc>
          <w:tcPr>
            <w:tcW w:type="dxa" w:w="3969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Nota MVP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Household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Nucleo familiare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Parent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Genitori, figli e permessi minimi.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Child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Bambino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Parent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Età/data di nascita, preferenze minime, nessun dato sanitario non necessario.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PartnerOrganization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Gestore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Partner/Admin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Entità legale/operativa che possiede centri e offerte.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Center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Centro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Partner/Admin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Identità pubblica e stato di verifica.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Location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Sede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Partner/Admin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Indirizzo e servizi logistici.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Activity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Attività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Partner/Admin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Template descrittivo riutilizzabile.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Offering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Offerta vendibile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Partner/Admin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Attività + sede + periodo + prezzo + capienza + policy.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Availability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Disponibilità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Source of truth dei posti per Offering.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Request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Richiesta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Parent/Partner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Intento qualificato con stato condiviso.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Booking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Prenotazione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Tutti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Nel beta può coincidere con una richiesta accettata; nessun pagamento obbligatorio.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PlannerItem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Elemento Planner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Parent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Riferimento alla richiesta/booking, non copia dell’attività.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CenterLead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Centro suggerito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Parent/Admin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Lead non pubblico con origine domanda.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BetaFeedback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Feedback contestuale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Tutti/Admin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Testo, contesto, triage e risoluzione.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AuditEvent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Evento di audit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Chi, cosa, quando e motivazione delle azioni sensibili.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PartnerVerification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Verifica identità e fonti pubbliche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Partner/Admin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Stato, fonti e decisioni versionate.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TutorialProgress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Avanzamento walkthrough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Partner/System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Resume, skip, relaunch e completion events.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ChecklistItem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Requisito di attivazione/pubblicazione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Partner/System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Regola deterministica e percentuale.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TrustSignal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Segnale minimo di qualità/comportamento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System/Admin config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Completezza, verifica, freshness, SLA e cancellation; score non visibile.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ReferralAttribution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Collegamento CenterLead-referrer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Admin/System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First-qualified; anti-abuso; pseudonimizzato.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IncentiveEligibility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Esito shadow reward/commission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Admin/Finance/System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Nessuna applicazione automatica prima del ledger reale.</w:t>
            </w:r>
          </w:p>
        </w:tc>
      </w:tr>
    </w:tbl>
    <w:p>
      <w:pPr>
        <w:spacing w:after="20"/>
      </w:pPr>
    </w:p>
    <w:p>
      <w:pPr>
        <w:pStyle w:val="Heading2"/>
      </w:pPr>
      <w:r>
        <w:t>5.2 State machine minime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153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Oggetto</w:t>
            </w:r>
          </w:p>
        </w:tc>
        <w:tc>
          <w:tcPr>
            <w:tcW w:type="dxa" w:w="408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Stati MVP</w:t>
            </w:r>
          </w:p>
        </w:tc>
        <w:tc>
          <w:tcPr>
            <w:tcW w:type="dxa" w:w="3969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Regola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Center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LEAD → CLAIMED → SUBMITTED → CHANGES_REQUESTED → APPROVED → SUSPENDED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Solo APPROVED può avere offerte pubbliche.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Offering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DRAFT → SUBMITTED → APPROVED → PUBLISHED → PAUSED → ARCHIVED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PUBLISHED richiede centro approvato, completezza e disponibilità.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Request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DRAFT → SUBMITTED → VIEWED → ACCEPTED / DECLINED / EXPIRED / CANCELLED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Ogni transizione ha attore, timestamp e reason code.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Booking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PENDING → CONFIRMED → CANCELLED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Nel beta nasce da Request ACCEPTED; pagamento_status = NOT_REQUIRED / EXTERNAL.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Feedback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NEW → TRIAGED → PLANNED / ANSWERED / DUPLICATE → CLOSED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Bug, improvement, content e support non vanno confusi.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CenterLead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NEW → DEDUPED → QUALIFIED → CONTACTED → CLAIMED / REJECTED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Non compare nel catalogo prima di CLAIMED + APPROVED.</w:t>
            </w:r>
          </w:p>
        </w:tc>
      </w:tr>
    </w:tbl>
    <w:p>
      <w:pPr>
        <w:spacing w:after="20"/>
      </w:pPr>
    </w:p>
    <w:p>
      <w:pPr>
        <w:pStyle w:val="Heading2"/>
      </w:pPr>
      <w:r>
        <w:t>5.3 Regole di consistenza</w:t>
      </w:r>
    </w:p>
    <w:p>
      <w:pPr>
        <w:pStyle w:val="ListBullet"/>
        <w:spacing w:after="40"/>
        <w:ind w:left="255"/>
      </w:pPr>
      <w:r>
        <w:t>Availability è l’unico dato utilizzato per mostrare i posti; il testo descrittivo non può contraddirla.</w:t>
      </w:r>
    </w:p>
    <w:p>
      <w:pPr>
        <w:pStyle w:val="ListBullet"/>
        <w:spacing w:after="40"/>
        <w:ind w:left="255"/>
      </w:pPr>
      <w:r>
        <w:t>Il Planner memorizza requestId/bookingId e non duplica prezzo, stato o disponibilità.</w:t>
      </w:r>
    </w:p>
    <w:p>
      <w:pPr>
        <w:pStyle w:val="ListBullet"/>
        <w:spacing w:after="40"/>
        <w:ind w:left="255"/>
      </w:pPr>
      <w:r>
        <w:t>Admin può correggere dati solo con motivazione e audit; le modifiche pubbliche rilevanti notificano il Partner.</w:t>
      </w:r>
    </w:p>
    <w:p>
      <w:pPr>
        <w:pStyle w:val="ListBullet"/>
        <w:spacing w:after="40"/>
        <w:ind w:left="255"/>
      </w:pPr>
      <w:r>
        <w:t>Una richiesta non può essere accettata se la capienza non è sufficiente.</w:t>
      </w:r>
    </w:p>
    <w:p>
      <w:pPr>
        <w:pStyle w:val="ListBullet"/>
        <w:spacing w:after="40"/>
        <w:ind w:left="255"/>
      </w:pPr>
      <w:r>
        <w:t>La stessa richiesta non può aggiornare il Planner due volte: gli eventi sono idempotenti.</w:t>
      </w:r>
    </w:p>
    <w:p>
      <w:pPr>
        <w:pStyle w:val="ListBullet"/>
        <w:spacing w:after="40"/>
        <w:ind w:left="255"/>
      </w:pPr>
      <w:r>
        <w:t>I dati del bambino visibili al Partner sono minimizzati e limitati al processo richiesto.</w:t>
      </w:r>
    </w:p>
    <w:p>
      <w:pPr>
        <w:pStyle w:val="ListBullet"/>
        <w:spacing w:after="40"/>
        <w:ind w:left="255"/>
      </w:pPr>
      <w:r>
        <w:t>I record demo/test non entrano in catalogo, funnel e KPI reali.</w:t>
      </w:r>
    </w:p>
    <w:p>
      <w:pPr>
        <w:pStyle w:val="Heading1"/>
        <w:pageBreakBefore/>
      </w:pPr>
      <w:r>
        <w:t>6. Backlog MVP e dipendenze</w:t>
      </w:r>
    </w:p>
    <w:p>
      <w:pPr>
        <w:pStyle w:val="Heading2"/>
      </w:pPr>
      <w:r>
        <w:t>6.1 Dodici epic cross-portale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85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Epic</w:t>
            </w:r>
          </w:p>
        </w:tc>
        <w:tc>
          <w:tcPr>
            <w:tcW w:type="dxa" w:w="294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Nome</w:t>
            </w:r>
          </w:p>
        </w:tc>
        <w:tc>
          <w:tcPr>
            <w:tcW w:type="dxa" w:w="198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Portali</w:t>
            </w:r>
          </w:p>
        </w:tc>
        <w:tc>
          <w:tcPr>
            <w:tcW w:type="dxa" w:w="3969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Outcome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E01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Identity, RBAC e tenant boundary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Parent/Partner/Admin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Prerequisito di sicurezza.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E02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Journey context e shell coerente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Parent/Common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Preserva bambino, periodo, source e filtri.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E03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Supply onboarding e approval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Partner/Admin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Porta un centro da bozza ad approvato.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E04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Canonical catalog &amp; offering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Partner/Admin/Common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Attività, periodo, prezzo, capienza e qualità.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E05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Discovery &amp; detail Next Gen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Parent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Dalla ricerca alla decisione senza Legacy.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E06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Request/booking lifecycle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Tutti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Stati condivisi e risposta Partner.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E07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Planner &amp; My Activities sync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Parent/Common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Ritorno deterministico e stato operativo.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E08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Admin operating queues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Code e SLA anziché dashboard passiva.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E09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Demand-led supply acquisition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Parent/Admin/Partner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Suggerimento, dedupe, outreach e claim.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E10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Beta feedback loop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Tutti/Admin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Feedback contestuale, triage e chiusura.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E11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Analytics &amp; experiment framework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Tutti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Eventi correlati end-to-end.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E12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Quality, feature flag e E2E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Common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Rollback e test sulle journey.</w:t>
            </w:r>
          </w:p>
        </w:tc>
      </w:tr>
    </w:tbl>
    <w:p>
      <w:pPr>
        <w:spacing w:after="20"/>
      </w:pPr>
    </w:p>
    <w:p>
      <w:pPr>
        <w:pStyle w:val="Heading2"/>
      </w:pPr>
      <w:r>
        <w:t>6.2 Mapping con gli handbook esistenti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7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Epic</w:t>
            </w:r>
          </w:p>
        </w:tc>
        <w:tc>
          <w:tcPr>
            <w:tcW w:type="dxa" w:w="2835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Parent CR</w:t>
            </w:r>
          </w:p>
        </w:tc>
        <w:tc>
          <w:tcPr>
            <w:tcW w:type="dxa" w:w="2835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Partner CR</w:t>
            </w:r>
          </w:p>
        </w:tc>
        <w:tc>
          <w:tcPr>
            <w:tcW w:type="dxa" w:w="2835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Admin CR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E02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CR-001, 006, 007, 016, 043, 048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-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E03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-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PCR-002, 003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ACR-002, 019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E04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CR-010, 011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PCR-006, 007, 010, 011, 024, 025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ACR-005, 013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E05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CR-009, 012, 017, 018, 019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-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E06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CR-013, 014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PCR-013, 015, 029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ACR-007, 022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E07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CR-015, 021, 026, 034, 035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-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ACR-007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E08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-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PCR-001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ACR-001, 008, 015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E09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CR-049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Onboarding/claim da dettagliare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ACR-004, 023, 024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E10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CR-050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PCR-023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ACR-016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E11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CR-044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PCR-021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ACR-014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E12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CR-045, 047, 048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PCR-034, 035, 036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ACR-017, 018, 030, 032</w:t>
            </w:r>
          </w:p>
        </w:tc>
      </w:tr>
    </w:tbl>
    <w:p>
      <w:pPr>
        <w:spacing w:after="20"/>
      </w:pPr>
    </w:p>
    <w:p>
      <w:pPr>
        <w:pStyle w:val="Heading2"/>
      </w:pPr>
      <w:r>
        <w:t>6.3 Critical path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72033"/>
              </w:rPr>
              <w:t>RBAC/tenant</w:t>
            </w:r>
            <w:r>
              <w:rPr>
                <w:b/>
                <w:color w:val="2563EB"/>
              </w:rPr>
              <w:t xml:space="preserve">  →  </w:t>
            </w:r>
            <w:r>
              <w:rPr>
                <w:b/>
                <w:color w:val="172033"/>
              </w:rPr>
              <w:t>Center + Offering model</w:t>
            </w:r>
            <w:r>
              <w:rPr>
                <w:b/>
                <w:color w:val="2563EB"/>
              </w:rPr>
              <w:t xml:space="preserve">  →  </w:t>
            </w:r>
            <w:r>
              <w:rPr>
                <w:b/>
                <w:color w:val="172033"/>
              </w:rPr>
              <w:t>Admin approval</w:t>
            </w:r>
            <w:r>
              <w:rPr>
                <w:b/>
                <w:color w:val="2563EB"/>
              </w:rPr>
              <w:t xml:space="preserve">  →  </w:t>
            </w:r>
            <w:r>
              <w:rPr>
                <w:b/>
                <w:color w:val="172033"/>
              </w:rPr>
              <w:t>Publish catalog</w:t>
            </w:r>
            <w:r>
              <w:rPr>
                <w:b/>
                <w:color w:val="2563EB"/>
              </w:rPr>
              <w:t xml:space="preserve">  →  </w:t>
            </w:r>
            <w:r>
              <w:rPr>
                <w:b/>
                <w:color w:val="172033"/>
              </w:rPr>
              <w:t>Parent detail</w:t>
            </w:r>
            <w:r>
              <w:rPr>
                <w:b/>
                <w:color w:val="2563EB"/>
              </w:rPr>
              <w:t xml:space="preserve">  →  </w:t>
            </w:r>
            <w:r>
              <w:rPr>
                <w:b/>
                <w:color w:val="172033"/>
              </w:rPr>
              <w:t>Request lifecycle</w:t>
            </w:r>
            <w:r>
              <w:rPr>
                <w:b/>
                <w:color w:val="2563EB"/>
              </w:rPr>
              <w:t xml:space="preserve">  →  </w:t>
            </w:r>
            <w:r>
              <w:rPr>
                <w:b/>
                <w:color w:val="172033"/>
              </w:rPr>
              <w:t>Partner response</w:t>
            </w:r>
            <w:r>
              <w:rPr>
                <w:b/>
                <w:color w:val="2563EB"/>
              </w:rPr>
              <w:t xml:space="preserve">  →  </w:t>
            </w:r>
            <w:r>
              <w:rPr>
                <w:b/>
                <w:color w:val="172033"/>
              </w:rPr>
              <w:t>Planner sync</w:t>
            </w:r>
            <w:r>
              <w:rPr>
                <w:b/>
                <w:color w:val="2563EB"/>
              </w:rPr>
              <w:t xml:space="preserve">  →  </w:t>
            </w:r>
            <w:r>
              <w:rPr>
                <w:b/>
                <w:color w:val="172033"/>
              </w:rPr>
              <w:t>Analytics + E2E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7ED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FFF7ED"/>
              <w:left w:val="single" w:sz="20" w:color="C2410C"/>
              <w:bottom w:val="single" w:sz="4" w:color="FFF7ED"/>
              <w:right w:val="single" w:sz="4" w:color="FFF7ED"/>
            </w:tcBorders>
          </w:tcPr>
          <w:p>
            <w:pPr>
              <w:pStyle w:val="Callout"/>
            </w:pPr>
            <w:r>
              <w:rPr>
                <w:color w:val="C2410C"/>
              </w:rPr>
              <w:t>Regola di delivery</w:t>
            </w:r>
          </w:p>
          <w:p>
            <w:pPr>
              <w:spacing w:after="0"/>
            </w:pPr>
            <w:r>
              <w:t>Non sviluppare tre roadmap indipendenti. Ogni sprint deve chiudere una vertical slice cross-portale; in caso contrario si produrranno schermate complete ma nessun processo validabile.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7. Roadmap luglio–settembre 2026</w:t>
      </w:r>
    </w:p>
    <w:p>
      <w:pPr>
        <w:pStyle w:val="Heading2"/>
      </w:pPr>
      <w:r>
        <w:t>7.1 Piano a cinque sprint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19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Fase</w:t>
            </w:r>
          </w:p>
        </w:tc>
        <w:tc>
          <w:tcPr>
            <w:tcW w:type="dxa" w:w="158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Date</w:t>
            </w:r>
          </w:p>
        </w:tc>
        <w:tc>
          <w:tcPr>
            <w:tcW w:type="dxa" w:w="198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Obiettivo</w:t>
            </w:r>
          </w:p>
        </w:tc>
        <w:tc>
          <w:tcPr>
            <w:tcW w:type="dxa" w:w="294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Contenuto</w:t>
            </w:r>
          </w:p>
        </w:tc>
        <w:tc>
          <w:tcPr>
            <w:tcW w:type="dxa" w:w="243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Exit criteria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Sprint 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20-31 luglio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Baseline e scope freeze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Repo impact assessment, data model, route/event inventory, snapshot, test smoke e design pack: journey, BPMN, state machine, wireframe, module architecture, ER, migration/rollout/test/microcopy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Scope MVP e assunzioni congelati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Sprint 1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3-14 agosto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Trust entry foundation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Diventa Partner, identity verification, state machine, Admin review cards, audit e feature flag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Submission → decisione Admin tracciata end-to-end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Sprint 2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17-28 agosto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Activation e supply publish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Checklist, walkthrough, centro/sede, attività, settimane, prezzo, preview Parent e first publish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Partner approvato pubblica offerta senza supporto strutturale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Sprint 3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31 agosto-11 settembre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Demand → request → response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Parent search/detail/request, Partner SLA queue, Admin monitor e availability/state sync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Vertical slice cross-portale completa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Sprint 4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14-25 settembre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Planner sync, learning e hardening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Planner/My Activities, feedback beta, analytics, Trust signals, CenterLead, Playwright, security/performance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3"/>
              </w:rPr>
              <w:t>Go-live checklist verde; reward/incentive solo shadow mode</w:t>
            </w:r>
          </w:p>
        </w:tc>
      </w:tr>
    </w:tbl>
    <w:p>
      <w:pPr>
        <w:spacing w:after="20"/>
      </w:pPr>
    </w:p>
    <w:p>
      <w:pPr>
        <w:pStyle w:val="Heading2"/>
      </w:pPr>
      <w:r>
        <w:t>7.2 Condizioni di fattibilità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4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Condizione</w:t>
            </w:r>
          </w:p>
        </w:tc>
        <w:tc>
          <w:tcPr>
            <w:tcW w:type="dxa" w:w="204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Necessità</w:t>
            </w:r>
          </w:p>
        </w:tc>
        <w:tc>
          <w:tcPr>
            <w:tcW w:type="dxa" w:w="510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Conseguenza se assente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Scope freeze entro 31 luglio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Obbligatoria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Slittamento o beta non affidabile.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Niente pagamenti nel beta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Fortemente raccomandata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Aumento rilevante di rischio legale, tecnico e operativo.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Partner selezionati e assistiti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Obbligatoria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Cold start e dati incompleti.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Operazioni Admin manuali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Accettabile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Consente di rinviare automazioni e mantenere il controllo.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Test con dati realistici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Obbligatoria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Impossibile verificare disponibilità, stati e permessi.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Un solo ambiente beta stabile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Obbligatoria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Confusione tra demo, test e clienti.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Supporto quotidiano prime 2 settimane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Obbligatoria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Feedback perso e fiducia danneggiata.</w:t>
            </w:r>
          </w:p>
        </w:tc>
      </w:tr>
    </w:tbl>
    <w:p>
      <w:pPr>
        <w:spacing w:after="20"/>
      </w:pPr>
    </w:p>
    <w:p>
      <w:pPr>
        <w:pStyle w:val="Heading2"/>
      </w:pPr>
      <w:r>
        <w:t>7.3 Stima di effort</w:t>
      </w:r>
    </w:p>
    <w:p>
      <w:r>
        <w:t xml:space="preserve">Stima consulenziale AI-assisted, da validare sul repository: </w:t>
      </w:r>
      <w:r>
        <w:rPr>
          <w:b/>
        </w:rPr>
        <w:t>45–70 giornate/persona equivalenti</w:t>
      </w:r>
      <w:r>
        <w:t xml:space="preserve"> per una beta cross-portale con scope sopra definito. La fascia bassa richiede forte riuso del codice, nessun pagamento, partner assistiti e operazioni manuali. Con una sola persona non tecnica che orchestra Claude, la capacità di verifica e debugging è il vincolo principale, non la velocità di generazione del codice.</w:t>
      </w:r>
    </w:p>
    <w:p>
      <w:pPr>
        <w:pStyle w:val="Heading1"/>
      </w:pPr>
      <w:r>
        <w:t>8. Operating model del pilot</w:t>
      </w:r>
    </w:p>
    <w:p>
      <w:pPr>
        <w:pStyle w:val="Heading2"/>
      </w:pPr>
      <w:r>
        <w:t>8.1 Disegno della cohort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Dimensione</w:t>
            </w:r>
          </w:p>
        </w:tc>
        <w:tc>
          <w:tcPr>
            <w:tcW w:type="dxa" w:w="204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Target beta</w:t>
            </w:r>
          </w:p>
        </w:tc>
        <w:tc>
          <w:tcPr>
            <w:tcW w:type="dxa" w:w="510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Perché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Famiglie invitate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30–50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Sufficienti per osservare comportamenti e fare interviste, senza sovraccaricare il supporto.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Famiglie attive target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20–30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Base minima per funnel e retention qualitativa.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Centri contattati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15–20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Serve un funnel supply per arrivare a 5–10 attivi.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Centri attivi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5–10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Densità minima e supporto gestibile.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Offerte pubblicate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20–40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Varietà minima per età, area e categoria.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Aree geografiche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1–2 micro-zone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La densità vale più della copertura estesa.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Durata osservazione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8–12 settimane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Consente iterazione e verifica della ripetizione d’uso.</w:t>
            </w:r>
          </w:p>
        </w:tc>
      </w:tr>
    </w:tbl>
    <w:p>
      <w:pPr>
        <w:spacing w:after="20"/>
      </w:pPr>
    </w:p>
    <w:p>
      <w:pPr>
        <w:pStyle w:val="Heading2"/>
      </w:pPr>
      <w:r>
        <w:t>8.2 Contenuti adatti al periodo settembre–dicembre</w:t>
      </w:r>
    </w:p>
    <w:p>
      <w:pPr>
        <w:pStyle w:val="ListBullet"/>
        <w:spacing w:after="40"/>
        <w:ind w:left="255"/>
      </w:pPr>
      <w:r>
        <w:t>Open day e prove di sport/corsi annuali.</w:t>
      </w:r>
    </w:p>
    <w:p>
      <w:pPr>
        <w:pStyle w:val="ListBullet"/>
        <w:spacing w:after="40"/>
        <w:ind w:left="255"/>
      </w:pPr>
      <w:r>
        <w:t>Laboratori e attività del weekend.</w:t>
      </w:r>
    </w:p>
    <w:p>
      <w:pPr>
        <w:pStyle w:val="ListBullet"/>
        <w:spacing w:after="40"/>
        <w:ind w:left="255"/>
      </w:pPr>
      <w:r>
        <w:t>Campus per chiusure scolastiche, Halloween, ponti e vacanze natalizie.</w:t>
      </w:r>
    </w:p>
    <w:p>
      <w:pPr>
        <w:pStyle w:val="ListBullet"/>
        <w:spacing w:after="40"/>
        <w:ind w:left="255"/>
      </w:pPr>
      <w:r>
        <w:t>Pre-registrazioni o manifestazioni di interesse per l’estate 2027.</w:t>
      </w:r>
    </w:p>
    <w:p>
      <w:pPr>
        <w:pStyle w:val="ListBullet"/>
        <w:spacing w:after="40"/>
        <w:ind w:left="255"/>
      </w:pPr>
      <w:r>
        <w:t>Attività che abbiano periodi e capienza strutturabili, evitando un catalogo solo editoriale.</w:t>
      </w:r>
    </w:p>
    <w:p>
      <w:r>
        <w:t>Questi contenuti consentono di testare la promessa “organizzare la famiglia” anche fuori dal picco estivo. Il test commerciale dei centri estivi resta previsto in primavera 2027.</w:t>
      </w:r>
    </w:p>
    <w:p>
      <w:pPr>
        <w:pStyle w:val="Heading2"/>
      </w:pPr>
      <w:r>
        <w:t>8.3 RACI operativo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209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Attività</w:t>
            </w:r>
          </w:p>
        </w:tc>
        <w:tc>
          <w:tcPr>
            <w:tcW w:type="dxa" w:w="158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Product / Fabrizio</w:t>
            </w:r>
          </w:p>
        </w:tc>
        <w:tc>
          <w:tcPr>
            <w:tcW w:type="dxa" w:w="170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Claude / Engineering</w:t>
            </w:r>
          </w:p>
        </w:tc>
        <w:tc>
          <w:tcPr>
            <w:tcW w:type="dxa" w:w="147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Partner Ops</w:t>
            </w:r>
          </w:p>
        </w:tc>
        <w:tc>
          <w:tcPr>
            <w:tcW w:type="dxa" w:w="147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Admin Ops</w:t>
            </w:r>
          </w:p>
        </w:tc>
        <w:tc>
          <w:tcPr>
            <w:tcW w:type="dxa" w:w="147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UX/Data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Scope e priorità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A/R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Implementazione e test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I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I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Onboarding centri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Qualità catalogo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Supporto famiglie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I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I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Triage feedback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KPI e decisioni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A/R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</w:t>
            </w:r>
          </w:p>
        </w:tc>
      </w:tr>
    </w:tbl>
    <w:p>
      <w:pPr>
        <w:spacing w:after="20"/>
      </w:pPr>
    </w:p>
    <w:p>
      <w:pPr>
        <w:pStyle w:val="Heading1"/>
      </w:pPr>
      <w:r>
        <w:t>9. Esperimenti, KPI e gate decisionali</w:t>
      </w:r>
    </w:p>
    <w:p>
      <w:pPr>
        <w:pStyle w:val="Heading2"/>
      </w:pPr>
      <w:r>
        <w:t>9.1 Le quattro ipotesi da validare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141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Ipotesi</w:t>
            </w:r>
          </w:p>
        </w:tc>
        <w:tc>
          <w:tcPr>
            <w:tcW w:type="dxa" w:w="3969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Domanda di ricerca</w:t>
            </w:r>
          </w:p>
        </w:tc>
        <w:tc>
          <w:tcPr>
            <w:tcW w:type="dxa" w:w="3969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Segnale positivo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Problem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L’organizzazione e la scoperta sono abbastanza dolorose?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Famiglie completano il Planner e descrivono un risparmio di tempo/ansia senza prompting.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Solution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Planner + catalogo strutturato è migliore del flusso frammentato?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Uso ripetuto, richieste inviate e minori backtrack/abbandoni.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Supply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 centri vedono valore nella domanda incrementale?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Onboarding completato, dati mantenuti aggiornati e risposte entro SLA.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Transaction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Le famiglie compiono un’azione economicamente significativa?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Richiesta accettata, intenzione di pagamento o booking reale nella primavera 2027.</w:t>
            </w:r>
          </w:p>
        </w:tc>
      </w:tr>
    </w:tbl>
    <w:p>
      <w:pPr>
        <w:spacing w:after="20"/>
      </w:pPr>
    </w:p>
    <w:p>
      <w:pPr>
        <w:pStyle w:val="Heading2"/>
      </w:pPr>
      <w:r>
        <w:t>9.2 KPI del beta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98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KPI</w:t>
            </w:r>
          </w:p>
        </w:tc>
        <w:tc>
          <w:tcPr>
            <w:tcW w:type="dxa" w:w="4649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Definizione</w:t>
            </w:r>
          </w:p>
        </w:tc>
        <w:tc>
          <w:tcPr>
            <w:tcW w:type="dxa" w:w="175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Target ipotesi</w:t>
            </w:r>
          </w:p>
        </w:tc>
        <w:tc>
          <w:tcPr>
            <w:tcW w:type="dxa" w:w="124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Tipo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Parent activation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% invitati che crea Household + almeno un bisogno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≥60%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Leading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Planner intent rate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% attivi che crea o seleziona un bisogno/periodo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≥50%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Leading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Search-to-detail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Dettagli aperti / ricerche con risultati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≥35%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Leading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Detail-to-request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Richieste / dettagli unici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≥15–25%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Core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Request response SLA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% richieste con risposta entro 24h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≥80%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Supply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Request acceptance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% richieste accettate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≥40%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Core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Partner onboarding completion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% centri iniziati che arrivano a submitted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≥60%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Supply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Time to publish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Mediana da onboarding start a prima offerta pubblicata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≤3 giorni assistiti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Supply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Catalog completeness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% offerte sopra quality threshold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≥90%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Quality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30-day parent retention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% attivi che torna entro 30 giorni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≥25%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Retention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Feedback actionability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% feedback riproducibile/collegabile a decisione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≥70%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Learning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Critical journey error-free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% sessioni E2E senza errore bloccante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≥95%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Quality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Partner request completion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Candidature inviate / aperture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≥70%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Leading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Median partner request time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Tempo apertura → Step 1 submitted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≤2 min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UX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Approved-to-active conversion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Partner con prima offerta / approvati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≥60%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Supply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Walkthrough completion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Partner che completano moduli MVP / approvati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≥70%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Activation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Trust data coverage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Segnali MVP presenti / segnali applicabili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100%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Quality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Referral lead activation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Partner attivi / CenterLead qualificati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Baseline</w:t>
            </w:r>
          </w:p>
        </w:tc>
        <w:tc>
          <w:tcPr>
            <w:tcW w:type="dxa" w:w="2480"/>
          </w:tcPr>
          <w:p>
            <w:r/>
            <w:r>
              <w:rPr>
                <w:rFonts w:ascii="Arial" w:hAnsi="Arial"/>
                <w:b w:val="0"/>
                <w:sz w:val="13"/>
              </w:rPr>
              <w:t>Growth</w:t>
            </w:r>
          </w:p>
        </w:tc>
      </w:tr>
    </w:tbl>
    <w:p>
      <w:pPr>
        <w:spacing w:after="20"/>
      </w:pPr>
    </w:p>
    <w:p>
      <w:r>
        <w:t>I target sono ipotesi di pilot, non benchmark di mercato. Vanno congelati prima del lancio e riletti con numerosità e contesto qualitativo.</w:t>
      </w:r>
    </w:p>
    <w:p>
      <w:pPr>
        <w:pStyle w:val="Heading2"/>
      </w:pPr>
      <w:r>
        <w:t>9.3 Gate dicembre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170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Esito</w:t>
            </w:r>
          </w:p>
        </w:tc>
        <w:tc>
          <w:tcPr>
            <w:tcW w:type="dxa" w:w="4535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Condizione</w:t>
            </w:r>
          </w:p>
        </w:tc>
        <w:tc>
          <w:tcPr>
            <w:tcW w:type="dxa" w:w="340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Decisione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GO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Almeno 20 famiglie attive, 5 centri attivi, 20 offerte complete, richieste reali, SLA Partner sostenibile e segnali di ritorno.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Investire in supply estiva 2027 e booking commerciale.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GO WITH PIVOT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Problema confermato ma conversione bassa oppure supply difficile.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Correggere proposition, flusso o modello Partner prima di gennaio.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NO GO / PAUSE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Basso utilizzo anche con cohort assistita, centri non mantengono dati, nessuna azione transazionale.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Non ampliare lo sviluppo; riesaminare segmento e problema.</w:t>
            </w:r>
          </w:p>
        </w:tc>
      </w:tr>
    </w:tbl>
    <w:p>
      <w:pPr>
        <w:spacing w:after="20"/>
      </w:pPr>
    </w:p>
    <w:p>
      <w:pPr>
        <w:pStyle w:val="Heading1"/>
      </w:pPr>
      <w:r>
        <w:t>10. Modello commerciale da validare</w:t>
      </w:r>
    </w:p>
    <w:p>
      <w:pPr>
        <w:pStyle w:val="Heading2"/>
      </w:pPr>
      <w:r>
        <w:t>10.1 Modello consigliato per il beta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Attore</w:t>
            </w:r>
          </w:p>
        </w:tc>
        <w:tc>
          <w:tcPr>
            <w:tcW w:type="dxa" w:w="2835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Prezzo beta</w:t>
            </w:r>
          </w:p>
        </w:tc>
        <w:tc>
          <w:tcPr>
            <w:tcW w:type="dxa" w:w="4535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Cosa si misura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Famiglie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Gratuito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Uso, retention, richiesta e willingness to pay indiretta.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Primi Partner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Gratuito fino alla fine del pilot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Onboarding, valore lead, tempo risparmiato e willingness to pay/commission.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Commissione “shadow”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Simulata al 3% promo / 5% standard, non necessariamente fatturata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Margine, accettabilità e impatto sui prezzi.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Servizi extra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Non attivi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Raccogliere interesse per catering/navetta senza costruire il marketplace.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Arial" w:hAnsi="Arial"/>
                <w:b w:val="0"/>
                <w:sz w:val="13"/>
              </w:rPr>
              <w:t>Referral Parent (shadow)</w:t>
            </w:r>
          </w:p>
        </w:tc>
        <w:tc>
          <w:tcPr>
            <w:tcW w:type="dxa" w:w="3307"/>
          </w:tcPr>
          <w:p>
            <w:r/>
            <w:r>
              <w:rPr>
                <w:rFonts w:ascii="Arial" w:hAnsi="Arial"/>
                <w:b w:val="0"/>
                <w:sz w:val="13"/>
              </w:rPr>
              <w:t>Nessun reward sulla sola segnalazione; simulare 10% fino a 25 euro dopo primo booking con centro attivato.</w:t>
            </w:r>
          </w:p>
        </w:tc>
        <w:tc>
          <w:tcPr>
            <w:tcW w:type="dxa" w:w="3307"/>
          </w:tcPr>
          <w:p>
            <w:r/>
            <w:r>
              <w:rPr>
                <w:rFonts w:ascii="Arial" w:hAnsi="Arial"/>
                <w:b w:val="0"/>
                <w:sz w:val="13"/>
              </w:rPr>
              <w:t>Tasso eligibility, costo potenziale, redemption intenzionale e abuso.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Arial" w:hAnsi="Arial"/>
                <w:b w:val="0"/>
                <w:sz w:val="13"/>
              </w:rPr>
              <w:t>Partner referral tier (shadow)</w:t>
            </w:r>
          </w:p>
        </w:tc>
        <w:tc>
          <w:tcPr>
            <w:tcW w:type="dxa" w:w="3307"/>
          </w:tcPr>
          <w:p>
            <w:r/>
            <w:r>
              <w:rPr>
                <w:rFonts w:ascii="Arial" w:hAnsi="Arial"/>
                <w:b w:val="0"/>
                <w:sz w:val="13"/>
              </w:rPr>
              <w:t>Simulare 3% vs 5% per 50 booking/12 mesi con quality targets.</w:t>
            </w:r>
          </w:p>
        </w:tc>
        <w:tc>
          <w:tcPr>
            <w:tcW w:type="dxa" w:w="3307"/>
          </w:tcPr>
          <w:p>
            <w:r/>
            <w:r>
              <w:rPr>
                <w:rFonts w:ascii="Arial" w:hAnsi="Arial"/>
                <w:b w:val="0"/>
                <w:sz w:val="13"/>
              </w:rPr>
              <w:t>Accettabilità, qualità supply, costo di acquisizione e mantenimento target.</w:t>
            </w:r>
          </w:p>
        </w:tc>
      </w:tr>
    </w:tbl>
    <w:p>
      <w:pPr>
        <w:spacing w:after="20"/>
      </w:pPr>
    </w:p>
    <w:p>
      <w:pPr>
        <w:pStyle w:val="Heading2"/>
      </w:pPr>
      <w:r>
        <w:t>10.2 Possibile modello post-validazione</w:t>
      </w:r>
    </w:p>
    <w:p>
      <w:pPr>
        <w:pStyle w:val="ListBullet"/>
        <w:spacing w:after="40"/>
        <w:ind w:left="255"/>
      </w:pPr>
      <w:r>
        <w:t>Commissione sul booking confermato: 3% early adopter, 5% standard, da validare per segmento e ticket.</w:t>
      </w:r>
    </w:p>
    <w:p>
      <w:pPr>
        <w:pStyle w:val="ListBullet"/>
        <w:spacing w:after="40"/>
        <w:ind w:left="255"/>
      </w:pPr>
      <w:r>
        <w:t>Partner Lite gratuito o a costo minimo per pubblicare e gestire richieste; Premium per analytics, automazioni e strumenti operativi.</w:t>
      </w:r>
    </w:p>
    <w:p>
      <w:pPr>
        <w:pStyle w:val="ListBullet"/>
        <w:spacing w:after="40"/>
        <w:ind w:left="255"/>
      </w:pPr>
      <w:r>
        <w:t>Lead generation / featured placement con regole trasparenti, senza degradare il ranking organico.</w:t>
      </w:r>
    </w:p>
    <w:p>
      <w:pPr>
        <w:pStyle w:val="ListBullet"/>
        <w:spacing w:after="40"/>
        <w:ind w:left="255"/>
      </w:pPr>
      <w:r>
        <w:t>Commissione sui servizi B2B extra (catering, navetta, pre/post) dopo validazione del supplier model.</w:t>
      </w:r>
    </w:p>
    <w:p>
      <w:pPr>
        <w:pStyle w:val="ListBullet"/>
        <w:spacing w:after="40"/>
        <w:ind w:left="255"/>
      </w:pPr>
      <w:r>
        <w:t>B2G/B2B2C per enti, welfare aziendale e voucher in una fase successiva.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7ED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FFF7ED"/>
              <w:left w:val="single" w:sz="20" w:color="C2410C"/>
              <w:bottom w:val="single" w:sz="4" w:color="FFF7ED"/>
              <w:right w:val="single" w:sz="4" w:color="FFF7ED"/>
            </w:tcBorders>
          </w:tcPr>
          <w:p>
            <w:pPr>
              <w:pStyle w:val="Callout"/>
            </w:pPr>
            <w:r>
              <w:rPr>
                <w:color w:val="C2410C"/>
              </w:rPr>
              <w:t>Attenzione strategica</w:t>
            </w:r>
          </w:p>
          <w:p>
            <w:pPr>
              <w:spacing w:after="0"/>
            </w:pPr>
            <w:r>
              <w:t>Il prezzo di Squby parte da valori annuali per anagrafica molto bassi e include una profondità operativa elevata [S6]. TRAMA non deve giustificare il proprio prezzo come sostituto del gestionale; deve monetizzare domanda incrementale, conversione, intelligence e servizi di ecosistema.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11. Scenario competitivo italiano</w:t>
      </w:r>
    </w:p>
    <w:p>
      <w:pPr>
        <w:pStyle w:val="Heading2"/>
      </w:pPr>
      <w:r>
        <w:t>11.1 Struttura del mercato</w:t>
      </w:r>
    </w:p>
    <w:p>
      <w:r>
        <w:t>Il mercato non presenta un solo competitor equivalente a TRAMA. È diviso in quattro categorie: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04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Categoria</w:t>
            </w:r>
          </w:p>
        </w:tc>
        <w:tc>
          <w:tcPr>
            <w:tcW w:type="dxa" w:w="243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Player esemplificativi</w:t>
            </w:r>
          </w:p>
        </w:tc>
        <w:tc>
          <w:tcPr>
            <w:tcW w:type="dxa" w:w="260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Valore dominante</w:t>
            </w:r>
          </w:p>
        </w:tc>
        <w:tc>
          <w:tcPr>
            <w:tcW w:type="dxa" w:w="294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Limite rispetto a TRAMA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Gestionali B2B/B2C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SQUBY, Golee, BookyWay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Iscrizioni, pagamenti, presenze, documenti, comunicazioni.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Esperienza centrata sulla singola organizzazione; discovery cross-centro e Planner famiglia non sono il core.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Marketplace / discovery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Tutto Campi Estivi, KidPass, Keikibu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Audience, ricerca, contenuti e visibilità.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Operazioni Partner e orchestrazione post-scelta più limitate.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Marketplace + gestionale sport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Sportclubby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Discovery locale, booking e gestione del club.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Focus sport/fitness generale, non organizzazione multi-bambino e bisogni familiari.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Piattaforme pubbliche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SYSAP e portali comunali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Accreditamento, voucher, controllo ente e accesso famiglia.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Scope territoriale/istituzionale e processo voucher-centrico.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Workflow informale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Google, Instagram, WhatsApp, Excel, gruppi locali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Abitudini consolidate e costo percepito nullo.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Frammentazione, dati non comparabili e nessun Planner integrato.</w:t>
            </w:r>
          </w:p>
        </w:tc>
      </w:tr>
    </w:tbl>
    <w:p>
      <w:pPr>
        <w:spacing w:after="20"/>
      </w:pPr>
    </w:p>
    <w:p>
      <w:pPr>
        <w:pStyle w:val="Heading2"/>
      </w:pPr>
      <w:r>
        <w:t>11.2 Evidenze di domanda e stagionalità</w:t>
      </w:r>
    </w:p>
    <w:p>
      <w:pPr>
        <w:pStyle w:val="ListBullet"/>
        <w:spacing w:after="40"/>
        <w:ind w:left="255"/>
      </w:pPr>
      <w:r>
        <w:t>Nel 2026 il monitoraggio Eures–Adoc riportato da Sky indica una media nazionale di 179 euro a settimana e 233 euro a Milano, rendendo prezzo, periodo e comparabilità elementi sensibili [S3].</w:t>
      </w:r>
    </w:p>
    <w:p>
      <w:pPr>
        <w:pStyle w:val="ListBullet"/>
        <w:spacing w:after="40"/>
        <w:ind w:left="255"/>
      </w:pPr>
      <w:r>
        <w:t>I dati istituzionali disponibili mostrano una fruizione territorialmente disomogenea; la Lombardia risultava sopra la media nazionale nelle misure citate dal Centro nazionale per l’infanzia [S4].</w:t>
      </w:r>
    </w:p>
    <w:p>
      <w:pPr>
        <w:pStyle w:val="ListBullet"/>
        <w:spacing w:after="40"/>
        <w:ind w:left="255"/>
      </w:pPr>
      <w:r>
        <w:t>Le iscrizioni comunali milanesi per l’estate 2026 sono state concentrate tra il 19 marzo e il 7 aprile, confermando che il prodotto e la supply devono essere pronti prima della primavera [S2].</w:t>
      </w:r>
    </w:p>
    <w:p>
      <w:pPr>
        <w:pStyle w:val="ListBullet"/>
        <w:spacing w:after="40"/>
        <w:ind w:left="255"/>
      </w:pPr>
      <w:r>
        <w:t>Il finanziamento pubblico continua a sostenere attività socioeducative e collaborazioni pubblico-private, aprendo una prospettiva B2G futura ma non necessaria per il beta [S5].</w:t>
      </w:r>
    </w:p>
    <w:p>
      <w:pPr>
        <w:pStyle w:val="Heading2"/>
      </w:pPr>
      <w:r>
        <w:t>11.3 Strategic groups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81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Player</w:t>
            </w:r>
          </w:p>
        </w:tc>
        <w:tc>
          <w:tcPr>
            <w:tcW w:type="dxa" w:w="175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Domanda / discovery</w:t>
            </w:r>
          </w:p>
        </w:tc>
        <w:tc>
          <w:tcPr>
            <w:tcW w:type="dxa" w:w="181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Operations Partner</w:t>
            </w:r>
          </w:p>
        </w:tc>
        <w:tc>
          <w:tcPr>
            <w:tcW w:type="dxa" w:w="192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Orchestrazione ecosistema</w:t>
            </w:r>
          </w:p>
        </w:tc>
        <w:tc>
          <w:tcPr>
            <w:tcW w:type="dxa" w:w="158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Planner famiglia</w:t>
            </w:r>
          </w:p>
        </w:tc>
        <w:tc>
          <w:tcPr>
            <w:tcW w:type="dxa" w:w="22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Rilevanza per TRAMA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SQUBY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Molto alta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Media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Assente nell’evidenza pubblica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Benchmark operativo e possibile partner/integration target.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Sportclubby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Alta nel fitness/sport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Molto alta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Medio-alta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Assente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Modello architetturale più vicino, ma segmento diverso.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Tutto Campi Estivi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Molto alta, stagionale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Bassa/media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Assente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Competitor diretto per SEO, audience e camp discovery.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Keikibu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Media/alta, ampia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Bassa/media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Assente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Competitor per breadth, community e supplier directory.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SYSAP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Media, locale/istituzionale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Media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Alta lato ente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Assente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Benchmark per portale tripartito e voucher.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Golee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Alta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Assente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Competitor SaaS Partner.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BookyWay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 per scelta dichiarata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Alta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Bassa; API disponibili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Assente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Potenziale integration partner.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KidPass / Centri Estivi Digitali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Media, editoriale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Bassa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Assente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Benchmark per curation e suggerimento centri.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12. Deep dive SQUBY</w:t>
      </w:r>
    </w:p>
    <w:p>
      <w:pPr>
        <w:pStyle w:val="Heading2"/>
      </w:pPr>
      <w:r>
        <w:t>12.1 Profilo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Dimensione</w:t>
            </w:r>
          </w:p>
        </w:tc>
        <w:tc>
          <w:tcPr>
            <w:tcW w:type="dxa" w:w="737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Evidenza pubblica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Società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iGrest Srl, Milano. Il sito presenta SQUBY come gestionale cloud per associazioni sportive, centri educativi, cooperative, scuole, oratori e campus [S6].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Scala dichiarata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Il sito dichiara oltre 170.000 utenti; dato self-reported, non market share certificata [S6].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Canali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Web, app iOS/Android e dispositivi/wearable per accessi e pagamenti [S6].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Funzioni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Iscrizioni, anagrafiche, documenti, messaggistica, accessi RFID/QR, mensa, gruppi, attività, contabilità, bar/e-commerce e pagamenti [S6].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Pricing pubblico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Piani annuali per anagrafica: Lite 0,90 €, Standard 2,29 €, Professional 2,99 €, con condizioni e moduli differenti [S6].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Pagamenti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SQUBY Pay integra Mollie; il sito descrive anche opzioni Stripe/Satispay e commissioni di transazione [S7].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Strategia dichiarata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Materiale stampa 2025 indica fundraising ed espansione geografica, inclusa l’Europa dal 2026 [S8].</w:t>
            </w:r>
          </w:p>
        </w:tc>
      </w:tr>
    </w:tbl>
    <w:p>
      <w:pPr>
        <w:spacing w:after="20"/>
      </w:pPr>
    </w:p>
    <w:p>
      <w:pPr>
        <w:pStyle w:val="Heading2"/>
      </w:pPr>
      <w:r>
        <w:t>12.2 Valutazione strategica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Area</w:t>
            </w:r>
          </w:p>
        </w:tc>
        <w:tc>
          <w:tcPr>
            <w:tcW w:type="dxa" w:w="737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Valutazione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Forza principale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Profondità operativa, ampiezza moduli, app genitore, pricing trasparente e base installata dichiarata.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Job servito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Digitalizzare il rapporto tra una singola organizzazione e i propri iscritti.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Gap rispetto a TRAMA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Nelle fonti pubbliche consultate non emerge come core una discovery neutrale tra centri né un Planner familiare che parte da settimane/bisogni scoperti. Questa è un’inferenza da posizionamento e funzionalità pubbliche, non una prova di assenza tecnica.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Rischio competitivo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Alto sul portale Partner: costruire presenze, mensa, pagamenti e documenti significherebbe inseguire un incumbent più maturo.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Rischio lato Parent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Medio: SQUBY serve i genitori già iscritti alla struttura; potrebbe estendersi a discovery e cross-selling usando la base installata.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Opportunità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TRAMA può essere canale di domanda e layer di organizzazione, integrandosi o convivendo con SQUBY invece di sostituirlo.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Mossa raccomandata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 portal “marketplace cockpit” leggero, CSV/deep link nel breve; esplorazione integrazione e partnership nel 2027.</w:t>
            </w:r>
          </w:p>
        </w:tc>
      </w:tr>
    </w:tbl>
    <w:p>
      <w:pPr>
        <w:spacing w:after="20"/>
      </w:pPr>
    </w:p>
    <w:p>
      <w:pPr>
        <w:pStyle w:val="Heading2"/>
      </w:pPr>
      <w:r>
        <w:t>12.3 SWOT SQUBY rispetto a TRAMA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819"/>
            <w:shd w:fill="15803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Strengths</w:t>
            </w:r>
          </w:p>
        </w:tc>
        <w:tc>
          <w:tcPr>
            <w:tcW w:type="dxa" w:w="4819"/>
            <w:shd w:fill="15803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Weaknesses / gap osservabili</w:t>
            </w:r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Base installata dichiarata; operations molto complete; mobile; accessi e pagamenti; prezzo basso; ampiezza segmenti.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Esperienza focalizzata sull’organizzazione cliente; potenziale complessità; nessuna evidenza pubblica di family planning need-first e comparazione cross-center.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819"/>
            <w:shd w:fill="C2410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Opportunities per TRAMA</w:t>
            </w:r>
          </w:p>
        </w:tc>
        <w:tc>
          <w:tcPr>
            <w:tcW w:type="dxa" w:w="4819"/>
            <w:shd w:fill="C2410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Threats per TRAMA</w:t>
            </w:r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Referral/integration; onboarding centri già digitalizzati; non duplicare operations; offrire demand intelligence.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SQUBY può aggiungere marketplace/discovery; lock-in dei centri; costo di switching molto basso per restare sul gestionale esistente.</w:t>
            </w:r>
          </w:p>
        </w:tc>
      </w:tr>
    </w:tbl>
    <w:p>
      <w:pPr>
        <w:spacing w:after="20"/>
      </w:pPr>
    </w:p>
    <w:p>
      <w:pPr>
        <w:pStyle w:val="Heading2"/>
      </w:pPr>
      <w:r>
        <w:t>12.4 Risposta competitiva</w:t>
      </w:r>
    </w:p>
    <w:p>
      <w:pPr>
        <w:pStyle w:val="ListNumber"/>
        <w:spacing w:after="40"/>
      </w:pPr>
      <w:r>
        <w:t>Non presentare TRAMA ai gestori come “nuovo gestionale completo”.</w:t>
      </w:r>
    </w:p>
    <w:p>
      <w:pPr>
        <w:pStyle w:val="ListNumber"/>
        <w:spacing w:after="40"/>
      </w:pPr>
      <w:r>
        <w:t>Promettere domanda incrementale, qualità della vetrina e riduzione del vuoto di capacità.</w:t>
      </w:r>
    </w:p>
    <w:p>
      <w:pPr>
        <w:pStyle w:val="ListNumber"/>
        <w:spacing w:after="40"/>
      </w:pPr>
      <w:r>
        <w:t>Consentire modalità “gestione leggera” e “usa il tuo gestionale”.</w:t>
      </w:r>
    </w:p>
    <w:p>
      <w:pPr>
        <w:pStyle w:val="ListNumber"/>
        <w:spacing w:after="40"/>
      </w:pPr>
      <w:r>
        <w:t>Progettare un import standard di attività, periodi, prezzi e capienza.</w:t>
      </w:r>
    </w:p>
    <w:p>
      <w:pPr>
        <w:pStyle w:val="ListNumber"/>
        <w:spacing w:after="40"/>
      </w:pPr>
      <w:r>
        <w:t>Conservare in TRAMA solo gli oggetti necessari al marketplace e al Planner.</w:t>
      </w:r>
    </w:p>
    <w:p>
      <w:pPr>
        <w:pStyle w:val="ListNumber"/>
        <w:spacing w:after="40"/>
      </w:pPr>
      <w:r>
        <w:t>Valutare connector/API solo dopo aver raggiunto densità e partner attivi.</w:t>
      </w:r>
    </w:p>
    <w:p>
      <w:pPr>
        <w:pStyle w:val="Heading1"/>
        <w:pageBreakBefore/>
      </w:pPr>
      <w:r>
        <w:t>13. Profili dei player rilevanti</w:t>
      </w:r>
    </w:p>
    <w:p>
      <w:pPr>
        <w:pStyle w:val="Heading2"/>
      </w:pPr>
      <w:r>
        <w:t>Tutto Campi Estivi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Profilo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Punti di forza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Gap / limite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Implicazione per TRAMA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Marketplace e community verticale. Il sito dichiara oltre 250.000 visite di genitori per stagione, più di 140 organizzatori, oltre 800 proposte e 18.000 iscritti alla community [S9].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SEO, specializzazione, audience, filtri, contenuti verificati e prenotazione/richiesta.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Non emerge una gestione della settimana familiare né un sistema operativo Partner paragonabile a un gestionale.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Competitor diretto per acquisizione domanda estiva. TRAMA deve differenziarsi sul bisogno, la continuità e la densità locale.</w:t>
            </w:r>
          </w:p>
        </w:tc>
      </w:tr>
    </w:tbl>
    <w:p>
      <w:pPr>
        <w:spacing w:after="20"/>
      </w:pPr>
    </w:p>
    <w:p>
      <w:pPr>
        <w:pStyle w:val="Heading2"/>
      </w:pPr>
      <w:r>
        <w:t>Sportclubby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Profilo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Punti di forza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Gap / limite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Implicazione per TRAMA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Piattaforma sport/fitness con gestionale, app cliente, marketplace geolocalizzato, pagamenti, liste d’attesa, comunicazioni e accessi [S10].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Modello end-to-end domanda + operations; network e discovery locale.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Focus generale su sport/fitness, non su famiglie multi-bambino e pianificazione di periodi di cura/attività.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È il benchmark architetturale più vicino e dimostra che marketplace + SaaS è possibile; rischio di espansione kids.</w:t>
            </w:r>
          </w:p>
        </w:tc>
      </w:tr>
    </w:tbl>
    <w:p>
      <w:pPr>
        <w:spacing w:after="20"/>
      </w:pPr>
    </w:p>
    <w:p>
      <w:pPr>
        <w:pStyle w:val="Heading2"/>
      </w:pPr>
      <w:r>
        <w:t>Keikibu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Profilo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Punti di forza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Gap / limite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Implicazione per TRAMA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Piattaforma ampia per famiglie 0–13: eventi, corsi, sport, servizi, fornitori, community e app; presenta anche un assistente AI in beta [S11].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Ampiezza, community, local content e supplier directory.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Breadth elevata può ridurre profondità transazionale e organizzativa; nessuna evidenza pubblica di Planner need-first.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Competitor per attenzione e discovery. TRAMA deve evitare di diventare una directory generalista.</w:t>
            </w:r>
          </w:p>
        </w:tc>
      </w:tr>
    </w:tbl>
    <w:p>
      <w:pPr>
        <w:spacing w:after="20"/>
      </w:pPr>
    </w:p>
    <w:p>
      <w:pPr>
        <w:pStyle w:val="Heading2"/>
      </w:pPr>
      <w:r>
        <w:t>Golee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Profilo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Punti di forza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Gap / limite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Implicazione per TRAMA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Gestionale per sport e camp con iscrizioni, documenti, pagamenti, app genitori, notifiche e presenze; prova gratuita 14 giorni [S12].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UX SaaS, supporto e operations essenziali per piccoli/medi operatori.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Non è un marketplace cross-centro nelle evidenze considerate.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Competitor lato Partner; possibile sistema preesistente da non sostituire nel beta.</w:t>
            </w:r>
          </w:p>
        </w:tc>
      </w:tr>
    </w:tbl>
    <w:p>
      <w:pPr>
        <w:spacing w:after="20"/>
      </w:pPr>
    </w:p>
    <w:p>
      <w:pPr>
        <w:pStyle w:val="Heading2"/>
      </w:pPr>
      <w:r>
        <w:t>BookyWay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Profilo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Punti di forza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Gap / limite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Implicazione per TRAMA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App universale di prenotazione; dichiara oltre 2.300 attività e un milione di utenti, ma afferma esplicitamente di non essere un aggregatore [S13]. Offre API per sincronizzare prenotazioni, calendari e utenti [S14].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Booking, app cliente, API, ampiezza verticale e adozione internazionale dichiarata.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Scelta strategica di non aggregare centri; family planning assente.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Potenziale partner tecnologico/integration target, non solo competitor.</w:t>
            </w:r>
          </w:p>
        </w:tc>
      </w:tr>
    </w:tbl>
    <w:p>
      <w:pPr>
        <w:spacing w:after="20"/>
      </w:pPr>
    </w:p>
    <w:p>
      <w:pPr>
        <w:pStyle w:val="Heading2"/>
      </w:pPr>
      <w:r>
        <w:t>SYSAP Centri Estivi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Profilo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Punti di forza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Gap / limite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Implicazione per TRAMA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Piattaforma tripartita per famiglie, centri e Comuni, focalizzata su voucher, accreditamento, QR e controllo pubblico [S15].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Orchestrazione multi-attore, B2G, pagamenti garantiti e catalogo accreditato.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Vincolata al processo pubblico/voucher e alla copertura comunale.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Benchmark Admin e possibile futuro concorrente/partner nel B2G.</w:t>
            </w:r>
          </w:p>
        </w:tc>
      </w:tr>
    </w:tbl>
    <w:p>
      <w:pPr>
        <w:spacing w:after="20"/>
      </w:pPr>
    </w:p>
    <w:p>
      <w:pPr>
        <w:pStyle w:val="Heading2"/>
      </w:pPr>
      <w:r>
        <w:t>KidPass / Centri Estivi Digitali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Profilo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Punti di forza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Gap / limite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Implicazione per TRAMA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Portale di ricerca e selezione 2026, partnership in evidenza e processo “segnala un centro” [S16].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Brand editoriale, curation e contenuti per famiglie.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Profondità operativa e transazionale non evidente nelle pagine pubbliche analizzate.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Benchmark diretto per CR-049: il semplice suggerimento esiste già; TRAMA deve chiudere il loop fino al claim e alla pubblicazione.</w:t>
            </w:r>
          </w:p>
        </w:tc>
      </w:tr>
    </w:tbl>
    <w:p>
      <w:pPr>
        <w:spacing w:after="20"/>
      </w:pPr>
    </w:p>
    <w:p>
      <w:pPr>
        <w:pStyle w:val="Heading2"/>
      </w:pPr>
      <w:r>
        <w:t>Operatori diretti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9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Profilo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Punti di forza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Gap / limite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Implicazione per TRAMA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Experience Camp, federazioni e singoli network vendono direttamente la propria offerta.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Brand, controllo della supply, fiducia e specializzazione.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Catalogo proprietario e assenza di neutralità cross-center.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Competono per domanda e possono disintermediare; sono anche potenziali anchor partner.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14. Matrice comparativa e strategic whitespace</w:t>
      </w:r>
    </w:p>
    <w:p>
      <w:pPr>
        <w:pStyle w:val="Heading2"/>
      </w:pPr>
      <w:r>
        <w:t>14.1 Scorecard basata su evidenza pubblica</w:t>
      </w:r>
    </w:p>
    <w:p>
      <w:r>
        <w:t>Scala: 0 = nessuna evidenza pubblica; 1 = limitato; 2 = medio; 3 = forte. I punteggi sono una valutazione consulenziale e non una verifica tecnica dei prodotti.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cantSplit/>
          <w:tblHeader w:val="true"/>
        </w:trPr>
        <w:tc>
          <w:tcPr>
            <w:tcW w:type="dxa" w:w="175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Player</w:t>
            </w:r>
          </w:p>
        </w:tc>
        <w:tc>
          <w:tcPr>
            <w:tcW w:type="dxa" w:w="90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Discovery</w:t>
            </w:r>
          </w:p>
        </w:tc>
        <w:tc>
          <w:tcPr>
            <w:tcW w:type="dxa" w:w="85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Planner</w:t>
            </w:r>
          </w:p>
        </w:tc>
        <w:tc>
          <w:tcPr>
            <w:tcW w:type="dxa" w:w="96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Multi-center</w:t>
            </w:r>
          </w:p>
        </w:tc>
        <w:tc>
          <w:tcPr>
            <w:tcW w:type="dxa" w:w="102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Partner Ops</w:t>
            </w:r>
          </w:p>
        </w:tc>
        <w:tc>
          <w:tcPr>
            <w:tcW w:type="dxa" w:w="113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Admin Orchestration</w:t>
            </w:r>
          </w:p>
        </w:tc>
        <w:tc>
          <w:tcPr>
            <w:tcW w:type="dxa" w:w="102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Booking/Pay</w:t>
            </w:r>
          </w:p>
        </w:tc>
        <w:tc>
          <w:tcPr>
            <w:tcW w:type="dxa" w:w="90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Attendance</w:t>
            </w:r>
          </w:p>
        </w:tc>
        <w:tc>
          <w:tcPr>
            <w:tcW w:type="dxa" w:w="96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Integration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4"/>
              </w:rPr>
              <w:t>SQUBY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4"/>
              </w:rPr>
              <w:t>Tutto Campi Estivi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4"/>
              </w:rPr>
              <w:t>Keikibu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4"/>
              </w:rPr>
              <w:t>Sportclubby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4"/>
              </w:rPr>
              <w:t>Golee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4"/>
              </w:rPr>
              <w:t>BookyWay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4"/>
              </w:rPr>
              <w:t>SYSAP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4"/>
              </w:rPr>
              <w:t>KidPass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4"/>
              </w:rPr>
              <w:t>TRAMA target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4"/>
              </w:rPr>
              <w:t>2</w:t>
            </w:r>
          </w:p>
        </w:tc>
      </w:tr>
    </w:tbl>
    <w:p>
      <w:pPr>
        <w:spacing w:after="20"/>
      </w:pPr>
    </w:p>
    <w:p>
      <w:pPr>
        <w:pStyle w:val="Heading2"/>
      </w:pPr>
      <w:r>
        <w:t>14.2 White space difendibile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AF5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FAF5FF"/>
              <w:left w:val="single" w:sz="20" w:color="7E22CE"/>
              <w:bottom w:val="single" w:sz="4" w:color="FAF5FF"/>
              <w:right w:val="single" w:sz="4" w:color="FAF5FF"/>
            </w:tcBorders>
          </w:tcPr>
          <w:p>
            <w:pPr>
              <w:pStyle w:val="Callout"/>
            </w:pPr>
            <w:r>
              <w:rPr>
                <w:color w:val="7E22CE"/>
              </w:rPr>
              <w:t>Need-first orchestration</w:t>
            </w:r>
          </w:p>
          <w:p>
            <w:pPr>
              <w:spacing w:after="0"/>
            </w:pPr>
            <w:r>
              <w:t>Nessun player analizzato combina in modo evidente: bisogno temporale della famiglia → confronto multi-centro → offerta verificata e disponibile → richiesta/booking → aggiornamento del Planner → dato di domanda non servita che alimenta l’acquisizione di nuovi centri.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32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White space</w:t>
            </w:r>
          </w:p>
        </w:tc>
        <w:tc>
          <w:tcPr>
            <w:tcW w:type="dxa" w:w="328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Valore</w:t>
            </w:r>
          </w:p>
        </w:tc>
        <w:tc>
          <w:tcPr>
            <w:tcW w:type="dxa" w:w="3969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Condizione per renderlo reale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Planner familiare come origine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TRAMA parte dal problema, non dal catalogo.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Coverage model semplice e uso ripetuto.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Availability strutturata cross-center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Confronto reale per periodo, età e capienza.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 mantiene dati o integrazione affidabile.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Demand-led supply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Le ricerche senza risultato generano pipeline commerciale.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CenterLead dedupe, outreach e claim.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Three-portal control loop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Ogni azione è osservabile e governata.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Stati condivisi, Admin operativo e analytics.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Service marketplace futuro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TRAMA può colmare gap dei centri con fornitori.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Non anticipare delivery prima del core marketplace.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Family graph e planning data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Migliori suggerimenti e retention.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Consenso, minimizzazione e reale valore percepito.</w:t>
            </w:r>
          </w:p>
        </w:tc>
      </w:tr>
    </w:tbl>
    <w:p>
      <w:pPr>
        <w:spacing w:after="20"/>
      </w:pPr>
    </w:p>
    <w:p>
      <w:pPr>
        <w:pStyle w:val="Heading2"/>
      </w:pPr>
      <w:r>
        <w:t>14.3 Il vero incumbent</w:t>
      </w:r>
    </w:p>
    <w:p>
      <w:r>
        <w:t>Il concorrente più difficile non è un’app singola. È il workflow composto da Google, Instagram, passaparola, gruppi WhatsApp, moduli, e-mail, fogli Excel e calendari personali. È gratuito, familiare e sufficientemente buono. TRAMA vince solo se riduce concretamente tempo, incertezza e ripetizioni; una UI più elegante non basta.</w:t>
      </w:r>
    </w:p>
    <w:p>
      <w:pPr>
        <w:pStyle w:val="Heading1"/>
      </w:pPr>
      <w:r>
        <w:t>15. Posizionamento e vantaggio difendibile</w:t>
      </w:r>
    </w:p>
    <w:p>
      <w:pPr>
        <w:pStyle w:val="Heading2"/>
      </w:pPr>
      <w:r>
        <w:t>15.1 Positioning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EFF6FF"/>
              <w:left w:val="single" w:sz="20" w:color="2563EB"/>
              <w:bottom w:val="single" w:sz="4" w:color="EFF6FF"/>
              <w:right w:val="single" w:sz="4" w:color="EFF6FF"/>
            </w:tcBorders>
          </w:tcPr>
          <w:p>
            <w:pPr>
              <w:pStyle w:val="Callout"/>
            </w:pPr>
            <w:r>
              <w:rPr>
                <w:color w:val="2563EB"/>
              </w:rPr>
              <w:t>Proposta</w:t>
            </w:r>
          </w:p>
          <w:p>
            <w:pPr>
              <w:spacing w:after="0"/>
            </w:pPr>
            <w:r>
              <w:t>Per genitori che devono coprire e coordinare il tempo dei figli, TRAMA è il sistema operativo familiare che trasforma un periodo scoperto in un’attività verificata e organizzata. A differenza delle directory e dei gestionali del singolo centro, collega pianificazione, discovery, offerta disponibile e gestione post-scelta in un unico circuito.</w:t>
            </w:r>
          </w:p>
        </w:tc>
      </w:tr>
    </w:tbl>
    <w:p>
      <w:pPr>
        <w:spacing w:after="20"/>
      </w:pPr>
    </w:p>
    <w:p>
      <w:pPr>
        <w:pStyle w:val="Heading2"/>
      </w:pPr>
      <w:r>
        <w:t>15.2 Messaggio per ciascun lato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170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Audience</w:t>
            </w:r>
          </w:p>
        </w:tc>
        <w:tc>
          <w:tcPr>
            <w:tcW w:type="dxa" w:w="340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Promessa</w:t>
            </w:r>
          </w:p>
        </w:tc>
        <w:tc>
          <w:tcPr>
            <w:tcW w:type="dxa" w:w="4535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Prova MVP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Genitore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Meno ricerche sparse, più settimane organizzate.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Dal bisogno alla richiesta e al Planner senza cambiare applicazione.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Partner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Nuova domanda qualificata senza cambiare subito gestionale.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Offerta pubblicabile in pochi passi e richieste con contesto.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Admin / TRAMA Ops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Qualità e marketplace governabili.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Code, SLA, lead, feedback e funnel osservabili.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Futuro fornitore extra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Accesso a centri con bisogni verificati.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Non nel beta; raccolta dell’interesse e modellazione domanda.</w:t>
            </w:r>
          </w:p>
        </w:tc>
      </w:tr>
    </w:tbl>
    <w:p>
      <w:pPr>
        <w:spacing w:after="20"/>
      </w:pPr>
    </w:p>
    <w:p>
      <w:pPr>
        <w:pStyle w:val="Heading2"/>
      </w:pPr>
      <w:r>
        <w:t>15.3 Moat: cosa può diventare difendibile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Asset</w:t>
            </w:r>
          </w:p>
        </w:tc>
        <w:tc>
          <w:tcPr>
            <w:tcW w:type="dxa" w:w="192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Difendibilità</w:t>
            </w:r>
          </w:p>
        </w:tc>
        <w:tc>
          <w:tcPr>
            <w:tcW w:type="dxa" w:w="510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Come costruirlo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Densità locale verificata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Alta se concentrata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Micro-zone, anchor partner e aggiornamento disponibilità.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Planning graph familiare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Medio-alta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Bisogni, periodi, bambini e scelte; privacy by design.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Demand gap intelligence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Alta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Zero results, center suggestions e richieste non servite.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Workflow e integrazioni Partner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Media-alta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Import/connector e riduzione del doppio inserimento.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Trust &amp; quality operations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Media-alta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Verifica, quality score, SLA e gestione anomalie.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Brand e community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Media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Beta cohort, referral, contenuti utili e trasparenza.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Codice/UI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Bassa da sola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Facilmente replicabile; deve servire gli asset sopra.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16. Strategia build / partner / buy</w:t>
      </w:r>
    </w:p>
    <w:p>
      <w:pPr>
        <w:pStyle w:val="Heading2"/>
      </w:pPr>
      <w:r>
        <w:t>16.1 Cosa costruire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835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Capability</w:t>
            </w:r>
          </w:p>
        </w:tc>
        <w:tc>
          <w:tcPr>
            <w:tcW w:type="dxa" w:w="181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Decisione</w:t>
            </w:r>
          </w:p>
        </w:tc>
        <w:tc>
          <w:tcPr>
            <w:tcW w:type="dxa" w:w="4819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Razionale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Planner e context object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BUILD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È il differenziatore centrale.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Catalogo/Offering canonico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BUILD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Serve alla comparazione e al circuito cross-portale.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Request lifecycle e Planner sync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BUILD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È il cuore transazionale e dell’apprendimento.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Admin quality/control plane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BUILD leggero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Necessario per fiducia e pilot; automazioni dopo.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CenterLead e demand gap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BUILD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Crea un asset proprietario di crescita supply.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Feedback contextuale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BUILD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Accelera il learning loop del beta.</w:t>
            </w:r>
          </w:p>
        </w:tc>
      </w:tr>
    </w:tbl>
    <w:p>
      <w:pPr>
        <w:spacing w:after="20"/>
      </w:pPr>
    </w:p>
    <w:p>
      <w:pPr>
        <w:pStyle w:val="Heading2"/>
      </w:pPr>
      <w:r>
        <w:t>16.2 Cosa non ricostruire ora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835"/>
            <w:shd w:fill="C2410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Capability</w:t>
            </w:r>
          </w:p>
        </w:tc>
        <w:tc>
          <w:tcPr>
            <w:tcW w:type="dxa" w:w="1984"/>
            <w:shd w:fill="C2410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Decisione</w:t>
            </w:r>
          </w:p>
        </w:tc>
        <w:tc>
          <w:tcPr>
            <w:tcW w:type="dxa" w:w="4649"/>
            <w:shd w:fill="C2410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Alternative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Pagamenti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PARTNER/BUY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Stripe/Mollie/Satispay in fase commerciale; non custodire fondi.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Full gestionale centro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PARTNER/INTEROPERATE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Convivere con Squby, Golee, BookyWay, Sportclubby.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Accessi/RFID/presenze hardware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DO NOT BUILD pre-PMF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Integrare o deep-linkare soluzioni mature.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Messaggistica massiva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BUY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Email/push provider; thread contestuale TRAMA solo dove necessario.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Mappe e travel time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BUY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Provider cartografico; dopo validazione core.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Documenti/certificati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DEFER / PARTNER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Elevata complessità privacy e operations.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Catering/navetta marketplace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DEFER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Modellare il dominio, validare domanda, poi costruire.</w:t>
            </w:r>
          </w:p>
        </w:tc>
      </w:tr>
    </w:tbl>
    <w:p>
      <w:pPr>
        <w:spacing w:after="20"/>
      </w:pPr>
    </w:p>
    <w:p>
      <w:pPr>
        <w:pStyle w:val="Heading2"/>
      </w:pPr>
      <w:r>
        <w:t>16.3 Interoperabilità progressiva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192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Fase</w:t>
            </w:r>
          </w:p>
        </w:tc>
        <w:tc>
          <w:tcPr>
            <w:tcW w:type="dxa" w:w="306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Meccanismo</w:t>
            </w:r>
          </w:p>
        </w:tc>
        <w:tc>
          <w:tcPr>
            <w:tcW w:type="dxa" w:w="4535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Uso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Beta settembre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CSV, template, deep link, operazioni manuali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Ridurre il doppio inserimento senza sviluppo integration-heavy.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Pilot primavera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Webhook/import schedulato per partner selezionati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Sincronizzare disponibilità e stati.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Scale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API/connector standard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BookyWay pubblicizza API bidirezionali; altri player vanno valutati commercialmente [S14].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Ecosistema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Partner program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TRAMA come demand layer e non competitor obbligatorio dei gestionali.</w:t>
            </w:r>
          </w:p>
        </w:tc>
      </w:tr>
    </w:tbl>
    <w:p>
      <w:pPr>
        <w:spacing w:after="20"/>
      </w:pPr>
    </w:p>
    <w:p>
      <w:pPr>
        <w:pStyle w:val="Heading1"/>
      </w:pPr>
      <w:r>
        <w:t>17. Rischi e mitigazioni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68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ID</w:t>
            </w:r>
          </w:p>
        </w:tc>
        <w:tc>
          <w:tcPr>
            <w:tcW w:type="dxa" w:w="238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Rischio</w:t>
            </w:r>
          </w:p>
        </w:tc>
        <w:tc>
          <w:tcPr>
            <w:tcW w:type="dxa" w:w="124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Livello</w:t>
            </w:r>
          </w:p>
        </w:tc>
        <w:tc>
          <w:tcPr>
            <w:tcW w:type="dxa" w:w="5386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Mitigazione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Scope eccessivo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Molto alto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Freeze; no pagamenti, presenze, servizi extra e migrazione totale.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Qualità del codice AI-generated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Alto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Vertical slice, commit piccoli, review Claude separata, build/lint/Playwright, rollback.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Cold start supply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Molto alto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Onboarding assistito, anchor partner e micro-geografia.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Doppio inserimento Partner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Alto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Template import, modalità lightweight e strategia integrazione.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Disponibilità non aggiornata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Alto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Timestamp, alert stale, conferma Partner e nessuna promessa “real time” non supportata.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Bassa rilevanza stagionale settembre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Medio/alto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Usare attività annuali, weekend, holiday camp e pre-interest estate 2027; non leggere il beta come test completo di summer conversion.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Privacy minori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Molto alto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Minimizzazione, RBAC, audit, consensi e review legale prima del pilot.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Supporto ingestibile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Alto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Cohort limitata, code Admin, SLA e canali distinti da feedback prodotto.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Competizione con gestionali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Medio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Posizionarsi come demand/planning layer e offrire interoperabilità.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6"/>
              </w:rPr>
              <w:t>R10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Metriche poco affidabili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Alto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6"/>
              </w:rPr>
              <w:t>Event taxonomy, correlationId, dati test isolati e baseline pre-lancio.</w:t>
            </w:r>
          </w:p>
        </w:tc>
      </w:tr>
    </w:tbl>
    <w:p>
      <w:pPr>
        <w:spacing w:after="20"/>
      </w:pPr>
    </w:p>
    <w:p>
      <w:pPr>
        <w:pStyle w:val="Heading2"/>
      </w:pPr>
      <w:r>
        <w:t>17.2 Red flags di go-live</w:t>
      </w:r>
    </w:p>
    <w:p>
      <w:pPr>
        <w:pStyle w:val="ListBullet"/>
        <w:spacing w:after="40"/>
        <w:ind w:left="255"/>
      </w:pPr>
      <w:r>
        <w:t>Route critica ancora Legacy o non misurabile.</w:t>
      </w:r>
    </w:p>
    <w:p>
      <w:pPr>
        <w:pStyle w:val="ListBullet"/>
        <w:spacing w:after="40"/>
        <w:ind w:left="255"/>
      </w:pPr>
      <w:r>
        <w:t>Partner può accettare una richiesta senza disponibilità sufficiente.</w:t>
      </w:r>
    </w:p>
    <w:p>
      <w:pPr>
        <w:pStyle w:val="ListBullet"/>
        <w:spacing w:after="40"/>
        <w:ind w:left="255"/>
      </w:pPr>
      <w:r>
        <w:t>Admin non può sospendere un’offerta o ricostruire chi ha modificato uno stato.</w:t>
      </w:r>
    </w:p>
    <w:p>
      <w:pPr>
        <w:pStyle w:val="ListBullet"/>
        <w:spacing w:after="40"/>
        <w:ind w:left="255"/>
      </w:pPr>
      <w:r>
        <w:t>Dati famiglia o bambino visibili oltre il necessario.</w:t>
      </w:r>
    </w:p>
    <w:p>
      <w:pPr>
        <w:pStyle w:val="ListBullet"/>
        <w:spacing w:after="40"/>
        <w:ind w:left="255"/>
      </w:pPr>
      <w:r>
        <w:t>Eventi analytics duplicati o contaminati da dati test.</w:t>
      </w:r>
    </w:p>
    <w:p>
      <w:pPr>
        <w:pStyle w:val="ListBullet"/>
        <w:spacing w:after="40"/>
        <w:ind w:left="255"/>
      </w:pPr>
      <w:r>
        <w:t>Meno di 5 centri e 20 offerte complete a una settimana dal lancio.</w:t>
      </w:r>
    </w:p>
    <w:p>
      <w:pPr>
        <w:pStyle w:val="ListBullet"/>
        <w:spacing w:after="40"/>
        <w:ind w:left="255"/>
      </w:pPr>
      <w:r>
        <w:t>P0 aperti su login, pubblicazione, richiesta, risposta o Planner sync.</w:t>
      </w:r>
    </w:p>
    <w:p>
      <w:pPr>
        <w:pStyle w:val="Heading1"/>
      </w:pPr>
      <w:r>
        <w:t>18. Raccomandazioni finali</w:t>
      </w:r>
    </w:p>
    <w:p>
      <w:pPr>
        <w:pStyle w:val="Heading2"/>
      </w:pPr>
      <w:r>
        <w:t>18.1 Decisione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0FDF4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F0FDF4"/>
              <w:left w:val="single" w:sz="20" w:color="15803D"/>
              <w:bottom w:val="single" w:sz="4" w:color="F0FDF4"/>
              <w:right w:val="single" w:sz="4" w:color="F0FDF4"/>
            </w:tcBorders>
          </w:tcPr>
          <w:p>
            <w:pPr>
              <w:pStyle w:val="Callout"/>
            </w:pPr>
            <w:r>
              <w:rPr>
                <w:color w:val="15803D"/>
              </w:rPr>
              <w:t>GO WITH CONDITIONS</w:t>
            </w:r>
          </w:p>
          <w:p>
            <w:pPr>
              <w:spacing w:after="0"/>
            </w:pPr>
            <w:r>
              <w:t>Procedere verso una beta privata il 28 settembre 2026. Il lancio è coerente con il piano condiviso solo se viene trattato come fase di apprendimento e non come validazione commerciale definitiva dei centri estivi. La prova di mercato transazionale resta la primavera 2027.</w:t>
            </w:r>
          </w:p>
        </w:tc>
      </w:tr>
    </w:tbl>
    <w:p>
      <w:pPr>
        <w:spacing w:after="20"/>
      </w:pPr>
    </w:p>
    <w:p>
      <w:pPr>
        <w:pStyle w:val="Heading2"/>
      </w:pPr>
      <w:r>
        <w:t>18.2 Dieci decisioni operative non negoziabili</w:t>
      </w:r>
    </w:p>
    <w:p>
      <w:pPr>
        <w:pStyle w:val="ListNumber"/>
        <w:spacing w:after="40"/>
      </w:pPr>
      <w:r>
        <w:t>Congelare entro il 31 luglio lo scope descritto in questo documento.</w:t>
      </w:r>
    </w:p>
    <w:p>
      <w:pPr>
        <w:pStyle w:val="ListNumber"/>
        <w:spacing w:after="40"/>
      </w:pPr>
      <w:r>
        <w:t>Usare una request/booking senza pagamento come conversione primaria del beta.</w:t>
      </w:r>
    </w:p>
    <w:p>
      <w:pPr>
        <w:pStyle w:val="ListNumber"/>
        <w:spacing w:after="40"/>
      </w:pPr>
      <w:r>
        <w:t>Sviluppare per vertical slice cross-portale, non per completamento di singoli portali.</w:t>
      </w:r>
    </w:p>
    <w:p>
      <w:pPr>
        <w:pStyle w:val="ListNumber"/>
        <w:spacing w:after="40"/>
      </w:pPr>
      <w:r>
        <w:t>Selezionare una micro-geografia e privilegiare densità a copertura.</w:t>
      </w:r>
    </w:p>
    <w:p>
      <w:pPr>
        <w:pStyle w:val="ListNumber"/>
        <w:spacing w:after="40"/>
      </w:pPr>
      <w:r>
        <w:t>Onboardare manualmente 5–10 partner e non affidarsi al self-service.</w:t>
      </w:r>
    </w:p>
    <w:p>
      <w:pPr>
        <w:pStyle w:val="ListNumber"/>
        <w:spacing w:after="40"/>
      </w:pPr>
      <w:r>
        <w:t>Non ricostruire le funzioni mature di SQUBY/Golee/BookyWay/Sportclubby.</w:t>
      </w:r>
    </w:p>
    <w:p>
      <w:pPr>
        <w:pStyle w:val="ListNumber"/>
        <w:spacing w:after="40"/>
      </w:pPr>
      <w:r>
        <w:t>Rendere Center, Offering, Availability e Request oggetti canonici condivisi.</w:t>
      </w:r>
    </w:p>
    <w:p>
      <w:pPr>
        <w:pStyle w:val="ListNumber"/>
        <w:spacing w:after="40"/>
      </w:pPr>
      <w:r>
        <w:t>Attivare CenterLead e floating feedback come learning loop, con Admin operativo.</w:t>
      </w:r>
    </w:p>
    <w:p>
      <w:pPr>
        <w:pStyle w:val="ListNumber"/>
        <w:spacing w:after="40"/>
      </w:pPr>
      <w:r>
        <w:t>Bloccare il go-live senza test E2E, audit e isolamento dati test.</w:t>
      </w:r>
    </w:p>
    <w:p>
      <w:pPr>
        <w:pStyle w:val="ListNumber"/>
        <w:spacing w:after="40"/>
      </w:pPr>
      <w:r>
        <w:t>Usare i risultati settembre–dicembre per decidere l’investimento sulla stagione 2027.</w:t>
      </w:r>
    </w:p>
    <w:p>
      <w:pPr>
        <w:pStyle w:val="ListNumber"/>
      </w:pPr>
      <w:r>
        <w:rPr>
          <w:rFonts w:ascii="Arial" w:hAnsi="Arial"/>
          <w:b w:val="0"/>
          <w:sz w:val="18"/>
        </w:rPr>
        <w:t>La feature “Suggerisci/Invita un centro” può essere attivata dopo la readiness Partner/Admin, ma non deve ritardare la journey primaria.</w:t>
      </w:r>
    </w:p>
    <w:p>
      <w:pPr>
        <w:pStyle w:val="ListNumber"/>
      </w:pPr>
      <w:r>
        <w:rPr>
          <w:rFonts w:ascii="Arial" w:hAnsi="Arial"/>
          <w:b w:val="0"/>
          <w:sz w:val="18"/>
        </w:rPr>
        <w:t>Trust Score avanzato, Partner Level visibili e referral economics automatici non sono gate di settembre; si raccolgono segnali e si usa shadow mode.</w:t>
      </w:r>
    </w:p>
    <w:p>
      <w:pPr>
        <w:pStyle w:val="ListNumber"/>
      </w:pPr>
      <w:r>
        <w:rPr>
          <w:rFonts w:ascii="Arial" w:hAnsi="Arial"/>
          <w:b w:val="0"/>
          <w:sz w:val="18"/>
        </w:rPr>
        <w:t>Il Trust Layer minimo è parte del critical path del beta: entry, review, checklist, walkthrough, notifiche e audit.</w:t>
      </w:r>
    </w:p>
    <w:p>
      <w:pPr>
        <w:pStyle w:val="Heading2"/>
      </w:pPr>
      <w:r>
        <w:t>18.3 Piano immediato di esecuzione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Entro</w:t>
            </w:r>
          </w:p>
        </w:tc>
        <w:tc>
          <w:tcPr>
            <w:tcW w:type="dxa" w:w="737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Output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20 luglio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Branch/release baseline, scope freeze draft, dataset pilot e shortlist partner.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31 luglio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Epic e acceptance criteria approvati; Sprint 0 chiuso; prime 5 strutture contattate.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14 agosto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Domain model e Admin foundation operativi.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28 agosto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Prima offerta pubblicata end-to-end da Partner ad Admin.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11 settembre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Prima richiesta Parent accettata dal Partner e visibile nel Planner.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25 settembre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Pilot dataset, E2E, privacy/roles, analytics e support model pronti.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28 settembre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Beta privata.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31 ottobre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Prima review go/pivot con dati e interviste.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15 dicembre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Decision gate per investimento summer 2027.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Appendice A – Fonti e livello di evidenza</w:t>
      </w:r>
    </w:p>
    <w:p>
      <w:r>
        <w:t>Fonti consultate al 16 luglio 2026. I dati di scala dichiarati dai competitor sono riportati come self-reported e non equivalgono a market share certificata.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68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ID</w:t>
            </w:r>
          </w:p>
        </w:tc>
        <w:tc>
          <w:tcPr>
            <w:tcW w:type="dxa" w:w="181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Fonte</w:t>
            </w:r>
          </w:p>
        </w:tc>
        <w:tc>
          <w:tcPr>
            <w:tcW w:type="dxa" w:w="2835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Documento</w:t>
            </w:r>
          </w:p>
        </w:tc>
        <w:tc>
          <w:tcPr>
            <w:tcW w:type="dxa" w:w="4309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Evidenza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Regione Lombardia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Calendario scolastico 2026/2027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Avvio 7 settembre infanzia e 14 settembre altri ordini.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Comune di Milano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Centri estivi primarie 2026 / comunicato iscrizioni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Finestra 19 marzo–7 aprile 2026.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Sky TG24 su Osservatorio Eures–Adoc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Centri estivi, spesa media 2026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179 €/settimana nazionale; 233 € Milano.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S4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Minori.gov.it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Dati Osservatorio #Conibambini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Fruizione e differenze territoriali.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Dipartimento Politiche Famiglia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Avviso attività socioeducative 2026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Collaborazioni pubblico/private e periodo attività.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S6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SQUBY / iGrest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Home, guida funzionalità e prezzi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Funzioni, scala dichiarata, pricing e posizionamento.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SQUBY / iGrest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SQUBY Pay – condizioni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Pagamento integrato e partner PSP.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S8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SQUBY / iGrest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Fundraising per crescere in Europa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Strategia dichiarata di espansione.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Tutto Campi Estivi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Marketplace campi estivi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Metriche self-reported su audience, organizzatori e proposte.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S10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Sportclubby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Sportclubby Business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Gestionale, app cliente, marketplace e booking.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S11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Keikibu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Piattaforma famiglie e area fornitori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Discovery ampia, community e supplier area.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S12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Golee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Camp Estivo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Iscrizioni, pagamenti, documenti, app e presenze.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S13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BookyWay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App universale di prenotazione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Scala self-reported e scelta di non essere aggregatore.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S14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BookyWay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API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Sincronizzazione sistemi e disponibilità di API.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S15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SYSAP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Gestione voucher centri estivi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Portali famiglia/centro/comune.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5"/>
              </w:rPr>
              <w:t>S16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KidPass / Centri Estivi Digitali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Ricerca e segnala centro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5"/>
              </w:rPr>
              <w:t>Discovery, curation e segnalazione centri.</w:t>
            </w:r>
          </w:p>
        </w:tc>
      </w:tr>
    </w:tbl>
    <w:p>
      <w:pPr>
        <w:spacing w:after="20"/>
      </w:pPr>
    </w:p>
    <w:p>
      <w:pPr>
        <w:pStyle w:val="Heading2"/>
      </w:pPr>
      <w:r>
        <w:t>Link alle fonti</w:t>
      </w:r>
    </w:p>
    <w:p>
      <w:pPr>
        <w:pStyle w:val="Small"/>
      </w:pPr>
      <w:r>
        <w:t xml:space="preserve">S1 – Regione Lombardia: Calendario scolastico 2026/2027 – </w:t>
      </w:r>
      <w:hyperlink r:id="rId11">
        <w:r>
          <w:rPr>
            <w:color w:val="2563EB"/>
            <w:u w:val="single"/>
          </w:rPr>
          <w:t>https://www.regione.lombardia.it/istruzione-formazione-e-lavoro/formazione-professionale/calendario-scolastico-2026-2027</w:t>
        </w:r>
      </w:hyperlink>
    </w:p>
    <w:p>
      <w:pPr>
        <w:pStyle w:val="Small"/>
      </w:pPr>
      <w:r>
        <w:t xml:space="preserve">S2 – Comune di Milano: Centri estivi primarie 2026 / comunicato iscrizioni – </w:t>
      </w:r>
      <w:hyperlink r:id="rId12">
        <w:r>
          <w:rPr>
            <w:color w:val="2563EB"/>
            <w:u w:val="single"/>
          </w:rPr>
          <w:t>https://www.comune.milano.it/servizi/scuola/scuole-primarie-centri-estivi</w:t>
        </w:r>
      </w:hyperlink>
    </w:p>
    <w:p>
      <w:pPr>
        <w:pStyle w:val="Small"/>
      </w:pPr>
      <w:r>
        <w:t xml:space="preserve">S3 – Sky TG24 su Osservatorio Eures–Adoc: Centri estivi, spesa media 2026 – </w:t>
      </w:r>
      <w:hyperlink r:id="rId13">
        <w:r>
          <w:rPr>
            <w:color w:val="2563EB"/>
            <w:u w:val="single"/>
          </w:rPr>
          <w:t>https://tg24.sky.it/economia/2026/06/12/centri-estivi-spesa-media-famiglie-citta-piu-care</w:t>
        </w:r>
      </w:hyperlink>
    </w:p>
    <w:p>
      <w:pPr>
        <w:pStyle w:val="Small"/>
      </w:pPr>
      <w:r>
        <w:t xml:space="preserve">S4 – Minori.gov.it: Dati Osservatorio #Conibambini – </w:t>
      </w:r>
      <w:hyperlink r:id="rId14">
        <w:r>
          <w:rPr>
            <w:color w:val="2563EB"/>
            <w:u w:val="single"/>
          </w:rPr>
          <w:t>https://www.minori.gov.it/it/notizia/centri-estivi-dati-dellosservatorio-conibambini</w:t>
        </w:r>
      </w:hyperlink>
    </w:p>
    <w:p>
      <w:pPr>
        <w:pStyle w:val="Small"/>
      </w:pPr>
      <w:r>
        <w:t xml:space="preserve">S5 – Dipartimento Politiche Famiglia: Avviso attività socioeducative 2026 – </w:t>
      </w:r>
      <w:hyperlink r:id="rId15">
        <w:r>
          <w:rPr>
            <w:color w:val="2563EB"/>
            <w:u w:val="single"/>
          </w:rPr>
          <w:t>https://famiglia.governo.it/it/politiche-e-attivita/comunicazione/notizie/avviso-finanziamento-ai-comuni-per-attivita-socio-educative-a-favore-dei-minori-annualita-2026/</w:t>
        </w:r>
      </w:hyperlink>
    </w:p>
    <w:p>
      <w:pPr>
        <w:pStyle w:val="Small"/>
      </w:pPr>
      <w:r>
        <w:t xml:space="preserve">S6 – SQUBY / iGrest: Home, guida funzionalità e prezzi – </w:t>
      </w:r>
      <w:hyperlink r:id="rId16">
        <w:r>
          <w:rPr>
            <w:color w:val="2563EB"/>
            <w:u w:val="single"/>
          </w:rPr>
          <w:t>https://www.squby.it/</w:t>
        </w:r>
      </w:hyperlink>
    </w:p>
    <w:p>
      <w:pPr>
        <w:pStyle w:val="Small"/>
      </w:pPr>
      <w:r>
        <w:t xml:space="preserve">S7 – SQUBY / iGrest: SQUBY Pay – condizioni – </w:t>
      </w:r>
      <w:hyperlink r:id="rId17">
        <w:r>
          <w:rPr>
            <w:color w:val="2563EB"/>
            <w:u w:val="single"/>
          </w:rPr>
          <w:t>https://www.squby.it/squby-pay-condizioni/</w:t>
        </w:r>
      </w:hyperlink>
    </w:p>
    <w:p>
      <w:pPr>
        <w:pStyle w:val="Small"/>
      </w:pPr>
      <w:r>
        <w:t xml:space="preserve">S8 – SQUBY / iGrest: Fundraising per crescere in Europa – </w:t>
      </w:r>
      <w:hyperlink r:id="rId18">
        <w:r>
          <w:rPr>
            <w:color w:val="2563EB"/>
            <w:u w:val="single"/>
          </w:rPr>
          <w:t>https://www.squby.it/squby-fundraising-per-crescere-in-europa-italiaoggi/</w:t>
        </w:r>
      </w:hyperlink>
    </w:p>
    <w:p>
      <w:pPr>
        <w:pStyle w:val="Small"/>
      </w:pPr>
      <w:r>
        <w:t xml:space="preserve">S9 – Tutto Campi Estivi: Marketplace campi estivi – </w:t>
      </w:r>
      <w:hyperlink r:id="rId19">
        <w:r>
          <w:rPr>
            <w:color w:val="2563EB"/>
            <w:u w:val="single"/>
          </w:rPr>
          <w:t>https://www.tuttocampiestivi.com/it/campi-estivi-on-line</w:t>
        </w:r>
      </w:hyperlink>
    </w:p>
    <w:p>
      <w:pPr>
        <w:pStyle w:val="Small"/>
      </w:pPr>
      <w:r>
        <w:t xml:space="preserve">S10 – Sportclubby: Sportclubby Business – </w:t>
      </w:r>
      <w:hyperlink r:id="rId20">
        <w:r>
          <w:rPr>
            <w:color w:val="2563EB"/>
            <w:u w:val="single"/>
          </w:rPr>
          <w:t>https://www.sportclubby.com/it/sportclubby-business</w:t>
        </w:r>
      </w:hyperlink>
    </w:p>
    <w:p>
      <w:pPr>
        <w:pStyle w:val="Small"/>
      </w:pPr>
      <w:r>
        <w:t xml:space="preserve">S11 – Keikibu: Piattaforma famiglie e area fornitori – </w:t>
      </w:r>
      <w:hyperlink r:id="rId21">
        <w:r>
          <w:rPr>
            <w:color w:val="2563EB"/>
            <w:u w:val="single"/>
          </w:rPr>
          <w:t>https://keikibu.com/</w:t>
        </w:r>
      </w:hyperlink>
    </w:p>
    <w:p>
      <w:pPr>
        <w:pStyle w:val="Small"/>
      </w:pPr>
      <w:r>
        <w:t xml:space="preserve">S12 – Golee: Camp Estivo – </w:t>
      </w:r>
      <w:hyperlink r:id="rId22">
        <w:r>
          <w:rPr>
            <w:color w:val="2563EB"/>
            <w:u w:val="single"/>
          </w:rPr>
          <w:t>https://golee.it/camp-estivo/</w:t>
        </w:r>
      </w:hyperlink>
    </w:p>
    <w:p>
      <w:pPr>
        <w:pStyle w:val="Small"/>
      </w:pPr>
      <w:r>
        <w:t xml:space="preserve">S13 – BookyWay: App universale di prenotazione – </w:t>
      </w:r>
      <w:hyperlink r:id="rId23">
        <w:r>
          <w:rPr>
            <w:color w:val="2563EB"/>
            <w:u w:val="single"/>
          </w:rPr>
          <w:t>https://bookyway.com/it/</w:t>
        </w:r>
      </w:hyperlink>
    </w:p>
    <w:p>
      <w:pPr>
        <w:pStyle w:val="Small"/>
      </w:pPr>
      <w:r>
        <w:t xml:space="preserve">S14 – BookyWay: API – </w:t>
      </w:r>
      <w:hyperlink r:id="rId24">
        <w:r>
          <w:rPr>
            <w:color w:val="2563EB"/>
            <w:u w:val="single"/>
          </w:rPr>
          <w:t>https://bookyway.com/it/bookyway-api/</w:t>
        </w:r>
      </w:hyperlink>
    </w:p>
    <w:p>
      <w:pPr>
        <w:pStyle w:val="Small"/>
      </w:pPr>
      <w:r>
        <w:t xml:space="preserve">S15 – SYSAP: Gestione voucher centri estivi – </w:t>
      </w:r>
      <w:hyperlink r:id="rId25">
        <w:r>
          <w:rPr>
            <w:color w:val="2563EB"/>
            <w:u w:val="single"/>
          </w:rPr>
          <w:t>https://www.sysap.com/centri-estivi/</w:t>
        </w:r>
      </w:hyperlink>
    </w:p>
    <w:p>
      <w:pPr>
        <w:pStyle w:val="Small"/>
      </w:pPr>
      <w:r>
        <w:t xml:space="preserve">S16 – KidPass / Centri Estivi Digitali: Ricerca e segnala centro – </w:t>
      </w:r>
      <w:hyperlink r:id="rId26">
        <w:r>
          <w:rPr>
            <w:color w:val="2563EB"/>
            <w:u w:val="single"/>
          </w:rPr>
          <w:t>https://www.centriestividigitali.it/</w:t>
        </w:r>
      </w:hyperlink>
    </w:p>
    <w:p>
      <w:pPr>
        <w:pStyle w:val="Heading1"/>
        <w:pageBreakBefore/>
      </w:pPr>
      <w:r>
        <w:t>Appendice B – Base interna TRAMA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340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Artefatto</w:t>
            </w:r>
          </w:p>
        </w:tc>
        <w:tc>
          <w:tcPr>
            <w:tcW w:type="dxa" w:w="6236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Uso nel presente documento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TRAMA Product Architecture &amp; CX Handbook – Parent Draft 1.1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CR Parent, roadmap S6–S12, CenterLead e floating feedback.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TRAMA Partner Product Architecture &amp; CX Handbook – Draft 1.0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22 pagine, journey supply, PCR e roadmap Partner.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TRAMA Admin Product Architecture &amp; CX Handbook – Draft 1.0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18 pagine, governance, ACR e roadmap Admin.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Sitemap applicativa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Baseline ecosistema: Parent 27 pagine, Partner 22, Admin 18; zero errori nella mappa fornita.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Repository e test Playwright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Da usare per impact assessment e stime tecniche definitive; non analizzati in questo documento.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Appendice C – Go-live checklist beta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1701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Area</w:t>
            </w:r>
          </w:p>
        </w:tc>
        <w:tc>
          <w:tcPr>
            <w:tcW w:type="dxa" w:w="7087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Controllo</w:t>
            </w:r>
          </w:p>
        </w:tc>
        <w:tc>
          <w:tcPr>
            <w:tcW w:type="dxa" w:w="85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Header"/>
            </w:pPr>
            <w:r/>
            <w:r>
              <w:t>Stato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Product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Scope e journey primaria congelati.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Product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Copy e CTA coerenti sui tre portali.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Supply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5–10 partner attivi e 20–40 offerte complete.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Admin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Code approval, quality, request e feedback operative.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Data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Event taxonomy e correlationId verificati.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Quality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Build, lint e Playwright verdi.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Security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RBAC, audit e data minimization verificati.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Privacy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Informative/consensi beta e canali supporto definiti.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Operations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Owner, SLA, escalation e rollback documentati.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Support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FAQ e messaggio onboarding per famiglie e centri.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Analytics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Dashboard beta e baseline pre-lancio.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Release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Feature flag, backup e release notes pronti.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Learning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Interviste e survey calendarizzate.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b/>
                <w:color w:val="172033"/>
                <w:sz w:val="17"/>
              </w:rPr>
              <w:t>Decision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Gate 31 ottobre e 15 dicembre fissati.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  <w:tcBorders>
              <w:bottom w:val="single" w:sz="4" w:color="CBD5E1"/>
            </w:tcBorders>
          </w:tcPr>
          <w:p>
            <w:pPr>
              <w:pStyle w:val="TableText"/>
            </w:pPr>
            <w:r/>
            <w:r>
              <w:rPr>
                <w:sz w:val="17"/>
              </w:rPr>
              <w:t>☐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rPr>
          <w:b/>
          <w:color w:val="64748B"/>
        </w:rPr>
        <w:t>FINE DOCUMENTO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92" w:bottom="964" w:left="99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rPr>
        <w:rFonts w:ascii="Arial" w:hAnsi="Arial"/>
        <w:b w:val="0"/>
        <w:color w:val="64748B"/>
        <w:sz w:val="14"/>
      </w:rPr>
      <w:t>TRAMA MVP Settembre 2026 &amp; Competitive Intelligence Italia |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TRAMA | MVP settembre 2026 &amp; Competitive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20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 w:eastAsia="Aptos"/>
      <w:b w:val="0"/>
      <w:i/>
      <w:iCs/>
      <w:color w:val="64748B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color w:val="64748B"/>
      <w:sz w:val="17"/>
    </w:rPr>
  </w:style>
  <w:style w:type="paragraph" w:customStyle="1" w:styleId="Callout">
    <w:name w:val="Callout"/>
    <w:pPr>
      <w:spacing w:after="80"/>
    </w:pPr>
    <w:rPr>
      <w:rFonts w:ascii="Aptos" w:hAnsi="Aptos"/>
      <w:b/>
      <w:color w:val="172033"/>
      <w:sz w:val="21"/>
    </w:rPr>
  </w:style>
  <w:style w:type="paragraph" w:customStyle="1" w:styleId="TableText">
    <w:name w:val="Table Text"/>
    <w:pPr>
      <w:spacing w:after="0"/>
    </w:pPr>
    <w:rPr>
      <w:rFonts w:ascii="Aptos" w:hAnsi="Aptos"/>
      <w:sz w:val="17"/>
    </w:rPr>
  </w:style>
  <w:style w:type="paragraph" w:customStyle="1" w:styleId="TableHeader">
    <w:name w:val="Table Header"/>
    <w:pPr>
      <w:spacing w:after="0"/>
    </w:pPr>
    <w:rPr>
      <w:rFonts w:ascii="Aptos" w:hAnsi="Aptos"/>
      <w:b/>
      <w:color w:val="FFFFF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gione.lombardia.it/istruzione-formazione-e-lavoro/formazione-professionale/calendario-scolastico-2026-2027" TargetMode="External"/><Relationship Id="rId12" Type="http://schemas.openxmlformats.org/officeDocument/2006/relationships/hyperlink" Target="https://www.comune.milano.it/servizi/scuola/scuole-primarie-centri-estivi" TargetMode="External"/><Relationship Id="rId13" Type="http://schemas.openxmlformats.org/officeDocument/2006/relationships/hyperlink" Target="https://tg24.sky.it/economia/2026/06/12/centri-estivi-spesa-media-famiglie-citta-piu-care" TargetMode="External"/><Relationship Id="rId14" Type="http://schemas.openxmlformats.org/officeDocument/2006/relationships/hyperlink" Target="https://www.minori.gov.it/it/notizia/centri-estivi-dati-dellosservatorio-conibambini" TargetMode="External"/><Relationship Id="rId15" Type="http://schemas.openxmlformats.org/officeDocument/2006/relationships/hyperlink" Target="https://famiglia.governo.it/it/politiche-e-attivita/comunicazione/notizie/avviso-finanziamento-ai-comuni-per-attivita-socio-educative-a-favore-dei-minori-annualita-2026/" TargetMode="External"/><Relationship Id="rId16" Type="http://schemas.openxmlformats.org/officeDocument/2006/relationships/hyperlink" Target="https://www.squby.it/" TargetMode="External"/><Relationship Id="rId17" Type="http://schemas.openxmlformats.org/officeDocument/2006/relationships/hyperlink" Target="https://www.squby.it/squby-pay-condizioni/" TargetMode="External"/><Relationship Id="rId18" Type="http://schemas.openxmlformats.org/officeDocument/2006/relationships/hyperlink" Target="https://www.squby.it/squby-fundraising-per-crescere-in-europa-italiaoggi/" TargetMode="External"/><Relationship Id="rId19" Type="http://schemas.openxmlformats.org/officeDocument/2006/relationships/hyperlink" Target="https://www.tuttocampiestivi.com/it/campi-estivi-on-line" TargetMode="External"/><Relationship Id="rId20" Type="http://schemas.openxmlformats.org/officeDocument/2006/relationships/hyperlink" Target="https://www.sportclubby.com/it/sportclubby-business" TargetMode="External"/><Relationship Id="rId21" Type="http://schemas.openxmlformats.org/officeDocument/2006/relationships/hyperlink" Target="https://keikibu.com/" TargetMode="External"/><Relationship Id="rId22" Type="http://schemas.openxmlformats.org/officeDocument/2006/relationships/hyperlink" Target="https://golee.it/camp-estivo/" TargetMode="External"/><Relationship Id="rId23" Type="http://schemas.openxmlformats.org/officeDocument/2006/relationships/hyperlink" Target="https://bookyway.com/it/" TargetMode="External"/><Relationship Id="rId24" Type="http://schemas.openxmlformats.org/officeDocument/2006/relationships/hyperlink" Target="https://bookyway.com/it/bookyway-api/" TargetMode="External"/><Relationship Id="rId25" Type="http://schemas.openxmlformats.org/officeDocument/2006/relationships/hyperlink" Target="https://www.sysap.com/centri-estivi/" TargetMode="External"/><Relationship Id="rId26" Type="http://schemas.openxmlformats.org/officeDocument/2006/relationships/hyperlink" Target="https://www.centriestividigitali.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TRAMA MVP Settembre 2026 e Competitive Intelligence Italia</dc:title>
  <dc:subject>Piano integrato Parent Partner Admin e analisi competitiva</dc:subject>
  <dc:creator>Fabrizio Pirulli</dc:creator>
  <cp:keywords>TRAMA, MVP, Parent, Partner, Admin, competitive intelligence, SQUBY, centri estivi</cp:keywords>
  <dc:description>Documento strategico generato sulla base degli handbook e di fonti pubbliche aggiornate al 16 luglio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