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49" w:name="_Toc140378171"/>
      <w:bookmarkStart w:id="50" w:name="_Toc177443809"/>
      <w:bookmarkStart w:id="51"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2" w:name="_Toc482605981"/>
      <w:bookmarkStart w:id="53" w:name="_Toc19581827"/>
      <w:bookmarkStart w:id="54" w:name="_Toc19584274"/>
      <w:bookmarkStart w:id="55"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w:t>
      </w:r>
      <w:proofErr w:type="spellStart"/>
      <w:r w:rsidRPr="00A163AA">
        <w:t>View</w:t>
      </w:r>
      <w:proofErr w:type="spellEnd"/>
      <w:r w:rsidRPr="00A163AA">
        <w:t>-</w:t>
      </w:r>
      <w:proofErr w:type="spellStart"/>
      <w:r w:rsidRPr="00A163AA">
        <w:t>Controller</w:t>
      </w:r>
      <w:proofErr w:type="spellEnd"/>
      <w:r w:rsidRPr="00A163AA">
        <w:t>)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 xml:space="preserve">Esta camada é composta pelos controladores REST do Spring (@RestController) e pela interface do usuário baseada em HTML, CSS e </w:t>
      </w:r>
      <w:proofErr w:type="spellStart"/>
      <w:r w:rsidRPr="00A163AA">
        <w:t>JavaScript</w:t>
      </w:r>
      <w:proofErr w:type="spellEnd"/>
      <w:r w:rsidRPr="00A163AA">
        <w:t xml:space="preserve">. A comunicação com o </w:t>
      </w:r>
      <w:proofErr w:type="spellStart"/>
      <w:r w:rsidRPr="00A163AA">
        <w:t>backend</w:t>
      </w:r>
      <w:proofErr w:type="spellEnd"/>
      <w:r w:rsidRPr="00A163AA">
        <w:t xml:space="preserve"> é feita por meio de chamadas assíncronas via </w:t>
      </w:r>
      <w:proofErr w:type="spellStart"/>
      <w:r w:rsidRPr="00A163AA">
        <w:t>fetch</w:t>
      </w:r>
      <w:proofErr w:type="spellEnd"/>
      <w:r w:rsidRPr="00A163AA">
        <w:t xml:space="preserve">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w:t>
      </w:r>
      <w:proofErr w:type="spellStart"/>
      <w:r w:rsidRPr="00A163AA">
        <w:t>Hibernate</w:t>
      </w:r>
      <w:proofErr w:type="spellEnd"/>
      <w:r w:rsidRPr="00A163AA">
        <w:t>).</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lastRenderedPageBreak/>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 xml:space="preserve">Porção cliente: composta por HTML, CSS e </w:t>
      </w:r>
      <w:proofErr w:type="spellStart"/>
      <w:r w:rsidRPr="00A163AA">
        <w:t>JavaScript</w:t>
      </w:r>
      <w:proofErr w:type="spellEnd"/>
      <w:r w:rsidRPr="00A163AA">
        <w:t xml:space="preserve"> executados no navegador do usuário. Essa parte é responsável por renderizar as interfaces, realizar validações básicas (como campos obrigatórios) e interagir com o servidor por meio de requisições assíncronas utilizando a API </w:t>
      </w:r>
      <w:proofErr w:type="spellStart"/>
      <w:r w:rsidRPr="00A163AA">
        <w:t>fetch</w:t>
      </w:r>
      <w:proofErr w:type="spellEnd"/>
      <w:r w:rsidRPr="00A163AA">
        <w:t>,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 xml:space="preserve">Porção servidora: implementada com @RestController do Spring Boot, essa parte expõe </w:t>
      </w:r>
      <w:proofErr w:type="spellStart"/>
      <w:r w:rsidRPr="00A163AA">
        <w:t>endpoints</w:t>
      </w:r>
      <w:proofErr w:type="spellEnd"/>
      <w:r w:rsidRPr="00A163AA">
        <w:t xml:space="preserve">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 xml:space="preserve">Por fim, a camada de persistência é responsável pelo acesso ao banco de dados relacional MySQL, utilizando o framework Spring Data JPA com suporte ao </w:t>
      </w:r>
      <w:proofErr w:type="spellStart"/>
      <w:r w:rsidRPr="00A163AA">
        <w:t>Hibernate</w:t>
      </w:r>
      <w:proofErr w:type="spellEnd"/>
      <w:r w:rsidRPr="00A163AA">
        <w:t xml:space="preserve"> para realizar o mapeamento objeto-relacional (ORM). A comunicação entre as camadas segue o fluxo: </w:t>
      </w:r>
      <w:proofErr w:type="spellStart"/>
      <w:r w:rsidRPr="00A163AA">
        <w:t>Controller</w:t>
      </w:r>
      <w:proofErr w:type="spellEnd"/>
      <w:r w:rsidRPr="00A163AA">
        <w:t xml:space="preserve"> → Service → </w:t>
      </w:r>
      <w:proofErr w:type="spellStart"/>
      <w:r w:rsidRPr="00A163AA">
        <w:t>Repository</w:t>
      </w:r>
      <w:proofErr w:type="spellEnd"/>
      <w:r w:rsidRPr="00A163AA">
        <w:t xml:space="preserve">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6" w:name="_Toc144115979"/>
      <w:bookmarkStart w:id="57" w:name="_Toc177443811"/>
      <w:bookmarkStart w:id="58"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w:t>
      </w:r>
      <w:proofErr w:type="spellStart"/>
      <w:r w:rsidRPr="0039069A">
        <w:t>end</w:t>
      </w:r>
      <w:proofErr w:type="spellEnd"/>
      <w:r w:rsidRPr="0039069A">
        <w:t xml:space="preserve"> (Cliente): Contém os arquivos responsáveis pela interface visual acessada no navegador do usuário, como HTML, CSS, imagens e scripts </w:t>
      </w:r>
      <w:proofErr w:type="spellStart"/>
      <w:r w:rsidRPr="0039069A">
        <w:t>JavaScript</w:t>
      </w:r>
      <w:proofErr w:type="spellEnd"/>
      <w:r w:rsidRPr="0039069A">
        <w:t xml:space="preserve">. As requisições assíncronas feitas via </w:t>
      </w:r>
      <w:proofErr w:type="spellStart"/>
      <w:r w:rsidRPr="0039069A">
        <w:t>fetch</w:t>
      </w:r>
      <w:proofErr w:type="spellEnd"/>
      <w:r w:rsidRPr="0039069A">
        <w:t xml:space="preserve">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w:t>
      </w:r>
      <w:proofErr w:type="spellStart"/>
      <w:r w:rsidRPr="0039069A">
        <w:t>end</w:t>
      </w:r>
      <w:proofErr w:type="spellEnd"/>
      <w:r w:rsidRPr="0039069A">
        <w:t xml:space="preserve"> (Servidor): Implementado com o framework Spring Boot, a lógica de controle da apresentação é representada por classes anotadas com @RestController. Esses controladores expõem </w:t>
      </w:r>
      <w:proofErr w:type="spellStart"/>
      <w:r w:rsidRPr="0039069A">
        <w:t>endpoints</w:t>
      </w:r>
      <w:proofErr w:type="spellEnd"/>
      <w:r w:rsidRPr="0039069A">
        <w:t xml:space="preserve"> REST que recebem as requisições do front-</w:t>
      </w:r>
      <w:proofErr w:type="spellStart"/>
      <w:r w:rsidRPr="0039069A">
        <w:t>end</w:t>
      </w:r>
      <w:proofErr w:type="spellEnd"/>
      <w:r w:rsidRPr="0039069A">
        <w:t>,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w:t>
      </w:r>
      <w:proofErr w:type="spellStart"/>
      <w:r w:rsidRPr="0039069A">
        <w:t>controller</w:t>
      </w:r>
      <w:proofErr w:type="spellEnd"/>
      <w:r w:rsidRPr="0039069A">
        <w:t>) responsáveis pela lógica da interface, quanto os arquivos de interface em si (</w:t>
      </w:r>
      <w:proofErr w:type="spellStart"/>
      <w:r w:rsidRPr="0039069A">
        <w:t>form</w:t>
      </w:r>
      <w:proofErr w:type="spellEnd"/>
      <w:r w:rsidRPr="0039069A">
        <w:t>),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4.3 – Camada de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proofErr w:type="spellStart"/>
      <w:r w:rsidRPr="00C40F9E">
        <w:t>service</w:t>
      </w:r>
      <w:proofErr w:type="spellEnd"/>
      <w:r w:rsidRPr="00C40F9E">
        <w:t>: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 xml:space="preserve">model (ou </w:t>
      </w:r>
      <w:proofErr w:type="spellStart"/>
      <w:r w:rsidRPr="00C40F9E">
        <w:t>domain</w:t>
      </w:r>
      <w:proofErr w:type="spellEnd"/>
      <w:r w:rsidRPr="00C40F9E">
        <w:t xml:space="preserve">): Reúne as classes que representam as entidades do sistema, como Livro, </w:t>
      </w:r>
      <w:proofErr w:type="spellStart"/>
      <w:r w:rsidRPr="00C40F9E">
        <w:t>Usuario</w:t>
      </w:r>
      <w:proofErr w:type="spellEnd"/>
      <w:r w:rsidRPr="00C40F9E">
        <w:t>, Pedido, entre outras. Essas classes são anotadas com @Entity e mapeadas com a JPA (</w:t>
      </w:r>
      <w:proofErr w:type="spellStart"/>
      <w:r w:rsidRPr="00C40F9E">
        <w:t>Hibernate</w:t>
      </w:r>
      <w:proofErr w:type="spellEnd"/>
      <w:r w:rsidRPr="00C40F9E">
        <w:t>).</w:t>
      </w:r>
    </w:p>
    <w:p w14:paraId="1DD48445" w14:textId="77777777" w:rsidR="00C40F9E" w:rsidRPr="00C40F9E" w:rsidRDefault="00C40F9E" w:rsidP="00C40F9E">
      <w:pPr>
        <w:numPr>
          <w:ilvl w:val="0"/>
          <w:numId w:val="47"/>
        </w:numPr>
        <w:tabs>
          <w:tab w:val="clear" w:pos="720"/>
          <w:tab w:val="num" w:pos="1080"/>
        </w:tabs>
        <w:ind w:left="1080"/>
        <w:jc w:val="both"/>
      </w:pPr>
      <w:proofErr w:type="spellStart"/>
      <w:r w:rsidRPr="00C40F9E">
        <w:t>filter</w:t>
      </w:r>
      <w:proofErr w:type="spellEnd"/>
      <w:r w:rsidRPr="00C40F9E">
        <w:t xml:space="preserve"> (ou </w:t>
      </w:r>
      <w:proofErr w:type="spellStart"/>
      <w:r w:rsidRPr="00C40F9E">
        <w:t>specification</w:t>
      </w:r>
      <w:proofErr w:type="spellEnd"/>
      <w:r w:rsidRPr="00C40F9E">
        <w:t>):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 xml:space="preserve">Pacote </w:t>
      </w:r>
      <w:proofErr w:type="spellStart"/>
      <w:r w:rsidRPr="00B30815">
        <w:t>Controller</w:t>
      </w:r>
      <w:proofErr w:type="spellEnd"/>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Pr="00DE105F" w:rsidRDefault="00B62BA0" w:rsidP="00B62BA0">
      <w:pPr>
        <w:jc w:val="center"/>
      </w:pPr>
      <w:r>
        <w:rPr>
          <w:noProof/>
        </w:rPr>
        <w:drawing>
          <wp:inline distT="0" distB="0" distL="0" distR="0" wp14:anchorId="143DB585" wp14:editId="130B260E">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4.5 – Classes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59" w:name="_Toc177443814"/>
      <w:bookmarkStart w:id="60"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Pr="00DE105F" w:rsidRDefault="00072852" w:rsidP="00072852">
      <w:pPr>
        <w:jc w:val="center"/>
      </w:pPr>
      <w:r>
        <w:rPr>
          <w:noProof/>
        </w:rPr>
        <w:drawing>
          <wp:inline distT="0" distB="0" distL="0" distR="0" wp14:anchorId="70EC252A" wp14:editId="47EABAC0">
            <wp:extent cx="5219700" cy="5546365"/>
            <wp:effectExtent l="19050" t="19050" r="19050" b="165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28569" cy="5555789"/>
                    </a:xfrm>
                    <a:prstGeom prst="rect">
                      <a:avLst/>
                    </a:prstGeom>
                    <a:noFill/>
                    <a:ln w="9525">
                      <a:solidFill>
                        <a:schemeClr val="tx1"/>
                      </a:solidFill>
                      <a:miter lim="800000"/>
                      <a:headEnd/>
                      <a:tailEnd/>
                    </a:ln>
                  </pic:spPr>
                </pic:pic>
              </a:graphicData>
            </a:graphic>
          </wp:inline>
        </w:drawing>
      </w: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4.6 – Classes do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repository</w:t>
      </w:r>
      <w:proofErr w:type="spellEnd"/>
      <w:r w:rsidRPr="00D4033E">
        <w:t xml:space="preserve">: Contém interfaces estendendo </w:t>
      </w:r>
      <w:proofErr w:type="spellStart"/>
      <w:r w:rsidRPr="00D4033E">
        <w:t>JpaRepository</w:t>
      </w:r>
      <w:proofErr w:type="spellEnd"/>
      <w:r w:rsidRPr="00D4033E">
        <w:t xml:space="preserve"> ou </w:t>
      </w:r>
      <w:proofErr w:type="spellStart"/>
      <w:r w:rsidRPr="00D4033E">
        <w:t>CrudRepository</w:t>
      </w:r>
      <w:proofErr w:type="spellEnd"/>
      <w:r w:rsidRPr="00D4033E">
        <w:t xml:space="preserve">, responsáveis pelas operações de persistência, consulta e exclusão de entidades como Livro, </w:t>
      </w:r>
      <w:proofErr w:type="spellStart"/>
      <w:r w:rsidRPr="00D4033E">
        <w:t>Usuario</w:t>
      </w:r>
      <w:proofErr w:type="spellEnd"/>
      <w:r w:rsidRPr="00D4033E">
        <w:t xml:space="preserve">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hibernate</w:t>
      </w:r>
      <w:proofErr w:type="spellEnd"/>
      <w:r w:rsidRPr="00D4033E">
        <w:t xml:space="preserve"> (implícito): A persistência é feita com o uso do </w:t>
      </w:r>
      <w:proofErr w:type="spellStart"/>
      <w:r w:rsidRPr="00D4033E">
        <w:t>Hibernate</w:t>
      </w:r>
      <w:proofErr w:type="spellEnd"/>
      <w:r w:rsidRPr="00D4033E">
        <w:t xml:space="preserv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4.7 – Camada de Persistência</w:t>
      </w:r>
    </w:p>
    <w:p w14:paraId="15604932" w14:textId="77777777" w:rsidR="00072852" w:rsidRDefault="00072852" w:rsidP="00072852">
      <w:pPr>
        <w:pStyle w:val="PSDS-MarcadoresNivel2"/>
        <w:numPr>
          <w:ilvl w:val="0"/>
          <w:numId w:val="0"/>
        </w:numPr>
        <w:ind w:left="792"/>
      </w:pPr>
    </w:p>
    <w:p w14:paraId="482319EA" w14:textId="7A0E1AC4" w:rsidR="00072852" w:rsidRPr="00072852" w:rsidRDefault="00072852" w:rsidP="00B62BA0">
      <w:pPr>
        <w:pStyle w:val="PSDS-MarcadoresNivel2"/>
        <w:numPr>
          <w:ilvl w:val="2"/>
          <w:numId w:val="4"/>
        </w:numPr>
        <w:rPr>
          <w:szCs w:val="24"/>
        </w:rPr>
      </w:pPr>
      <w:r>
        <w:rPr>
          <w:szCs w:val="24"/>
        </w:rPr>
        <w:t>Realização de Casos de Uso Significativos</w:t>
      </w:r>
    </w:p>
    <w:p w14:paraId="4D6BD108" w14:textId="72926181" w:rsidR="00B62BA0" w:rsidRPr="00072852" w:rsidRDefault="00B62BA0" w:rsidP="00B62BA0">
      <w:pPr>
        <w:rPr>
          <w:szCs w:val="24"/>
        </w:rPr>
      </w:pPr>
      <w:r>
        <w:tab/>
      </w:r>
    </w:p>
    <w:p w14:paraId="3C3EFA32" w14:textId="77777777" w:rsidR="00B62BA0" w:rsidRPr="00DE105F" w:rsidRDefault="00B62BA0" w:rsidP="00B62BA0">
      <w:r>
        <w:rPr>
          <w:noProof/>
        </w:rPr>
        <w:lastRenderedPageBreak/>
        <w:drawing>
          <wp:inline distT="0" distB="0" distL="0" distR="0" wp14:anchorId="140F5083" wp14:editId="2A907B79">
            <wp:extent cx="6838950" cy="2638425"/>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6838950" cy="2638425"/>
                    </a:xfrm>
                    <a:prstGeom prst="rect">
                      <a:avLst/>
                    </a:prstGeom>
                    <a:noFill/>
                    <a:ln w="9525">
                      <a:noFill/>
                      <a:miter lim="800000"/>
                      <a:headEnd/>
                      <a:tailEnd/>
                    </a:ln>
                  </pic:spPr>
                </pic:pic>
              </a:graphicData>
            </a:graphic>
          </wp:inline>
        </w:drawing>
      </w:r>
    </w:p>
    <w:p w14:paraId="57112548" w14:textId="77777777" w:rsidR="00B62BA0" w:rsidRDefault="00B62BA0" w:rsidP="00B62BA0"/>
    <w:p w14:paraId="47D0222F" w14:textId="77777777" w:rsidR="00B62BA0" w:rsidRDefault="00B62BA0" w:rsidP="00B62BA0"/>
    <w:p w14:paraId="16BC358D" w14:textId="77777777" w:rsidR="00B62BA0" w:rsidRDefault="00B62BA0" w:rsidP="00B62BA0"/>
    <w:p w14:paraId="4D5F18D8" w14:textId="77777777" w:rsidR="00B62BA0" w:rsidRDefault="00B62BA0" w:rsidP="00B62BA0"/>
    <w:p w14:paraId="54490044" w14:textId="77777777" w:rsidR="00B62BA0" w:rsidRDefault="00B62BA0" w:rsidP="00B62BA0"/>
    <w:p w14:paraId="0F9C1CD4" w14:textId="77777777" w:rsidR="00B62BA0" w:rsidRDefault="00B62BA0" w:rsidP="00B62BA0">
      <w:bookmarkStart w:id="61" w:name="_Toc482583597"/>
      <w:bookmarkStart w:id="62" w:name="_Toc517092968"/>
    </w:p>
    <w:p w14:paraId="730AA89C" w14:textId="77777777" w:rsidR="00B62BA0" w:rsidRDefault="00B62BA0" w:rsidP="00B62BA0">
      <w:pPr>
        <w:pStyle w:val="PSDS-Marcadores"/>
      </w:pPr>
      <w:bookmarkStart w:id="63" w:name="_Toc177443817"/>
      <w:bookmarkStart w:id="64" w:name="_Toc482605984"/>
      <w:bookmarkStart w:id="65" w:name="_Toc19581830"/>
      <w:bookmarkStart w:id="66" w:name="_Toc19584277"/>
      <w:r>
        <w:t>Visão de Implantação</w:t>
      </w:r>
      <w:bookmarkEnd w:id="63"/>
    </w:p>
    <w:p w14:paraId="7AF36054" w14:textId="77777777" w:rsidR="00B62BA0" w:rsidRDefault="00B62BA0" w:rsidP="00B62BA0"/>
    <w:p w14:paraId="65C379DD" w14:textId="77777777" w:rsidR="00B62BA0" w:rsidRDefault="00B62BA0" w:rsidP="00B62BA0">
      <w:pPr>
        <w:ind w:firstLine="360"/>
        <w:jc w:val="both"/>
      </w:pPr>
      <w:r>
        <w:t xml:space="preserve">Esta seção descreve as configurações da rede física (hardware) na qual o XXX será implantado e executado. </w:t>
      </w:r>
    </w:p>
    <w:p w14:paraId="1726FD29" w14:textId="77777777" w:rsidR="00B62BA0" w:rsidRDefault="00B62BA0" w:rsidP="00B62BA0">
      <w:pPr>
        <w:ind w:firstLine="360"/>
        <w:jc w:val="both"/>
      </w:pPr>
      <w:r>
        <w:t xml:space="preserve">Trata-se de uma visão do Modelo de Implantação que, para a configuração em questão, indica os nós físicos (computadores, CPUs), que executarão o subsistema XXXX, e as respectivas interconexões (barramento, LAN, </w:t>
      </w:r>
      <w:proofErr w:type="spellStart"/>
      <w:r>
        <w:t>etc</w:t>
      </w:r>
      <w:proofErr w:type="spellEnd"/>
      <w:r>
        <w:t>).  A figura 6 ilustra o modelo de implantação para o XXXX.</w:t>
      </w:r>
    </w:p>
    <w:p w14:paraId="4DCADA9F" w14:textId="77777777" w:rsidR="00B62BA0" w:rsidRDefault="00B62BA0" w:rsidP="00B62BA0"/>
    <w:p w14:paraId="7A31DF99" w14:textId="77777777" w:rsidR="00B62BA0" w:rsidRDefault="00B62BA0" w:rsidP="00B62BA0">
      <w:pPr>
        <w:jc w:val="center"/>
      </w:pPr>
      <w:r>
        <w:rPr>
          <w:noProof/>
        </w:rPr>
        <w:lastRenderedPageBreak/>
        <w:drawing>
          <wp:inline distT="0" distB="0" distL="0" distR="0" wp14:anchorId="03DD882F" wp14:editId="64BE2187">
            <wp:extent cx="4290695" cy="4187190"/>
            <wp:effectExtent l="19050" t="0" r="0" b="0"/>
            <wp:docPr id="30" name="Imagem 30" descr="diagrama de implantaçã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implantaçãob"/>
                    <pic:cNvPicPr>
                      <a:picLocks noChangeAspect="1" noChangeArrowheads="1"/>
                    </pic:cNvPicPr>
                  </pic:nvPicPr>
                  <pic:blipFill>
                    <a:blip r:embed="rId32" cstate="print"/>
                    <a:srcRect/>
                    <a:stretch>
                      <a:fillRect/>
                    </a:stretch>
                  </pic:blipFill>
                  <pic:spPr bwMode="auto">
                    <a:xfrm>
                      <a:off x="0" y="0"/>
                      <a:ext cx="4290695" cy="4187190"/>
                    </a:xfrm>
                    <a:prstGeom prst="rect">
                      <a:avLst/>
                    </a:prstGeom>
                    <a:noFill/>
                  </pic:spPr>
                </pic:pic>
              </a:graphicData>
            </a:graphic>
          </wp:inline>
        </w:drawing>
      </w:r>
    </w:p>
    <w:p w14:paraId="665BE89D" w14:textId="77777777" w:rsidR="00B62BA0" w:rsidRDefault="00B62BA0" w:rsidP="00B62BA0">
      <w:pPr>
        <w:jc w:val="center"/>
        <w:rPr>
          <w:sz w:val="16"/>
          <w:szCs w:val="16"/>
        </w:rPr>
      </w:pPr>
      <w:r>
        <w:rPr>
          <w:sz w:val="16"/>
          <w:szCs w:val="16"/>
        </w:rPr>
        <w:t>Figura 6: Visão de Implantação do XXXX</w:t>
      </w:r>
    </w:p>
    <w:p w14:paraId="6EF7CEC9" w14:textId="77777777" w:rsidR="00B62BA0" w:rsidRDefault="00B62BA0" w:rsidP="00B62BA0"/>
    <w:p w14:paraId="33C4E99C" w14:textId="77777777" w:rsidR="00B62BA0" w:rsidRDefault="00B62BA0" w:rsidP="00B62BA0">
      <w:pPr>
        <w:jc w:val="both"/>
      </w:pPr>
      <w:r>
        <w:t>Na Figura 6 observa-se os seguintes nós físicos:</w:t>
      </w:r>
    </w:p>
    <w:p w14:paraId="2442D16D" w14:textId="77777777" w:rsidR="00B62BA0" w:rsidRDefault="00B62BA0" w:rsidP="00B62BA0">
      <w:pPr>
        <w:jc w:val="both"/>
      </w:pPr>
    </w:p>
    <w:p w14:paraId="32690E93" w14:textId="77777777" w:rsidR="00B62BA0" w:rsidRDefault="00B62BA0" w:rsidP="00D3716A">
      <w:pPr>
        <w:numPr>
          <w:ilvl w:val="0"/>
          <w:numId w:val="10"/>
        </w:numPr>
        <w:spacing w:before="120"/>
        <w:ind w:left="714" w:hanging="357"/>
        <w:jc w:val="both"/>
      </w:pPr>
      <w:r>
        <w:rPr>
          <w:b/>
        </w:rPr>
        <w:t xml:space="preserve">Web </w:t>
      </w:r>
      <w:proofErr w:type="spellStart"/>
      <w:r>
        <w:rPr>
          <w:b/>
        </w:rPr>
        <w:t>Client</w:t>
      </w:r>
      <w:proofErr w:type="spellEnd"/>
      <w:r>
        <w:rPr>
          <w:b/>
        </w:rPr>
        <w:t xml:space="preserve"> </w:t>
      </w:r>
      <w:proofErr w:type="spellStart"/>
      <w:r>
        <w:rPr>
          <w:b/>
        </w:rPr>
        <w:t>Application</w:t>
      </w:r>
      <w:proofErr w:type="spellEnd"/>
      <w:r>
        <w:rPr>
          <w:b/>
        </w:rPr>
        <w:t xml:space="preserve"> (WCA):</w:t>
      </w:r>
      <w:r>
        <w:t xml:space="preserve"> Aplicativos com interface de usuário via navegador, construídos com base no Framework </w:t>
      </w:r>
      <w:proofErr w:type="spellStart"/>
      <w:r>
        <w:t>Struts</w:t>
      </w:r>
      <w:proofErr w:type="spellEnd"/>
      <w:r>
        <w:t xml:space="preserve">. </w:t>
      </w:r>
    </w:p>
    <w:p w14:paraId="0360FE4A" w14:textId="77777777" w:rsidR="00B62BA0" w:rsidRDefault="00B62BA0" w:rsidP="00D3716A">
      <w:pPr>
        <w:numPr>
          <w:ilvl w:val="0"/>
          <w:numId w:val="10"/>
        </w:numPr>
        <w:spacing w:before="120"/>
        <w:ind w:left="714" w:hanging="357"/>
        <w:jc w:val="both"/>
      </w:pPr>
      <w:r>
        <w:rPr>
          <w:b/>
        </w:rPr>
        <w:t>Servidor DB</w:t>
      </w:r>
      <w:r>
        <w:t>: Nó que contém o BD Central do Sistema XXX.</w:t>
      </w:r>
    </w:p>
    <w:p w14:paraId="3B080B0A" w14:textId="77777777" w:rsidR="00B62BA0" w:rsidRDefault="00B62BA0" w:rsidP="00B62BA0">
      <w:pPr>
        <w:spacing w:before="120"/>
        <w:jc w:val="both"/>
      </w:pPr>
    </w:p>
    <w:p w14:paraId="3E9C5447" w14:textId="77777777" w:rsidR="00B62BA0" w:rsidRDefault="00B62BA0" w:rsidP="00B62BA0">
      <w:pPr>
        <w:spacing w:before="120"/>
        <w:jc w:val="both"/>
      </w:pPr>
      <w:r w:rsidRPr="00B30815">
        <w:rPr>
          <w:highlight w:val="yellow"/>
        </w:rPr>
        <w:t xml:space="preserve">Descrever demais </w:t>
      </w:r>
      <w:proofErr w:type="spellStart"/>
      <w:r w:rsidRPr="00B30815">
        <w:rPr>
          <w:highlight w:val="yellow"/>
        </w:rPr>
        <w:t>elmentos</w:t>
      </w:r>
      <w:proofErr w:type="spellEnd"/>
    </w:p>
    <w:p w14:paraId="0E59F2E0" w14:textId="77777777" w:rsidR="00B62BA0" w:rsidRDefault="00B62BA0" w:rsidP="00B62BA0">
      <w:pPr>
        <w:spacing w:before="120"/>
        <w:ind w:left="357"/>
        <w:jc w:val="both"/>
      </w:pPr>
      <w:r>
        <w:t xml:space="preserve"> </w:t>
      </w: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56021BD1" w14:textId="77777777" w:rsidR="00B62BA0" w:rsidRDefault="00B62BA0" w:rsidP="00B62BA0">
      <w:pPr>
        <w:ind w:firstLine="360"/>
        <w:jc w:val="both"/>
      </w:pPr>
      <w:r>
        <w:t>Esta visão descreve a estrutura geral de implementação, a decomposição do software em camadas de implementação.</w:t>
      </w:r>
    </w:p>
    <w:p w14:paraId="29F21644" w14:textId="77777777" w:rsidR="00B62BA0" w:rsidRDefault="00B62BA0" w:rsidP="00B62BA0">
      <w:pPr>
        <w:ind w:firstLine="360"/>
        <w:jc w:val="both"/>
      </w:pPr>
      <w:r>
        <w:t>A estrutura geral de implementação para o SISCAD é baseada na estrutura da Visão Lógica, assim, não há necessidade de detalhar os diagramas de camadas e pacotes de implementação, uma vez que são fortemente baseados naqueles desenvolvidos para Visão Lógica.</w:t>
      </w:r>
    </w:p>
    <w:p w14:paraId="474CF36A" w14:textId="77777777" w:rsidR="00B62BA0" w:rsidRDefault="00B62BA0" w:rsidP="00B62BA0"/>
    <w:p w14:paraId="6E22F2A3" w14:textId="77777777" w:rsidR="00B62BA0" w:rsidRDefault="00B62BA0" w:rsidP="00B62BA0"/>
    <w:p w14:paraId="4DC33BD8" w14:textId="77777777" w:rsidR="00B62BA0" w:rsidRDefault="00B62BA0" w:rsidP="00B62BA0">
      <w:pPr>
        <w:pStyle w:val="PSDS-Marcadores"/>
      </w:pPr>
      <w:bookmarkStart w:id="68" w:name="_Toc482605987"/>
      <w:bookmarkStart w:id="69" w:name="_Toc19581833"/>
      <w:bookmarkStart w:id="70" w:name="_Toc19584280"/>
      <w:bookmarkStart w:id="71" w:name="_Toc177443819"/>
      <w:r>
        <w:t>Visão de Dados</w:t>
      </w:r>
      <w:bookmarkEnd w:id="68"/>
      <w:bookmarkEnd w:id="69"/>
      <w:bookmarkEnd w:id="70"/>
      <w:bookmarkEnd w:id="71"/>
    </w:p>
    <w:p w14:paraId="55DBA535" w14:textId="77777777" w:rsidR="00B62BA0" w:rsidRDefault="00B62BA0" w:rsidP="00B62BA0"/>
    <w:p w14:paraId="665DD6FD" w14:textId="77777777" w:rsidR="00B62BA0" w:rsidRDefault="00B62BA0" w:rsidP="00B62BA0">
      <w:pPr>
        <w:ind w:firstLine="360"/>
        <w:jc w:val="both"/>
      </w:pPr>
      <w:r>
        <w:lastRenderedPageBreak/>
        <w:t xml:space="preserve">O mecanismo de persistência utilizado no </w:t>
      </w:r>
      <w:proofErr w:type="gramStart"/>
      <w:r>
        <w:t>sistema  SISCAD</w:t>
      </w:r>
      <w:proofErr w:type="gramEnd"/>
      <w:r>
        <w:t xml:space="preserve"> utiliza-se o banco de dados Relacional Oracle juntamente com o framework para mapeamento objeto-relacional, </w:t>
      </w:r>
      <w:proofErr w:type="spellStart"/>
      <w:r>
        <w:t>Hibernate</w:t>
      </w:r>
      <w:proofErr w:type="spellEnd"/>
      <w:r>
        <w:t xml:space="preserve">. O controle de transações adotado envolve a utilização do Spring Framework em conjunto com o </w:t>
      </w:r>
      <w:proofErr w:type="spellStart"/>
      <w:r>
        <w:t>Hibernate</w:t>
      </w:r>
      <w:proofErr w:type="spellEnd"/>
      <w:r>
        <w:t>.</w:t>
      </w:r>
    </w:p>
    <w:p w14:paraId="390DA7F7" w14:textId="77777777" w:rsidR="00B62BA0" w:rsidRDefault="00B62BA0" w:rsidP="00B62BA0">
      <w:pPr>
        <w:ind w:firstLine="360"/>
        <w:jc w:val="both"/>
      </w:pPr>
    </w:p>
    <w:p w14:paraId="5BF17277" w14:textId="77777777" w:rsidR="00B62BA0" w:rsidRDefault="00B62BA0" w:rsidP="00B62BA0">
      <w:pPr>
        <w:ind w:firstLine="360"/>
        <w:jc w:val="both"/>
      </w:pPr>
      <w:r>
        <w:t>As figuras XXX e YY, apresentam a visão lógica e física da base de dados do SISCAD.</w:t>
      </w:r>
    </w:p>
    <w:p w14:paraId="58C120DC" w14:textId="77777777" w:rsidR="00B62BA0" w:rsidRDefault="00B62BA0" w:rsidP="00B62BA0">
      <w:pPr>
        <w:ind w:firstLine="360"/>
        <w:jc w:val="both"/>
      </w:pPr>
    </w:p>
    <w:p w14:paraId="04168BC4" w14:textId="77777777" w:rsidR="00B62BA0" w:rsidRDefault="00B62BA0" w:rsidP="00B62BA0">
      <w:pPr>
        <w:ind w:firstLine="360"/>
        <w:jc w:val="center"/>
      </w:pPr>
      <w:r>
        <w:rPr>
          <w:b/>
          <w:noProof/>
          <w:sz w:val="28"/>
          <w:szCs w:val="28"/>
        </w:rPr>
        <w:drawing>
          <wp:inline distT="0" distB="0" distL="0" distR="0" wp14:anchorId="6D19298F" wp14:editId="795C33E7">
            <wp:extent cx="5943600" cy="5353050"/>
            <wp:effectExtent l="19050" t="19050" r="19050" b="19050"/>
            <wp:docPr id="19" name="Imagem 10" descr="C:\Users\Taina\Desktop\Banco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Users\Taina\Desktop\Banco conceitual.jpg"/>
                    <pic:cNvPicPr>
                      <a:picLocks noChangeAspect="1" noChangeArrowheads="1"/>
                    </pic:cNvPicPr>
                  </pic:nvPicPr>
                  <pic:blipFill>
                    <a:blip r:embed="rId33" cstate="print"/>
                    <a:srcRect/>
                    <a:stretch>
                      <a:fillRect/>
                    </a:stretch>
                  </pic:blipFill>
                  <pic:spPr bwMode="auto">
                    <a:xfrm>
                      <a:off x="0" y="0"/>
                      <a:ext cx="5943600" cy="5353050"/>
                    </a:xfrm>
                    <a:prstGeom prst="rect">
                      <a:avLst/>
                    </a:prstGeom>
                    <a:noFill/>
                    <a:ln w="6350" cmpd="sng">
                      <a:solidFill>
                        <a:srgbClr val="000000"/>
                      </a:solidFill>
                      <a:miter lim="800000"/>
                      <a:headEnd/>
                      <a:tailEnd/>
                    </a:ln>
                    <a:effectLst/>
                  </pic:spPr>
                </pic:pic>
              </a:graphicData>
            </a:graphic>
          </wp:inline>
        </w:drawing>
      </w:r>
    </w:p>
    <w:p w14:paraId="6FFC8AA2" w14:textId="77777777" w:rsidR="00B62BA0" w:rsidRDefault="00B62BA0" w:rsidP="00B62BA0">
      <w:pPr>
        <w:ind w:firstLine="360"/>
        <w:jc w:val="center"/>
      </w:pPr>
      <w:proofErr w:type="spellStart"/>
      <w:r>
        <w:t>Figrua</w:t>
      </w:r>
      <w:proofErr w:type="spellEnd"/>
      <w:r>
        <w:t xml:space="preserve"> XXX – Modelo Lógico</w:t>
      </w:r>
    </w:p>
    <w:p w14:paraId="465F5E0A" w14:textId="77777777" w:rsidR="00B62BA0" w:rsidRDefault="00B62BA0" w:rsidP="00B62BA0">
      <w:pPr>
        <w:ind w:firstLine="360"/>
        <w:jc w:val="both"/>
      </w:pPr>
    </w:p>
    <w:p w14:paraId="53A782C5" w14:textId="77777777" w:rsidR="00B62BA0" w:rsidRDefault="00B62BA0" w:rsidP="00B62BA0">
      <w:pPr>
        <w:ind w:firstLine="360"/>
        <w:jc w:val="both"/>
      </w:pPr>
    </w:p>
    <w:p w14:paraId="5C5090F0" w14:textId="77777777" w:rsidR="00B62BA0" w:rsidRDefault="00B62BA0" w:rsidP="00B62BA0">
      <w:pPr>
        <w:ind w:firstLine="360"/>
        <w:jc w:val="center"/>
      </w:pPr>
      <w:r>
        <w:rPr>
          <w:noProof/>
        </w:rPr>
        <w:lastRenderedPageBreak/>
        <w:drawing>
          <wp:inline distT="0" distB="0" distL="0" distR="0" wp14:anchorId="614026C4" wp14:editId="751C2529">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34"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19D52B12" w14:textId="77777777" w:rsidR="00B62BA0" w:rsidRDefault="00B62BA0" w:rsidP="00B62BA0">
      <w:pPr>
        <w:ind w:firstLine="360"/>
        <w:jc w:val="center"/>
      </w:pPr>
      <w:proofErr w:type="spellStart"/>
      <w:r>
        <w:t>Figrua</w:t>
      </w:r>
      <w:proofErr w:type="spellEnd"/>
      <w:r>
        <w:t xml:space="preserve"> XXX – Modelo Físico</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lastRenderedPageBreak/>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72" w:name="_Ref144112115"/>
      <w:r>
        <w:rPr>
          <w:sz w:val="16"/>
          <w:szCs w:val="16"/>
        </w:rPr>
        <w:t xml:space="preserve">Tabela </w:t>
      </w:r>
      <w:bookmarkEnd w:id="7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73"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4" w:name="_Toc19581834"/>
      <w:bookmarkStart w:id="75" w:name="_Toc19584281"/>
      <w:bookmarkStart w:id="76" w:name="_Toc177443820"/>
      <w:r w:rsidRPr="00EC465E">
        <w:t>Tamanho e Performance</w:t>
      </w:r>
      <w:bookmarkEnd w:id="73"/>
      <w:bookmarkEnd w:id="74"/>
      <w:bookmarkEnd w:id="75"/>
      <w:bookmarkEnd w:id="76"/>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7" w:name="_Toc482605989"/>
      <w:bookmarkStart w:id="78" w:name="_Toc19581835"/>
      <w:bookmarkStart w:id="79" w:name="_Toc19584282"/>
      <w:bookmarkStart w:id="80" w:name="_Toc177443821"/>
      <w:r w:rsidRPr="00B30815">
        <w:t>Qualidade</w:t>
      </w:r>
      <w:bookmarkEnd w:id="77"/>
      <w:bookmarkEnd w:id="78"/>
      <w:bookmarkEnd w:id="79"/>
      <w:bookmarkEnd w:id="80"/>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1" w:name="_Toc482605990"/>
      <w:bookmarkStart w:id="82" w:name="_Toc19581836"/>
      <w:bookmarkStart w:id="83" w:name="_Toc19584283"/>
      <w:bookmarkStart w:id="84" w:name="_Toc177443822"/>
      <w:r w:rsidRPr="00B30815">
        <w:t>Referências</w:t>
      </w:r>
      <w:bookmarkEnd w:id="81"/>
      <w:bookmarkEnd w:id="82"/>
      <w:bookmarkEnd w:id="83"/>
      <w:bookmarkEnd w:id="84"/>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38"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4B4B1" w14:textId="77777777" w:rsidR="00F72362" w:rsidRDefault="00F72362">
      <w:r>
        <w:separator/>
      </w:r>
    </w:p>
  </w:endnote>
  <w:endnote w:type="continuationSeparator" w:id="0">
    <w:p w14:paraId="0019794C" w14:textId="77777777" w:rsidR="00F72362" w:rsidRDefault="00F72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8B498" w14:textId="77777777" w:rsidR="00F72362" w:rsidRDefault="00F72362">
      <w:r>
        <w:separator/>
      </w:r>
    </w:p>
  </w:footnote>
  <w:footnote w:type="continuationSeparator" w:id="0">
    <w:p w14:paraId="7983DBDB" w14:textId="77777777" w:rsidR="00F72362" w:rsidRDefault="00F72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1"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5"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6"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6"/>
  </w:num>
  <w:num w:numId="4" w16cid:durableId="353793">
    <w:abstractNumId w:val="33"/>
  </w:num>
  <w:num w:numId="5" w16cid:durableId="534462508">
    <w:abstractNumId w:val="34"/>
  </w:num>
  <w:num w:numId="6" w16cid:durableId="1507869016">
    <w:abstractNumId w:val="39"/>
  </w:num>
  <w:num w:numId="7" w16cid:durableId="1513492468">
    <w:abstractNumId w:val="32"/>
  </w:num>
  <w:num w:numId="8" w16cid:durableId="334067497">
    <w:abstractNumId w:val="19"/>
  </w:num>
  <w:num w:numId="9" w16cid:durableId="2130004890">
    <w:abstractNumId w:val="17"/>
  </w:num>
  <w:num w:numId="10" w16cid:durableId="2022581597">
    <w:abstractNumId w:val="31"/>
  </w:num>
  <w:num w:numId="11" w16cid:durableId="982391681">
    <w:abstractNumId w:val="24"/>
  </w:num>
  <w:num w:numId="12" w16cid:durableId="2138335808">
    <w:abstractNumId w:val="26"/>
  </w:num>
  <w:num w:numId="13" w16cid:durableId="1866673686">
    <w:abstractNumId w:val="10"/>
  </w:num>
  <w:num w:numId="14" w16cid:durableId="436297040">
    <w:abstractNumId w:val="1"/>
  </w:num>
  <w:num w:numId="15" w16cid:durableId="2051420768">
    <w:abstractNumId w:val="28"/>
  </w:num>
  <w:num w:numId="16" w16cid:durableId="683358311">
    <w:abstractNumId w:val="35"/>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0"/>
  </w:num>
  <w:num w:numId="22" w16cid:durableId="1333266010">
    <w:abstractNumId w:val="42"/>
  </w:num>
  <w:num w:numId="23" w16cid:durableId="664209363">
    <w:abstractNumId w:val="12"/>
  </w:num>
  <w:num w:numId="24" w16cid:durableId="746466426">
    <w:abstractNumId w:val="43"/>
  </w:num>
  <w:num w:numId="25" w16cid:durableId="244387507">
    <w:abstractNumId w:val="44"/>
  </w:num>
  <w:num w:numId="26" w16cid:durableId="1125925508">
    <w:abstractNumId w:val="37"/>
  </w:num>
  <w:num w:numId="27" w16cid:durableId="1902473757">
    <w:abstractNumId w:val="14"/>
  </w:num>
  <w:num w:numId="28" w16cid:durableId="1410537461">
    <w:abstractNumId w:val="0"/>
  </w:num>
  <w:num w:numId="29" w16cid:durableId="154877724">
    <w:abstractNumId w:val="29"/>
  </w:num>
  <w:num w:numId="30" w16cid:durableId="1311210621">
    <w:abstractNumId w:val="27"/>
  </w:num>
  <w:num w:numId="31" w16cid:durableId="1328707234">
    <w:abstractNumId w:val="5"/>
  </w:num>
  <w:num w:numId="32" w16cid:durableId="164560930">
    <w:abstractNumId w:val="20"/>
  </w:num>
  <w:num w:numId="33" w16cid:durableId="355470437">
    <w:abstractNumId w:val="40"/>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1"/>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5"/>
  </w:num>
  <w:num w:numId="44" w16cid:durableId="1831167177">
    <w:abstractNumId w:val="46"/>
  </w:num>
  <w:num w:numId="45" w16cid:durableId="2529756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5"/>
  </w:num>
  <w:num w:numId="48" w16cid:durableId="1564832455">
    <w:abstractNumId w:val="3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1215"/>
    <w:rsid w:val="00121913"/>
    <w:rsid w:val="00123053"/>
    <w:rsid w:val="00124197"/>
    <w:rsid w:val="00124535"/>
    <w:rsid w:val="00125B42"/>
    <w:rsid w:val="00127A6B"/>
    <w:rsid w:val="00127CEF"/>
    <w:rsid w:val="00134113"/>
    <w:rsid w:val="001346AD"/>
    <w:rsid w:val="00137411"/>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E12DD"/>
    <w:rsid w:val="002E2047"/>
    <w:rsid w:val="002E3D8C"/>
    <w:rsid w:val="002E42C0"/>
    <w:rsid w:val="002E4AE3"/>
    <w:rsid w:val="002E6A0B"/>
    <w:rsid w:val="002E7C44"/>
    <w:rsid w:val="002F1854"/>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40E8"/>
    <w:rsid w:val="003A41EF"/>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B3D"/>
    <w:rsid w:val="006A5D53"/>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658"/>
    <w:rsid w:val="00D84915"/>
    <w:rsid w:val="00D8797E"/>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236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www.omg.org/technology/documents/formal/uml.ht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2.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3.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customXml/itemProps4.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27</Pages>
  <Words>4092</Words>
  <Characters>22098</Characters>
  <Application>Microsoft Office Word</Application>
  <DocSecurity>2</DocSecurity>
  <Lines>184</Lines>
  <Paragraphs>52</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26138</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19</cp:revision>
  <cp:lastPrinted>2005-05-05T20:18:00Z</cp:lastPrinted>
  <dcterms:created xsi:type="dcterms:W3CDTF">2025-04-12T03:26:00Z</dcterms:created>
  <dcterms:modified xsi:type="dcterms:W3CDTF">2025-04-13T17:42:00Z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