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before="240" w:after="200"/>
        <w:jc w:val="center"/>
      </w:pPr>
      <w:r>
        <w:rPr>
          <w:rFonts w:ascii="Lato" w:hAnsi="Lato"/>
          <w:b/>
          <w:color w:val="00743D"/>
          <w:sz w:val="34"/>
        </w:rPr>
        <w:t>“Predicción de complicaciones y mortalidad posterior al infarto de miocardio mediante modelos de aprendizaje automático”</w:t>
      </w:r>
    </w:p>
    <w:p>
      <w:pPr>
        <w:spacing w:after="240"/>
        <w:jc w:val="left"/>
      </w:pPr>
      <w:r>
        <w:rPr>
          <w:rFonts w:ascii="Lato" w:hAnsi="Lato"/>
          <w:color w:val="00743D"/>
          <w:sz w:val="19"/>
        </w:rPr>
        <w:t>Autor/Autores: [Integrante 1] - [Integrante 2] - [Integrante 3] - [Integrante 4]</w:t>
      </w:r>
    </w:p>
    <w:p>
      <w:pPr>
        <w:spacing w:after="280" w:before="0" w:line="240" w:lineRule="auto"/>
        <w:jc w:val="both"/>
      </w:pPr>
      <w:r>
        <w:rPr>
          <w:rFonts w:ascii="Lato" w:hAnsi="Lato"/>
          <w:b/>
          <w:color w:val="000000"/>
          <w:sz w:val="20"/>
        </w:rPr>
        <w:t>Resumen-</w:t>
      </w:r>
      <w:r>
        <w:rPr>
          <w:rFonts w:ascii="Lato" w:hAnsi="Lato"/>
          <w:color w:val="424242"/>
          <w:sz w:val="20"/>
        </w:rPr>
        <w:t xml:space="preserve"> El presente avance parcial propone un proyecto de clasificación supervisada orientado a predecir complicaciones y mortalidad posteriores al infarto de miocardio. Se utilizará el dataset Myocardial Infarction Complications de UCI Machine Learning Repository, compuesto por registros clínicos de pacientes, variables demográficas, antecedentes, resultados de laboratorio y desenlaces médicos. El objetivo es comparar al menos cuatro clasificadores —Regresión Logística, SVM, Random Forest y un modelo de Gradient Boosting— frente a una línea base simple y frente a resultados reportados en literatura. La experimentación preliminar se enfocará en la carga reproducible del dataset, análisis exploratorio, tratamiento de valores faltantes, definición de la variable objetivo y primera evaluación con métricas adecuadas para datos clínicos desbalanceados.</w:t>
      </w:r>
    </w:p>
    <w:p>
      <w:pPr>
        <w:spacing w:after="120"/>
        <w:jc w:val="center"/>
      </w:pPr>
      <w:r>
        <w:rPr>
          <w:rFonts w:ascii="Lato" w:hAnsi="Lato"/>
          <w:color w:val="00743D"/>
          <w:sz w:val="20"/>
        </w:rPr>
        <w:t>——————————◆——————————</w:t>
      </w:r>
    </w:p>
    <w:p>
      <w:pPr>
        <w:sectPr>
          <w:headerReference w:type="default" r:id="rId9"/>
          <w:footerReference w:type="default" r:id="rId10"/>
          <w:pgSz w:w="11906" w:h="16838"/>
          <w:pgMar w:top="1191" w:right="879" w:bottom="879" w:left="1106" w:header="567" w:footer="255" w:gutter="0"/>
          <w:cols w:space="720"/>
          <w:docGrid w:linePitch="360"/>
        </w:sectPr>
      </w:pPr>
    </w:p>
    <w:p>
      <w:pPr>
        <w:spacing w:before="160" w:after="120"/>
        <w:jc w:val="left"/>
      </w:pPr>
      <w:r>
        <w:rPr>
          <w:rFonts w:ascii="Lato" w:hAnsi="Lato"/>
          <w:b/>
          <w:color w:val="00743D"/>
          <w:sz w:val="24"/>
        </w:rPr>
        <w:t>1.  Introducción</w:t>
      </w:r>
    </w:p>
    <w:p>
      <w:pPr>
        <w:spacing w:after="100" w:before="0" w:line="240" w:lineRule="auto"/>
        <w:jc w:val="both"/>
      </w:pPr>
      <w:r>
        <w:rPr>
          <w:rFonts w:ascii="Lato" w:hAnsi="Lato"/>
          <w:color w:val="424242"/>
          <w:sz w:val="18"/>
        </w:rPr>
        <w:t>El infarto de miocardio es una emergencia cardiovascular asociada a complicaciones agudas y desenlaces adversos. La predicción temprana de estas complicaciones puede apoyar la priorización clínica, la vigilancia de pacientes de alto riesgo y la evaluación de modelos de soporte a la decisión médica. En este proyecto se plantea una tarea de clasificación usando variables clínicas disponibles en el dataset seleccionado.</w:t>
      </w:r>
    </w:p>
    <w:p>
      <w:pPr>
        <w:spacing w:after="100" w:before="0" w:line="240" w:lineRule="auto"/>
        <w:jc w:val="both"/>
      </w:pPr>
      <w:r>
        <w:rPr>
          <w:rFonts w:ascii="Lato" w:hAnsi="Lato"/>
          <w:b/>
          <w:color w:val="000000"/>
          <w:sz w:val="18"/>
        </w:rPr>
        <w:t>Dataset:</w:t>
      </w:r>
      <w:r>
        <w:rPr>
          <w:rFonts w:ascii="Lato" w:hAnsi="Lato"/>
          <w:color w:val="424242"/>
          <w:sz w:val="18"/>
        </w:rPr>
        <w:t xml:space="preserve"> Myocardial Infarction Complications Data Set, disponible en UCI Machine Learning Repository. La base contiene 1700 registros de pacientes y 111 variables predictoras, además de variables objetivo asociadas a complicaciones posteriores al infarto.</w:t>
      </w:r>
    </w:p>
    <w:p>
      <w:pPr>
        <w:spacing w:after="100" w:before="0" w:line="240" w:lineRule="auto"/>
        <w:jc w:val="both"/>
      </w:pPr>
      <w:r>
        <w:rPr>
          <w:rFonts w:ascii="Lato" w:hAnsi="Lato"/>
          <w:b/>
          <w:color w:val="000000"/>
          <w:sz w:val="18"/>
        </w:rPr>
        <w:t>Pregunta de investigación:</w:t>
      </w:r>
      <w:r>
        <w:rPr>
          <w:rFonts w:ascii="Lato" w:hAnsi="Lato"/>
          <w:color w:val="424242"/>
          <w:sz w:val="18"/>
        </w:rPr>
        <w:t xml:space="preserve"> ¿En qué medida los modelos de clasificación supervisada pueden predecir mortalidad o complicaciones posteriores al infarto de miocardio a partir de variables clínicas, demográficas y de laboratorio?</w:t>
      </w:r>
    </w:p>
    <w:p>
      <w:pPr>
        <w:spacing w:after="100" w:before="0" w:line="240" w:lineRule="auto"/>
        <w:jc w:val="both"/>
      </w:pPr>
      <w:r>
        <w:rPr>
          <w:rFonts w:ascii="Lato" w:hAnsi="Lato"/>
          <w:b/>
          <w:color w:val="000000"/>
          <w:sz w:val="18"/>
        </w:rPr>
        <w:t>Hipótesis:</w:t>
      </w:r>
      <w:r>
        <w:rPr>
          <w:rFonts w:ascii="Lato" w:hAnsi="Lato"/>
          <w:color w:val="424242"/>
          <w:sz w:val="18"/>
        </w:rPr>
        <w:t xml:space="preserve"> Los modelos de ensamble basados en árboles, especialmente Gradient Boosting, obtendrán mejor desempeño que una línea base simple y modelos lineales en la predicción de complicaciones o mortalidad, debido a su capacidad para capturar relaciones no lineales y manejar interacciones entre variables clínicas.</w:t>
      </w:r>
    </w:p>
    <w:p>
      <w:pPr>
        <w:spacing w:after="100" w:before="0" w:line="240" w:lineRule="auto"/>
        <w:jc w:val="both"/>
      </w:pPr>
      <w:r>
        <w:rPr>
          <w:rFonts w:ascii="Lato" w:hAnsi="Lato"/>
          <w:b/>
          <w:color w:val="000000"/>
          <w:sz w:val="18"/>
        </w:rPr>
        <w:t>Objetivo general:</w:t>
      </w:r>
      <w:r>
        <w:rPr>
          <w:rFonts w:ascii="Lato" w:hAnsi="Lato"/>
          <w:color w:val="424242"/>
          <w:sz w:val="18"/>
        </w:rPr>
        <w:t xml:space="preserve"> Desarrollar y comparar modelos de clasificación supervisada para predecir mortalidad o complicaciones posteriores al infarto de miocardio, evaluando su rendimiento con métricas adecuadas para datos clínicos desbalanceados.</w:t>
      </w:r>
    </w:p>
    <w:p>
      <w:pPr>
        <w:spacing w:after="100" w:before="0" w:line="240" w:lineRule="auto"/>
        <w:jc w:val="both"/>
      </w:pPr>
      <w:r>
        <w:rPr>
          <w:rFonts w:ascii="Lato" w:hAnsi="Lato"/>
          <w:b/>
          <w:color w:val="000000"/>
          <w:sz w:val="18"/>
        </w:rPr>
        <w:t>Objetivos específicos:</w:t>
      </w:r>
      <w:r>
        <w:rPr>
          <w:rFonts w:ascii="Lato" w:hAnsi="Lato"/>
          <w:color w:val="424242"/>
          <w:sz w:val="18"/>
        </w:rPr>
        <w:t xml:space="preserve"> (i) preprocesar el dataset y analizar valores faltantes; (ii) definir y justificar la variable objetivo; (iii) implementar al menos cuatro clasificadores; (iv) evaluar el desempeño mediante matriz de confusión, F1-score, recall, ROC-AUC y PR-AUC; y (v) comparar los resultados con una línea base y literatura previa.</w:t>
      </w:r>
    </w:p>
    <w:p>
      <w:pPr>
        <w:spacing w:before="160" w:after="120"/>
        <w:jc w:val="left"/>
      </w:pPr>
      <w:r>
        <w:rPr>
          <w:rFonts w:ascii="Lato" w:hAnsi="Lato"/>
          <w:b/>
          <w:color w:val="00743D"/>
          <w:sz w:val="24"/>
        </w:rPr>
        <w:t>2.  Trabajos relacionados</w:t>
      </w:r>
    </w:p>
    <w:p>
      <w:pPr>
        <w:spacing w:after="100" w:before="0" w:line="240" w:lineRule="auto"/>
        <w:jc w:val="both"/>
      </w:pPr>
      <w:r>
        <w:rPr>
          <w:rFonts w:ascii="Lato" w:hAnsi="Lato"/>
          <w:color w:val="424242"/>
          <w:sz w:val="18"/>
        </w:rPr>
        <w:t>A continuación se presentan artículos relevantes para sustentar el proyecto. Se priorizan estudios que usaron el mismo dataset y trabajos relacionados con predicción clínica mediante aprendizaje automático.</w:t>
      </w:r>
    </w:p>
    <w:p>
      <w:pPr>
        <w:spacing w:after="80"/>
        <w:ind w:left="259" w:hanging="259"/>
        <w:jc w:val="both"/>
      </w:pPr>
      <w:r>
        <w:rPr>
          <w:rFonts w:ascii="Lato" w:hAnsi="Lato"/>
          <w:color w:val="424242"/>
          <w:sz w:val="18"/>
        </w:rPr>
        <w:t xml:space="preserve">1.  </w:t>
      </w:r>
      <w:r>
        <w:rPr>
          <w:rFonts w:ascii="Lato" w:hAnsi="Lato"/>
          <w:b/>
          <w:color w:val="000000"/>
          <w:sz w:val="18"/>
        </w:rPr>
        <w:t xml:space="preserve">Golovenkin et al. (2020) </w:t>
      </w:r>
      <w:r>
        <w:rPr>
          <w:rFonts w:ascii="Lato" w:hAnsi="Lato"/>
          <w:color w:val="424242"/>
          <w:sz w:val="18"/>
        </w:rPr>
        <w:t>presentaron la base de datos de complicaciones de infarto de miocardio y su uso para análisis de trayectorias clínicas, visualización y modelamiento de progresión de pacientes.</w:t>
      </w:r>
    </w:p>
    <w:p>
      <w:pPr>
        <w:spacing w:after="80"/>
        <w:ind w:left="259" w:hanging="259"/>
        <w:jc w:val="both"/>
      </w:pPr>
      <w:r>
        <w:rPr>
          <w:rFonts w:ascii="Lato" w:hAnsi="Lato"/>
          <w:color w:val="424242"/>
          <w:sz w:val="18"/>
        </w:rPr>
        <w:t xml:space="preserve">2.  </w:t>
      </w:r>
      <w:r>
        <w:rPr>
          <w:rFonts w:ascii="Lato" w:hAnsi="Lato"/>
          <w:b/>
          <w:color w:val="000000"/>
          <w:sz w:val="18"/>
        </w:rPr>
        <w:t xml:space="preserve">Yavru y Yılmaz Gündüz (2022) </w:t>
      </w:r>
      <w:r>
        <w:rPr>
          <w:rFonts w:ascii="Lato" w:hAnsi="Lato"/>
          <w:color w:val="424242"/>
          <w:sz w:val="18"/>
        </w:rPr>
        <w:t>propusieron modelos de redes neuronales profundas para predecir complicaciones y desenlaces del infarto de miocardio, usando el dataset seleccionado y abordando múltiples variables objetivo.</w:t>
      </w:r>
    </w:p>
    <w:p>
      <w:pPr>
        <w:spacing w:after="80"/>
        <w:ind w:left="259" w:hanging="259"/>
        <w:jc w:val="both"/>
      </w:pPr>
      <w:r>
        <w:rPr>
          <w:rFonts w:ascii="Lato" w:hAnsi="Lato"/>
          <w:color w:val="424242"/>
          <w:sz w:val="18"/>
        </w:rPr>
        <w:t xml:space="preserve">3.  </w:t>
      </w:r>
      <w:r>
        <w:rPr>
          <w:rFonts w:ascii="Lato" w:hAnsi="Lato"/>
          <w:b/>
          <w:color w:val="000000"/>
          <w:sz w:val="18"/>
        </w:rPr>
        <w:t xml:space="preserve">Khamis et al. (2024) </w:t>
      </w:r>
      <w:r>
        <w:rPr>
          <w:rFonts w:ascii="Lato" w:hAnsi="Lato"/>
          <w:color w:val="424242"/>
          <w:sz w:val="18"/>
        </w:rPr>
        <w:t>evaluaron modelos de Gradient Boosting, como CatBoost, LightGBM y XGBoost, para la predicción de complicaciones de infarto de miocardio con métricas de clasificación clínica.</w:t>
      </w:r>
    </w:p>
    <w:p>
      <w:pPr>
        <w:spacing w:after="80"/>
        <w:ind w:left="259" w:hanging="259"/>
        <w:jc w:val="both"/>
      </w:pPr>
      <w:r>
        <w:rPr>
          <w:rFonts w:ascii="Lato" w:hAnsi="Lato"/>
          <w:color w:val="424242"/>
          <w:sz w:val="18"/>
        </w:rPr>
        <w:t xml:space="preserve">4.  </w:t>
      </w:r>
      <w:r>
        <w:rPr>
          <w:rFonts w:ascii="Lato" w:hAnsi="Lato"/>
          <w:b/>
          <w:color w:val="000000"/>
          <w:sz w:val="18"/>
        </w:rPr>
        <w:t xml:space="preserve">Makhmudov et al. (2025) </w:t>
      </w:r>
      <w:r>
        <w:rPr>
          <w:rFonts w:ascii="Lato" w:hAnsi="Lato"/>
          <w:color w:val="424242"/>
          <w:sz w:val="18"/>
        </w:rPr>
        <w:t>desarrollaron un modelo multitarea de deep learning para predecir complicaciones múltiples y mortalidad, lo que permite comparar enfoques binarios y multisalida.</w:t>
      </w:r>
    </w:p>
    <w:p>
      <w:pPr>
        <w:spacing w:after="80"/>
        <w:ind w:left="259" w:hanging="259"/>
        <w:jc w:val="both"/>
      </w:pPr>
      <w:r>
        <w:rPr>
          <w:rFonts w:ascii="Lato" w:hAnsi="Lato"/>
          <w:color w:val="424242"/>
          <w:sz w:val="18"/>
        </w:rPr>
        <w:t xml:space="preserve">5.  </w:t>
      </w:r>
      <w:r>
        <w:rPr>
          <w:rFonts w:ascii="Lato" w:hAnsi="Lato"/>
          <w:b/>
          <w:color w:val="000000"/>
          <w:sz w:val="18"/>
        </w:rPr>
        <w:t xml:space="preserve">Roudini et al. (2023) </w:t>
      </w:r>
      <w:r>
        <w:rPr>
          <w:rFonts w:ascii="Lato" w:hAnsi="Lato"/>
          <w:color w:val="424242"/>
          <w:sz w:val="18"/>
        </w:rPr>
        <w:t>estudiaron predicción de mortalidad posterior a infarto usando variables rutinarias y modelos de aprendizaje automático, ofreciendo un antecedente relacionado para la selección de métricas y validación clínica.</w:t>
      </w:r>
    </w:p>
    <w:p>
      <w:pPr>
        <w:spacing w:after="100" w:before="0" w:line="240" w:lineRule="auto"/>
        <w:jc w:val="both"/>
      </w:pPr>
      <w:r>
        <w:rPr>
          <w:rFonts w:ascii="Lato" w:hAnsi="Lato"/>
          <w:color w:val="424242"/>
          <w:sz w:val="18"/>
        </w:rPr>
        <w:t>En conjunto, la literatura sugiere que los modelos basados en ensambles y redes neuronales pueden ser competitivos en problemas clínicos complejos, pero requieren control estricto del desbalance de clases, imputación de valores faltantes y evaluación mediante métricas más informativas que la exactitud simple.</w:t>
      </w:r>
    </w:p>
    <w:p>
      <w:pPr>
        <w:spacing w:before="160" w:after="120"/>
        <w:jc w:val="left"/>
      </w:pPr>
      <w:r>
        <w:rPr>
          <w:rFonts w:ascii="Lato" w:hAnsi="Lato"/>
          <w:b/>
          <w:color w:val="00743D"/>
          <w:sz w:val="24"/>
        </w:rPr>
        <w:t>3.  Metodología</w:t>
      </w:r>
    </w:p>
    <w:p>
      <w:pPr>
        <w:spacing w:before="80" w:after="40"/>
        <w:jc w:val="left"/>
      </w:pPr>
      <w:r>
        <w:rPr>
          <w:rFonts w:ascii="Lato" w:hAnsi="Lato"/>
          <w:b/>
          <w:color w:val="00743D"/>
          <w:sz w:val="19"/>
        </w:rPr>
        <w:t>■  Enfoque propuesto:</w:t>
      </w:r>
    </w:p>
    <w:p>
      <w:pPr>
        <w:spacing w:after="100" w:before="0" w:line="240" w:lineRule="auto"/>
        <w:jc w:val="both"/>
      </w:pPr>
      <w:r>
        <w:rPr>
          <w:rFonts w:ascii="Lato" w:hAnsi="Lato"/>
          <w:color w:val="424242"/>
          <w:sz w:val="18"/>
        </w:rPr>
        <w:t>Se plantea una comparación entre modelos clásicos y modelos de ensamble. La línea base será DummyClassifier, seguida por Regresión Logística, SVM, Random Forest y un modelo de Gradient Boosting. Esta elección permite contrastar modelos interpretables, modelos de margen y modelos no lineales robustos.</w:t>
      </w:r>
    </w:p>
    <w:p>
      <w:pPr>
        <w:spacing w:before="80" w:after="40"/>
        <w:jc w:val="left"/>
      </w:pPr>
      <w:r>
        <w:rPr>
          <w:rFonts w:ascii="Lato" w:hAnsi="Lato"/>
          <w:b/>
          <w:color w:val="00743D"/>
          <w:sz w:val="19"/>
        </w:rPr>
        <w:t>■  Formulación formal del problema:</w:t>
      </w:r>
    </w:p>
    <w:p>
      <w:pPr>
        <w:spacing w:after="100" w:before="0" w:line="240" w:lineRule="auto"/>
        <w:jc w:val="both"/>
      </w:pPr>
      <w:r>
        <w:rPr>
          <w:rFonts w:ascii="Lato" w:hAnsi="Lato"/>
          <w:color w:val="424242"/>
          <w:sz w:val="18"/>
        </w:rPr>
        <w:t>Sea X ∈ Rⁿˣᵖ la matriz de variables clínicas de n pacientes y p predictores. Para cada paciente i se define una etiqueta binaria yᵢ asociada al desenlace clínico seleccionado.</w:t>
      </w:r>
    </w:p>
    <w:p>
      <w:pPr>
        <w:spacing w:before="120" w:after="40"/>
        <w:jc w:val="center"/>
      </w:pPr>
      <w:r>
        <w:rPr>
          <w:rFonts w:ascii="DejaVu Sans" w:hAnsi="DejaVu Sans"/>
          <w:color w:val="222222"/>
          <w:sz w:val="20"/>
        </w:rPr>
        <w:t>Xᵢ = {clínicas, demográficas, laboratorio, ECG}</w:t>
      </w:r>
    </w:p>
    <w:p>
      <w:pPr>
        <w:spacing w:before="20" w:after="100"/>
        <w:jc w:val="center"/>
      </w:pPr>
      <w:r>
        <w:rPr>
          <w:rFonts w:ascii="Lato" w:hAnsi="Lato"/>
          <w:b/>
          <w:color w:val="000000"/>
          <w:sz w:val="14"/>
        </w:rPr>
        <w:t>Figura 1: Vector de características clínicas del paciente</w:t>
      </w:r>
    </w:p>
    <w:p>
      <w:pPr>
        <w:spacing w:before="120" w:after="40"/>
        <w:jc w:val="center"/>
      </w:pPr>
      <w:r>
        <w:rPr>
          <w:rFonts w:ascii="DejaVu Sans" w:hAnsi="DejaVu Sans"/>
          <w:color w:val="222222"/>
          <w:sz w:val="20"/>
        </w:rPr>
        <w:t>yᵢ = 1 si hay desenlace; 0 en caso contrario</w:t>
      </w:r>
    </w:p>
    <w:p>
      <w:pPr>
        <w:spacing w:before="20" w:after="100"/>
        <w:jc w:val="center"/>
      </w:pPr>
      <w:r>
        <w:rPr>
          <w:rFonts w:ascii="Lato" w:hAnsi="Lato"/>
          <w:b/>
          <w:color w:val="000000"/>
          <w:sz w:val="14"/>
        </w:rPr>
        <w:t>Figura 2: Definición binaria de la variable objetivo</w:t>
      </w:r>
    </w:p>
    <w:p>
      <w:pPr>
        <w:spacing w:after="100" w:before="0" w:line="240" w:lineRule="auto"/>
        <w:jc w:val="both"/>
      </w:pPr>
      <w:r>
        <w:rPr>
          <w:rFonts w:ascii="Lato" w:hAnsi="Lato"/>
          <w:color w:val="424242"/>
          <w:sz w:val="18"/>
        </w:rPr>
        <w:t>El objetivo del clasificador es aprender una función f que estime la probabilidad de que un paciente presente el desenlace adverso:</w:t>
      </w:r>
    </w:p>
    <w:p>
      <w:pPr>
        <w:spacing w:before="120" w:after="40"/>
        <w:jc w:val="center"/>
      </w:pPr>
      <w:r>
        <w:rPr>
          <w:rFonts w:ascii="DejaVu Sans" w:hAnsi="DejaVu Sans"/>
          <w:color w:val="222222"/>
          <w:sz w:val="20"/>
        </w:rPr>
        <w:t>ŷᵢ = f(Xᵢ),  0 ≤ ŷᵢ ≤ 1</w:t>
      </w:r>
    </w:p>
    <w:p>
      <w:pPr>
        <w:spacing w:before="20" w:after="100"/>
        <w:jc w:val="center"/>
      </w:pPr>
      <w:r>
        <w:rPr>
          <w:rFonts w:ascii="Lato" w:hAnsi="Lato"/>
          <w:b/>
          <w:color w:val="000000"/>
          <w:sz w:val="14"/>
        </w:rPr>
        <w:t>Figura 3: Función de predicción del modelo</w:t>
      </w:r>
    </w:p>
    <w:p>
      <w:pPr>
        <w:spacing w:after="100" w:before="0" w:line="240" w:lineRule="auto"/>
        <w:jc w:val="both"/>
      </w:pPr>
      <w:r>
        <w:rPr>
          <w:rFonts w:ascii="Lato" w:hAnsi="Lato"/>
          <w:color w:val="424242"/>
          <w:sz w:val="18"/>
        </w:rPr>
        <w:t>Donde ŷᵢ representa el riesgo estimado para el paciente i. El umbral de decisión podrá ajustarse según la métrica prioritaria, especialmente recall o F1-score.</w:t>
      </w:r>
    </w:p>
    <w:p>
      <w:pPr>
        <w:spacing w:before="80" w:after="40"/>
        <w:jc w:val="left"/>
      </w:pPr>
      <w:r>
        <w:rPr>
          <w:rFonts w:ascii="Lato" w:hAnsi="Lato"/>
          <w:b/>
          <w:color w:val="002B5C"/>
          <w:sz w:val="19"/>
        </w:rPr>
        <w:t>A.  Dataset y variable objetivo</w:t>
      </w:r>
    </w:p>
    <w:p>
      <w:pPr>
        <w:spacing w:after="100" w:before="0" w:line="240" w:lineRule="auto"/>
        <w:jc w:val="both"/>
      </w:pPr>
      <w:r>
        <w:rPr>
          <w:rFonts w:ascii="Lato" w:hAnsi="Lato"/>
          <w:color w:val="424242"/>
          <w:sz w:val="18"/>
        </w:rPr>
        <w:t>La base contiene variables de entrada en las columnas 2-112 y múltiples variables de desenlace en las columnas posteriores. Para el avance parcial se recomienda iniciar con una variable objetivo binaria basada en LET_IS: 0 para paciente vivo o sin causa letal conocida y 1 para cualquier causa de desenlace letal. Como alternativa, puede evaluarse una complicación específica como insuficiencia cardiaca crónica.</w:t>
      </w:r>
    </w:p>
    <w:p>
      <w:pPr>
        <w:spacing w:before="80" w:after="40"/>
        <w:jc w:val="left"/>
      </w:pPr>
      <w:r>
        <w:rPr>
          <w:rFonts w:ascii="Lato" w:hAnsi="Lato"/>
          <w:b/>
          <w:color w:val="002B5C"/>
          <w:sz w:val="19"/>
        </w:rPr>
        <w:t>B.  Preprocesamiento e ingeniería de características</w:t>
      </w:r>
    </w:p>
    <w:p>
      <w:pPr>
        <w:spacing w:after="100" w:before="0" w:line="240" w:lineRule="auto"/>
        <w:jc w:val="both"/>
      </w:pPr>
      <w:r>
        <w:rPr>
          <w:rFonts w:ascii="Lato" w:hAnsi="Lato"/>
          <w:color w:val="424242"/>
          <w:sz w:val="18"/>
        </w:rPr>
        <w:t>El preprocesamiento incluirá revisión de tipos de datos, análisis de valores faltantes, imputación por mediana/moda o estrategias más robustas, escalamiento para modelos sensibles a la escala y separación estratificada entre entrenamiento y prueba. Se evitará la fuga de información usando únicamente variables disponibles en el momento clínico seleccionado.</w:t>
      </w:r>
    </w:p>
    <w:p>
      <w:pPr>
        <w:spacing w:after="40"/>
        <w:ind w:left="202" w:hanging="144"/>
        <w:jc w:val="both"/>
      </w:pPr>
      <w:r>
        <w:rPr>
          <w:rFonts w:ascii="Lato" w:hAnsi="Lato"/>
          <w:color w:val="00743D"/>
          <w:sz w:val="17"/>
        </w:rPr>
        <w:t xml:space="preserve">●  </w:t>
      </w:r>
      <w:r>
        <w:rPr>
          <w:rFonts w:ascii="Lato" w:hAnsi="Lato"/>
          <w:color w:val="424242"/>
          <w:sz w:val="18"/>
        </w:rPr>
        <w:t>Identificación de columnas con alto porcentaje de valores faltantes.</w:t>
      </w:r>
    </w:p>
    <w:p>
      <w:pPr>
        <w:spacing w:after="40"/>
        <w:ind w:left="202" w:hanging="144"/>
        <w:jc w:val="both"/>
      </w:pPr>
      <w:r>
        <w:rPr>
          <w:rFonts w:ascii="Lato" w:hAnsi="Lato"/>
          <w:color w:val="00743D"/>
          <w:sz w:val="17"/>
        </w:rPr>
        <w:t xml:space="preserve">●  </w:t>
      </w:r>
      <w:r>
        <w:rPr>
          <w:rFonts w:ascii="Lato" w:hAnsi="Lato"/>
          <w:color w:val="424242"/>
          <w:sz w:val="18"/>
        </w:rPr>
        <w:t>Imputación dentro de un Pipeline para evitar fuga de información.</w:t>
      </w:r>
    </w:p>
    <w:p>
      <w:pPr>
        <w:spacing w:after="40"/>
        <w:ind w:left="202" w:hanging="144"/>
        <w:jc w:val="both"/>
      </w:pPr>
      <w:r>
        <w:rPr>
          <w:rFonts w:ascii="Lato" w:hAnsi="Lato"/>
          <w:color w:val="00743D"/>
          <w:sz w:val="17"/>
        </w:rPr>
        <w:t xml:space="preserve">●  </w:t>
      </w:r>
      <w:r>
        <w:rPr>
          <w:rFonts w:ascii="Lato" w:hAnsi="Lato"/>
          <w:color w:val="424242"/>
          <w:sz w:val="18"/>
        </w:rPr>
        <w:t>Codificación y escalamiento cuando el modelo lo requiera.</w:t>
      </w:r>
    </w:p>
    <w:p>
      <w:pPr>
        <w:spacing w:after="40"/>
        <w:ind w:left="202" w:hanging="144"/>
        <w:jc w:val="both"/>
      </w:pPr>
      <w:r>
        <w:rPr>
          <w:rFonts w:ascii="Lato" w:hAnsi="Lato"/>
          <w:color w:val="00743D"/>
          <w:sz w:val="17"/>
        </w:rPr>
        <w:t xml:space="preserve">●  </w:t>
      </w:r>
      <w:r>
        <w:rPr>
          <w:rFonts w:ascii="Lato" w:hAnsi="Lato"/>
          <w:color w:val="424242"/>
          <w:sz w:val="18"/>
        </w:rPr>
        <w:t>Análisis de distribución de clases para justificar métricas y manejo de desbalance.</w:t>
      </w:r>
    </w:p>
    <w:p>
      <w:pPr>
        <w:spacing w:before="80" w:after="40"/>
        <w:jc w:val="left"/>
      </w:pPr>
      <w:r>
        <w:rPr>
          <w:rFonts w:ascii="Lato" w:hAnsi="Lato"/>
          <w:b/>
          <w:color w:val="002B5C"/>
          <w:sz w:val="19"/>
        </w:rPr>
        <w:t>C.  Modelos de clasificación</w:t>
      </w:r>
    </w:p>
    <w:p>
      <w:pPr>
        <w:spacing w:after="100" w:before="0" w:line="240" w:lineRule="auto"/>
        <w:jc w:val="both"/>
      </w:pPr>
      <w:r>
        <w:rPr>
          <w:rFonts w:ascii="Lato" w:hAnsi="Lato"/>
          <w:color w:val="424242"/>
          <w:sz w:val="18"/>
        </w:rPr>
        <w:t>Los modelos tentativos para la entrega final serán: DummyClassifier, Regresión Logística, SVM, Random Forest y Gradient Boosting. El proyecto final exige al menos cuatro métodos de clasificación; por ello, se usará DummyClassifier solo como línea base y no como uno de los cuatro modelos principales.</w:t>
      </w:r>
    </w:p>
    <w:p>
      <w:pPr>
        <w:spacing w:after="40"/>
        <w:ind w:left="202" w:hanging="144"/>
        <w:jc w:val="both"/>
      </w:pPr>
      <w:r>
        <w:rPr>
          <w:rFonts w:ascii="Lato" w:hAnsi="Lato"/>
          <w:color w:val="00743D"/>
          <w:sz w:val="17"/>
        </w:rPr>
        <w:t xml:space="preserve">●  </w:t>
      </w:r>
      <w:r>
        <w:rPr>
          <w:rFonts w:ascii="Lato" w:hAnsi="Lato"/>
          <w:color w:val="424242"/>
          <w:sz w:val="18"/>
        </w:rPr>
        <w:t>DummyClassifier: línea base mínima para comparar cualquier mejora real.</w:t>
      </w:r>
    </w:p>
    <w:p>
      <w:pPr>
        <w:spacing w:after="40"/>
        <w:ind w:left="202" w:hanging="144"/>
        <w:jc w:val="both"/>
      </w:pPr>
      <w:r>
        <w:rPr>
          <w:rFonts w:ascii="Lato" w:hAnsi="Lato"/>
          <w:color w:val="00743D"/>
          <w:sz w:val="17"/>
        </w:rPr>
        <w:t xml:space="preserve">●  </w:t>
      </w:r>
      <w:r>
        <w:rPr>
          <w:rFonts w:ascii="Lato" w:hAnsi="Lato"/>
          <w:color w:val="424242"/>
          <w:sz w:val="18"/>
        </w:rPr>
        <w:t>Regresión Logística: modelo lineal interpretable para referencia clínica inicial.</w:t>
      </w:r>
    </w:p>
    <w:p>
      <w:pPr>
        <w:spacing w:after="40"/>
        <w:ind w:left="202" w:hanging="144"/>
        <w:jc w:val="both"/>
      </w:pPr>
      <w:r>
        <w:rPr>
          <w:rFonts w:ascii="Lato" w:hAnsi="Lato"/>
          <w:color w:val="00743D"/>
          <w:sz w:val="17"/>
        </w:rPr>
        <w:t xml:space="preserve">●  </w:t>
      </w:r>
      <w:r>
        <w:rPr>
          <w:rFonts w:ascii="Lato" w:hAnsi="Lato"/>
          <w:color w:val="424242"/>
          <w:sz w:val="18"/>
        </w:rPr>
        <w:t>SVM: modelo de margen útil cuando la frontera de decisión no es lineal.</w:t>
      </w:r>
    </w:p>
    <w:p>
      <w:pPr>
        <w:spacing w:after="40"/>
        <w:ind w:left="202" w:hanging="144"/>
        <w:jc w:val="both"/>
      </w:pPr>
      <w:r>
        <w:rPr>
          <w:rFonts w:ascii="Lato" w:hAnsi="Lato"/>
          <w:color w:val="00743D"/>
          <w:sz w:val="17"/>
        </w:rPr>
        <w:t xml:space="preserve">●  </w:t>
      </w:r>
      <w:r>
        <w:rPr>
          <w:rFonts w:ascii="Lato" w:hAnsi="Lato"/>
          <w:color w:val="424242"/>
          <w:sz w:val="18"/>
        </w:rPr>
        <w:t>Random Forest: ensamble robusto ante relaciones no lineales y ruido.</w:t>
      </w:r>
    </w:p>
    <w:p>
      <w:pPr>
        <w:spacing w:after="40"/>
        <w:ind w:left="202" w:hanging="144"/>
        <w:jc w:val="both"/>
      </w:pPr>
      <w:r>
        <w:rPr>
          <w:rFonts w:ascii="Lato" w:hAnsi="Lato"/>
          <w:color w:val="00743D"/>
          <w:sz w:val="17"/>
        </w:rPr>
        <w:t xml:space="preserve">●  </w:t>
      </w:r>
      <w:r>
        <w:rPr>
          <w:rFonts w:ascii="Lato" w:hAnsi="Lato"/>
          <w:color w:val="424242"/>
          <w:sz w:val="18"/>
        </w:rPr>
        <w:t>XGBoost o LightGBM: modelo de boosting para comparar desempeño avanzado.</w:t>
      </w:r>
    </w:p>
    <w:p>
      <w:pPr>
        <w:spacing w:before="80" w:after="40"/>
        <w:jc w:val="left"/>
      </w:pPr>
      <w:r>
        <w:rPr>
          <w:rFonts w:ascii="Lato" w:hAnsi="Lato"/>
          <w:b/>
          <w:color w:val="002B5C"/>
          <w:sz w:val="19"/>
        </w:rPr>
        <w:t>D.  Estrategia de validación</w:t>
      </w:r>
    </w:p>
    <w:p>
      <w:pPr>
        <w:spacing w:after="100" w:before="0" w:line="240" w:lineRule="auto"/>
        <w:jc w:val="both"/>
      </w:pPr>
      <w:r>
        <w:rPr>
          <w:rFonts w:ascii="Lato" w:hAnsi="Lato"/>
          <w:color w:val="424242"/>
          <w:sz w:val="18"/>
        </w:rPr>
        <w:t>Se utilizará partición train/test estratificada y validación cruzada estratificada dentro del conjunto de entrenamiento. Para selección de hiperparámetros se aplicará GridSearchCV o RandomizedSearchCV, evitando usar el conjunto de prueba durante el ajuste.</w:t>
      </w:r>
    </w:p>
    <w:p>
      <w:pPr>
        <w:spacing w:before="160" w:after="120"/>
        <w:jc w:val="left"/>
      </w:pPr>
      <w:r>
        <w:rPr>
          <w:rFonts w:ascii="Lato" w:hAnsi="Lato"/>
          <w:b/>
          <w:color w:val="00743D"/>
          <w:sz w:val="24"/>
        </w:rPr>
        <w:t>4.  Experimentación preliminar</w:t>
      </w:r>
    </w:p>
    <w:p>
      <w:pPr>
        <w:spacing w:before="80" w:after="40"/>
        <w:jc w:val="left"/>
      </w:pPr>
      <w:r>
        <w:rPr>
          <w:rFonts w:ascii="Lato" w:hAnsi="Lato"/>
          <w:b/>
          <w:color w:val="00743D"/>
          <w:sz w:val="19"/>
        </w:rPr>
        <w:t>■  Setup experimental:</w:t>
      </w:r>
    </w:p>
    <w:p>
      <w:pPr>
        <w:spacing w:after="100" w:before="0" w:line="240" w:lineRule="auto"/>
        <w:jc w:val="both"/>
      </w:pPr>
      <w:r>
        <w:rPr>
          <w:rFonts w:ascii="Lato" w:hAnsi="Lato"/>
          <w:color w:val="424242"/>
          <w:sz w:val="18"/>
        </w:rPr>
        <w:t>El notebook preliminar debe demostrar que el grupo ya inició la experimentación. Para el avance parcial no es obligatorio tener resultados finales, pero sí una ejecución reproducible que cargue los datos, describa el problema y obtenga una primera línea base.</w:t>
      </w:r>
    </w:p>
    <w:p>
      <w:pPr>
        <w:spacing w:after="40"/>
        <w:ind w:left="202" w:hanging="144"/>
        <w:jc w:val="both"/>
      </w:pPr>
      <w:r>
        <w:rPr>
          <w:rFonts w:ascii="Lato" w:hAnsi="Lato"/>
          <w:color w:val="00743D"/>
          <w:sz w:val="17"/>
        </w:rPr>
        <w:t xml:space="preserve">●  </w:t>
      </w:r>
      <w:r>
        <w:rPr>
          <w:rFonts w:ascii="Lato" w:hAnsi="Lato"/>
          <w:color w:val="424242"/>
          <w:sz w:val="18"/>
        </w:rPr>
        <w:t>Carga del dataset con ucimlrepo o archivo local descargado desde UCI.</w:t>
      </w:r>
    </w:p>
    <w:p>
      <w:pPr>
        <w:spacing w:after="40"/>
        <w:ind w:left="202" w:hanging="144"/>
        <w:jc w:val="both"/>
      </w:pPr>
      <w:r>
        <w:rPr>
          <w:rFonts w:ascii="Lato" w:hAnsi="Lato"/>
          <w:color w:val="00743D"/>
          <w:sz w:val="17"/>
        </w:rPr>
        <w:t xml:space="preserve">●  </w:t>
      </w:r>
      <w:r>
        <w:rPr>
          <w:rFonts w:ascii="Lato" w:hAnsi="Lato"/>
          <w:color w:val="424242"/>
          <w:sz w:val="18"/>
        </w:rPr>
        <w:t>Exploración de dimensiones, tipos de variables y cantidad de valores faltantes.</w:t>
      </w:r>
    </w:p>
    <w:p>
      <w:pPr>
        <w:spacing w:after="40"/>
        <w:ind w:left="202" w:hanging="144"/>
        <w:jc w:val="both"/>
      </w:pPr>
      <w:r>
        <w:rPr>
          <w:rFonts w:ascii="Lato" w:hAnsi="Lato"/>
          <w:color w:val="00743D"/>
          <w:sz w:val="17"/>
        </w:rPr>
        <w:t xml:space="preserve">●  </w:t>
      </w:r>
      <w:r>
        <w:rPr>
          <w:rFonts w:ascii="Lato" w:hAnsi="Lato"/>
          <w:color w:val="424242"/>
          <w:sz w:val="18"/>
        </w:rPr>
        <w:t>Distribución de la variable objetivo y análisis del desbalance.</w:t>
      </w:r>
    </w:p>
    <w:p>
      <w:pPr>
        <w:spacing w:after="40"/>
        <w:ind w:left="202" w:hanging="144"/>
        <w:jc w:val="both"/>
      </w:pPr>
      <w:r>
        <w:rPr>
          <w:rFonts w:ascii="Lato" w:hAnsi="Lato"/>
          <w:color w:val="00743D"/>
          <w:sz w:val="17"/>
        </w:rPr>
        <w:t xml:space="preserve">●  </w:t>
      </w:r>
      <w:r>
        <w:rPr>
          <w:rFonts w:ascii="Lato" w:hAnsi="Lato"/>
          <w:color w:val="424242"/>
          <w:sz w:val="18"/>
        </w:rPr>
        <w:t>Pipeline inicial con imputación, escalamiento y modelo base.</w:t>
      </w:r>
    </w:p>
    <w:p>
      <w:pPr>
        <w:spacing w:after="40"/>
        <w:ind w:left="202" w:hanging="144"/>
        <w:jc w:val="both"/>
      </w:pPr>
      <w:r>
        <w:rPr>
          <w:rFonts w:ascii="Lato" w:hAnsi="Lato"/>
          <w:color w:val="00743D"/>
          <w:sz w:val="17"/>
        </w:rPr>
        <w:t xml:space="preserve">●  </w:t>
      </w:r>
      <w:r>
        <w:rPr>
          <w:rFonts w:ascii="Lato" w:hAnsi="Lato"/>
          <w:color w:val="424242"/>
          <w:sz w:val="18"/>
        </w:rPr>
        <w:t>Reporte preliminar de accuracy, precision, recall, F1, ROC-AUC y matriz de confusión.</w:t>
      </w:r>
    </w:p>
    <w:p>
      <w:pPr>
        <w:spacing w:before="80" w:after="40"/>
        <w:jc w:val="left"/>
      </w:pPr>
      <w:r>
        <w:rPr>
          <w:rFonts w:ascii="Lato" w:hAnsi="Lato"/>
          <w:b/>
          <w:color w:val="00743D"/>
          <w:sz w:val="19"/>
        </w:rPr>
        <w:t>■  Resultados esperados del avance:</w:t>
      </w:r>
    </w:p>
    <w:p>
      <w:pPr>
        <w:spacing w:after="100" w:before="0" w:line="240" w:lineRule="auto"/>
        <w:jc w:val="both"/>
      </w:pPr>
      <w:r>
        <w:rPr>
          <w:rFonts w:ascii="Lato" w:hAnsi="Lato"/>
          <w:color w:val="20B795"/>
          <w:sz w:val="18"/>
        </w:rPr>
        <w:t>La presentación parcial debe incluir tablas simples y gráficas interpretables: distribución del target, porcentaje de valores faltantes por variable, matriz de confusión del baseline y comparación preliminar entre dos o tres modelos. Todos los resultados deben interpretarse; no basta con mostrar métricas.</w:t>
      </w:r>
    </w:p>
    <w:p>
      <w:pPr>
        <w:spacing w:before="160" w:after="120"/>
        <w:jc w:val="left"/>
      </w:pPr>
      <w:r>
        <w:rPr>
          <w:rFonts w:ascii="Lato" w:hAnsi="Lato"/>
          <w:b/>
          <w:color w:val="00743D"/>
          <w:sz w:val="24"/>
        </w:rPr>
        <w:t>5.  Entregable del lunes</w:t>
      </w:r>
    </w:p>
    <w:p>
      <w:pPr>
        <w:spacing w:after="100" w:before="0" w:line="240" w:lineRule="auto"/>
        <w:jc w:val="both"/>
      </w:pPr>
      <w:r>
        <w:rPr>
          <w:rFonts w:ascii="Lato" w:hAnsi="Lato"/>
          <w:b/>
          <w:color w:val="000000"/>
          <w:sz w:val="18"/>
        </w:rPr>
        <w:t>Entregable del lunes:</w:t>
      </w:r>
      <w:r>
        <w:rPr>
          <w:rFonts w:ascii="Lato" w:hAnsi="Lato"/>
          <w:color w:val="424242"/>
          <w:sz w:val="18"/>
        </w:rPr>
        <w:t xml:space="preserve"> propuesta del proyecto en formato breve y notebook preliminar con experimentación inicial. La propuesta debe contener miembros del equipo, dataset, objetivo, artículos relevantes y modelos tentativos. El notebook debe acompañar la propuesta como evidencia técnica del avance.</w:t>
      </w:r>
    </w:p>
    <w:p>
      <w:pPr>
        <w:spacing w:after="40"/>
        <w:ind w:left="202" w:hanging="144"/>
        <w:jc w:val="both"/>
      </w:pPr>
      <w:r>
        <w:rPr>
          <w:rFonts w:ascii="Lato" w:hAnsi="Lato"/>
          <w:color w:val="00743D"/>
          <w:sz w:val="17"/>
        </w:rPr>
        <w:t xml:space="preserve">●  </w:t>
      </w:r>
      <w:r>
        <w:rPr>
          <w:rFonts w:ascii="Lato" w:hAnsi="Lato"/>
          <w:color w:val="424242"/>
          <w:sz w:val="18"/>
        </w:rPr>
        <w:t>Propuesta máxima de una hoja A4, si el profesor exige el formato estricto.</w:t>
      </w:r>
    </w:p>
    <w:p>
      <w:pPr>
        <w:spacing w:after="40"/>
        <w:ind w:left="202" w:hanging="144"/>
        <w:jc w:val="both"/>
      </w:pPr>
      <w:r>
        <w:rPr>
          <w:rFonts w:ascii="Lato" w:hAnsi="Lato"/>
          <w:color w:val="00743D"/>
          <w:sz w:val="17"/>
        </w:rPr>
        <w:t xml:space="preserve">●  </w:t>
      </w:r>
      <w:r>
        <w:rPr>
          <w:rFonts w:ascii="Lato" w:hAnsi="Lato"/>
          <w:color w:val="424242"/>
          <w:sz w:val="18"/>
        </w:rPr>
        <w:t>Notebook con carga de datos, EDA, preprocesamiento y primer baseline.</w:t>
      </w:r>
    </w:p>
    <w:p>
      <w:pPr>
        <w:spacing w:after="40"/>
        <w:ind w:left="202" w:hanging="144"/>
        <w:jc w:val="both"/>
      </w:pPr>
      <w:r>
        <w:rPr>
          <w:rFonts w:ascii="Lato" w:hAnsi="Lato"/>
          <w:color w:val="00743D"/>
          <w:sz w:val="17"/>
        </w:rPr>
        <w:t xml:space="preserve">●  </w:t>
      </w:r>
      <w:r>
        <w:rPr>
          <w:rFonts w:ascii="Lato" w:hAnsi="Lato"/>
          <w:color w:val="424242"/>
          <w:sz w:val="18"/>
        </w:rPr>
        <w:t>Repositorio con notebook, README y archivo requirements.txt.</w:t>
      </w:r>
    </w:p>
    <w:p>
      <w:pPr>
        <w:spacing w:after="40"/>
        <w:ind w:left="202" w:hanging="144"/>
        <w:jc w:val="both"/>
      </w:pPr>
      <w:r>
        <w:rPr>
          <w:rFonts w:ascii="Lato" w:hAnsi="Lato"/>
          <w:color w:val="00743D"/>
          <w:sz w:val="17"/>
        </w:rPr>
        <w:t xml:space="preserve">●  </w:t>
      </w:r>
      <w:r>
        <w:rPr>
          <w:rFonts w:ascii="Lato" w:hAnsi="Lato"/>
          <w:color w:val="424242"/>
          <w:sz w:val="18"/>
        </w:rPr>
        <w:t>Lista de referencias separando artículos que usan el mismo dataset y artículos relacionados al problema.</w:t>
      </w:r>
    </w:p>
    <w:p>
      <w:pPr>
        <w:spacing w:before="160" w:after="120"/>
        <w:jc w:val="left"/>
      </w:pPr>
      <w:r>
        <w:rPr>
          <w:rFonts w:ascii="Lato" w:hAnsi="Lato"/>
          <w:b/>
          <w:color w:val="00743D"/>
          <w:sz w:val="24"/>
        </w:rPr>
        <w:t>6.  Implicancias éticas</w:t>
      </w:r>
    </w:p>
    <w:p>
      <w:pPr>
        <w:spacing w:after="100" w:before="0" w:line="240" w:lineRule="auto"/>
        <w:jc w:val="both"/>
      </w:pPr>
      <w:r>
        <w:rPr>
          <w:rFonts w:ascii="Lato" w:hAnsi="Lato"/>
          <w:color w:val="424242"/>
          <w:sz w:val="18"/>
        </w:rPr>
        <w:t>El uso de modelos predictivos en salud puede generar riesgos si se interpreta como diagnóstico automático. El sistema debe entenderse como apoyo analítico y no como sustituto del juicio clínico. También deben considerarse privacidad de datos, sesgos por población de origen, errores en grupos subrepresentados, interpretabilidad limitada y consecuencias de falsos negativos.</w:t>
      </w:r>
    </w:p>
    <w:p>
      <w:pPr>
        <w:spacing w:after="40"/>
        <w:ind w:left="202" w:hanging="144"/>
        <w:jc w:val="both"/>
      </w:pPr>
      <w:r>
        <w:rPr>
          <w:rFonts w:ascii="Lato" w:hAnsi="Lato"/>
          <w:color w:val="00743D"/>
          <w:sz w:val="17"/>
        </w:rPr>
        <w:t xml:space="preserve">●  </w:t>
      </w:r>
      <w:r>
        <w:rPr>
          <w:rFonts w:ascii="Lato" w:hAnsi="Lato"/>
          <w:color w:val="424242"/>
          <w:sz w:val="18"/>
        </w:rPr>
        <w:t>Privacidad: usar únicamente datos anonimizados y no intentar reidentificación.</w:t>
      </w:r>
    </w:p>
    <w:p>
      <w:pPr>
        <w:spacing w:after="40"/>
        <w:ind w:left="202" w:hanging="144"/>
        <w:jc w:val="both"/>
      </w:pPr>
      <w:r>
        <w:rPr>
          <w:rFonts w:ascii="Lato" w:hAnsi="Lato"/>
          <w:color w:val="00743D"/>
          <w:sz w:val="17"/>
        </w:rPr>
        <w:t xml:space="preserve">●  </w:t>
      </w:r>
      <w:r>
        <w:rPr>
          <w:rFonts w:ascii="Lato" w:hAnsi="Lato"/>
          <w:color w:val="424242"/>
          <w:sz w:val="18"/>
        </w:rPr>
        <w:t>Sesgo: revisar desempeño por subgrupos clínicos si el dataset lo permite.</w:t>
      </w:r>
    </w:p>
    <w:p>
      <w:pPr>
        <w:spacing w:after="40"/>
        <w:ind w:left="202" w:hanging="144"/>
        <w:jc w:val="both"/>
      </w:pPr>
      <w:r>
        <w:rPr>
          <w:rFonts w:ascii="Lato" w:hAnsi="Lato"/>
          <w:color w:val="00743D"/>
          <w:sz w:val="17"/>
        </w:rPr>
        <w:t xml:space="preserve">●  </w:t>
      </w:r>
      <w:r>
        <w:rPr>
          <w:rFonts w:ascii="Lato" w:hAnsi="Lato"/>
          <w:color w:val="424242"/>
          <w:sz w:val="18"/>
        </w:rPr>
        <w:t>Seguridad clínica: priorizar recall cuando el costo de no detectar un caso de riesgo sea alto.</w:t>
      </w:r>
    </w:p>
    <w:p>
      <w:pPr>
        <w:spacing w:after="40"/>
        <w:ind w:left="202" w:hanging="144"/>
        <w:jc w:val="both"/>
      </w:pPr>
      <w:r>
        <w:rPr>
          <w:rFonts w:ascii="Lato" w:hAnsi="Lato"/>
          <w:color w:val="00743D"/>
          <w:sz w:val="17"/>
        </w:rPr>
        <w:t xml:space="preserve">●  </w:t>
      </w:r>
      <w:r>
        <w:rPr>
          <w:rFonts w:ascii="Lato" w:hAnsi="Lato"/>
          <w:color w:val="424242"/>
          <w:sz w:val="18"/>
        </w:rPr>
        <w:t>Transparencia: reportar limitaciones, variables usadas y métricas completas.</w:t>
      </w:r>
    </w:p>
    <w:p>
      <w:pPr>
        <w:spacing w:before="160" w:after="120"/>
        <w:jc w:val="left"/>
      </w:pPr>
      <w:r>
        <w:rPr>
          <w:rFonts w:ascii="Lato" w:hAnsi="Lato"/>
          <w:b/>
          <w:color w:val="00743D"/>
          <w:sz w:val="24"/>
        </w:rPr>
        <w:t>7.  Link del repositorio del trabajo</w:t>
      </w:r>
    </w:p>
    <w:p>
      <w:pPr>
        <w:spacing w:after="160"/>
        <w:jc w:val="left"/>
      </w:pPr>
      <w:r>
        <w:rPr>
          <w:rFonts w:ascii="Lato" w:hAnsi="Lato"/>
          <w:b/>
          <w:color w:val="424242"/>
          <w:sz w:val="18"/>
        </w:rPr>
        <w:t xml:space="preserve">Repositorio: </w:t>
      </w:r>
      <w:r>
        <w:rPr>
          <w:rFonts w:ascii="Lato" w:hAnsi="Lato"/>
          <w:color w:val="0562C8"/>
          <w:sz w:val="18"/>
          <w:u w:val="single"/>
        </w:rPr>
        <w:t>[Agregar link de GitHub del grupo]</w:t>
      </w:r>
    </w:p>
    <w:p>
      <w:pPr>
        <w:spacing w:after="80"/>
        <w:jc w:val="left"/>
      </w:pPr>
      <w:r>
        <w:rPr>
          <w:rFonts w:ascii="Lato" w:hAnsi="Lato"/>
          <w:b/>
          <w:color w:val="00743D"/>
          <w:sz w:val="18"/>
        </w:rPr>
        <w:t xml:space="preserve">Nota: </w:t>
      </w:r>
      <w:r>
        <w:rPr>
          <w:rFonts w:ascii="Lato" w:hAnsi="Lato"/>
          <w:color w:val="424242"/>
          <w:sz w:val="18"/>
        </w:rPr>
        <w:t>el repositorio debe contener notebook, README, dependencias y resultados preliminares reproducibles.</w:t>
      </w:r>
    </w:p>
    <w:p>
      <w:pPr>
        <w:spacing w:before="160" w:after="120"/>
        <w:jc w:val="left"/>
      </w:pPr>
      <w:r>
        <w:rPr>
          <w:rFonts w:ascii="Lato" w:hAnsi="Lato"/>
          <w:b/>
          <w:color w:val="00743D"/>
          <w:sz w:val="24"/>
        </w:rPr>
        <w:t>8.  Declaración de contribución de cada integrante</w:t>
      </w:r>
    </w:p>
    <w:p>
      <w:pPr>
        <w:spacing w:after="100" w:before="0" w:line="240" w:lineRule="auto"/>
        <w:jc w:val="both"/>
      </w:pPr>
      <w:r>
        <w:rPr>
          <w:rFonts w:ascii="Lato" w:hAnsi="Lato"/>
          <w:color w:val="424242"/>
          <w:sz w:val="18"/>
        </w:rPr>
        <w:t>Describir los aportes de cada integrante del proyecto. Ejemplo: Integrante 1: revisión de literatura; Integrante 2: carga y limpieza de datos; Integrante 3: modelos y validación; Integrante 4: redacción, repositorio y presentación.</w:t>
      </w:r>
    </w:p>
    <w:p>
      <w:pPr>
        <w:spacing w:before="160" w:after="120"/>
        <w:jc w:val="left"/>
      </w:pPr>
      <w:r>
        <w:rPr>
          <w:rFonts w:ascii="Lato" w:hAnsi="Lato"/>
          <w:b/>
          <w:color w:val="00743D"/>
          <w:sz w:val="24"/>
        </w:rPr>
        <w:t>9.  Declaración de uso de IA</w:t>
      </w:r>
    </w:p>
    <w:p>
      <w:pPr>
        <w:spacing w:after="100" w:before="0" w:line="240" w:lineRule="auto"/>
        <w:jc w:val="both"/>
      </w:pPr>
      <w:r>
        <w:rPr>
          <w:rFonts w:ascii="Lato" w:hAnsi="Lato"/>
          <w:color w:val="424242"/>
          <w:sz w:val="18"/>
        </w:rPr>
        <w:t>Se utilizó una herramienta de inteligencia artificial como apoyo para estructurar el informe, sintetizar ideas iniciales y organizar el avance parcial. Las referencias, resultados y decisiones metodológicas deberán ser revisados y validados manualmente por los integrantes del grupo.</w:t>
      </w:r>
    </w:p>
    <w:p>
      <w:pPr>
        <w:spacing w:before="160" w:after="120"/>
        <w:jc w:val="left"/>
      </w:pPr>
      <w:r>
        <w:rPr>
          <w:rFonts w:ascii="Lato" w:hAnsi="Lato"/>
          <w:b/>
          <w:color w:val="00743D"/>
          <w:sz w:val="24"/>
        </w:rPr>
        <w:t>10.  Referencias</w:t>
      </w:r>
    </w:p>
    <w:p>
      <w:pPr>
        <w:spacing w:after="60"/>
        <w:ind w:left="302" w:hanging="302"/>
        <w:jc w:val="both"/>
      </w:pPr>
      <w:r>
        <w:rPr>
          <w:rFonts w:ascii="Lato" w:hAnsi="Lato"/>
          <w:color w:val="424242"/>
          <w:sz w:val="16"/>
        </w:rPr>
        <w:t>[1].  S. E. Golovenkin, A. N. Gorban, E. M. Mirkes, V. A. Shulman, D. A. Rossiev, P. A. Shesternya, S. Yu. Nikulina, Yu. V. Orlova, and M. G. Dorrer, “Complications of myocardial infarction: a database for algorithm development and clinical studies,” GigaScience, vol. 9, no. 11, 2020.</w:t>
      </w:r>
    </w:p>
    <w:p>
      <w:pPr>
        <w:spacing w:after="60"/>
        <w:ind w:left="302" w:hanging="302"/>
        <w:jc w:val="both"/>
      </w:pPr>
      <w:r>
        <w:rPr>
          <w:rFonts w:ascii="Lato" w:hAnsi="Lato"/>
          <w:color w:val="424242"/>
          <w:sz w:val="16"/>
        </w:rPr>
        <w:t>[2].  İ. B. Yavru and S. Yılmaz Gündüz, “Predicting myocardial infarction complications and outcomes using deep neural network models,” Eskişehir Technical University Journal of Science and Technology A - Applied Sciences and Engineering, 2022.</w:t>
      </w:r>
    </w:p>
    <w:p>
      <w:pPr>
        <w:spacing w:after="60"/>
        <w:ind w:left="302" w:hanging="302"/>
        <w:jc w:val="both"/>
      </w:pPr>
      <w:r>
        <w:rPr>
          <w:rFonts w:ascii="Lato" w:hAnsi="Lato"/>
          <w:color w:val="424242"/>
          <w:sz w:val="16"/>
        </w:rPr>
        <w:t>[3].  G. S. M. Khamis et al., “Prediction of Myocardial Infarction Complications using Gradient Boosting,” Engineering, Technology &amp; Applied Science Research, vol. 14, no. 6, pp. 18550-18556, 2024.</w:t>
      </w:r>
    </w:p>
    <w:p>
      <w:pPr>
        <w:spacing w:after="60"/>
        <w:ind w:left="302" w:hanging="302"/>
        <w:jc w:val="both"/>
      </w:pPr>
      <w:r>
        <w:rPr>
          <w:rFonts w:ascii="Lato" w:hAnsi="Lato"/>
          <w:color w:val="424242"/>
          <w:sz w:val="16"/>
        </w:rPr>
        <w:t>[4].  F. Makhmudov, N. Ravshanov, D. Akhmedov, O. Pekos, D. Turimov, and Y.-I. Cho, “A Multitask Deep Learning Model for Predicting Myocardial Infarction Complications,” Bioengineering, vol. 12, no. 5, 2025.</w:t>
      </w:r>
    </w:p>
    <w:p>
      <w:pPr>
        <w:spacing w:after="60"/>
        <w:ind w:left="302" w:hanging="302"/>
        <w:jc w:val="both"/>
      </w:pPr>
      <w:r>
        <w:rPr>
          <w:rFonts w:ascii="Lato" w:hAnsi="Lato"/>
          <w:color w:val="424242"/>
          <w:sz w:val="16"/>
        </w:rPr>
        <w:t>[5].  R. Ghafari et al., “Prediction of the Fatal Acute Complications of Myocardial Infarction via Machine Learning Algorithms,” 2023.</w:t>
      </w:r>
    </w:p>
    <w:p>
      <w:pPr>
        <w:spacing w:after="60"/>
        <w:ind w:left="302" w:hanging="302"/>
        <w:jc w:val="both"/>
      </w:pPr>
      <w:r>
        <w:rPr>
          <w:rFonts w:ascii="Lato" w:hAnsi="Lato"/>
          <w:color w:val="424242"/>
          <w:sz w:val="16"/>
        </w:rPr>
        <w:t>[6].  B. Roudini, B. Khajehpiri, H. Abrishami Moghaddam, and M. Forouzanfar, “Machine learning predicts long-term mortality after acute myocardial infarction using routinely collected clinical data,” 2023.</w:t>
      </w:r>
    </w:p>
    <w:p>
      <w:pPr>
        <w:spacing w:before="160" w:after="80"/>
        <w:jc w:val="left"/>
      </w:pPr>
      <w:r>
        <w:rPr>
          <w:rFonts w:ascii="Lato" w:hAnsi="Lato"/>
          <w:color w:val="00A07A"/>
          <w:sz w:val="18"/>
          <w:u w:val="single"/>
        </w:rPr>
        <w:t>Nota importante:</w:t>
      </w:r>
    </w:p>
    <w:p>
      <w:pPr>
        <w:jc w:val="center"/>
      </w:pPr>
      <w:r>
        <w:rPr>
          <w:rFonts w:ascii="Lato" w:hAnsi="Lato"/>
          <w:b/>
          <w:color w:val="00A07A"/>
          <w:sz w:val="18"/>
        </w:rPr>
        <w:t>Figuras y tablas</w:t>
      </w:r>
    </w:p>
    <w:p>
      <w:pPr>
        <w:spacing w:after="40"/>
        <w:ind w:left="202" w:hanging="144"/>
        <w:jc w:val="both"/>
      </w:pPr>
      <w:r>
        <w:rPr>
          <w:rFonts w:ascii="Lato" w:hAnsi="Lato"/>
          <w:color w:val="00743D"/>
          <w:sz w:val="17"/>
        </w:rPr>
        <w:t xml:space="preserve">●  </w:t>
      </w:r>
      <w:r>
        <w:rPr>
          <w:rFonts w:ascii="Lato" w:hAnsi="Lato"/>
          <w:color w:val="20B795"/>
          <w:sz w:val="18"/>
        </w:rPr>
        <w:t>Cada figura debe poder comprenderse sin recurrir a párrafos externos.</w:t>
      </w:r>
    </w:p>
    <w:p>
      <w:pPr>
        <w:spacing w:after="40"/>
        <w:ind w:left="202" w:hanging="144"/>
        <w:jc w:val="both"/>
      </w:pPr>
      <w:r>
        <w:rPr>
          <w:rFonts w:ascii="Lato" w:hAnsi="Lato"/>
          <w:color w:val="00743D"/>
          <w:sz w:val="17"/>
        </w:rPr>
        <w:t xml:space="preserve">●  </w:t>
      </w:r>
      <w:r>
        <w:rPr>
          <w:rFonts w:ascii="Lato" w:hAnsi="Lato"/>
          <w:color w:val="20B795"/>
          <w:sz w:val="18"/>
        </w:rPr>
        <w:t>Todos los símbolos usados en ecuaciones deben ser definidos en el texto o en la leyenda.</w:t>
      </w:r>
    </w:p>
    <w:sectPr w:rsidR="00FC693F" w:rsidRPr="0006063C" w:rsidSect="00034616">
      <w:headerReference w:type="default" r:id="rId11"/>
      <w:footerReference w:type="default" r:id="rId12"/>
      <w:type w:val="continuous"/>
      <w:pgSz w:w="11906" w:h="16838"/>
      <w:pgMar w:top="1191" w:right="879" w:bottom="879" w:left="1106" w:header="567" w:footer="255"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ato" w:hAnsi="Lato"/>
        <w:b/>
        <w:color w:val="00743D"/>
        <w:sz w:val="18"/>
      </w:rPr>
      <w:fldChar w:fldCharType="begin"/>
      <w:instrText xml:space="preserve"> PAGE </w:instrText>
      <w:fldChar w:fldCharType="separate"/>
      <w:t>1</w:t>
      <w:fldChar w:fldCharType="end"/>
    </w:r>
    <w:r>
      <w:t xml:space="preserve">   </w:t>
    </w:r>
    <w:r>
      <w:drawing>
        <wp:inline xmlns:a="http://schemas.openxmlformats.org/drawingml/2006/main" xmlns:pic="http://schemas.openxmlformats.org/drawingml/2006/picture">
          <wp:extent cx="1508760" cy="909536"/>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1508760" cy="909536"/>
                  </a:xfrm>
                  <a:prstGeom prst="rect"/>
                </pic:spPr>
              </pic:pic>
            </a:graphicData>
          </a:graphic>
        </wp:inline>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ato" w:hAnsi="Lato"/>
        <w:b/>
        <w:color w:val="00743D"/>
        <w:sz w:val="18"/>
      </w:rPr>
      <w:fldChar w:fldCharType="begin"/>
      <w:instrText xml:space="preserve"> PAGE </w:instrText>
      <w:fldChar w:fldCharType="separate"/>
      <w:t>1</w:t>
      <w:fldChar w:fldCharType="end"/>
    </w:r>
    <w:r>
      <w:t xml:space="preserve">   </w:t>
    </w:r>
    <w:r>
      <w:drawing>
        <wp:inline xmlns:a="http://schemas.openxmlformats.org/drawingml/2006/main" xmlns:pic="http://schemas.openxmlformats.org/drawingml/2006/picture">
          <wp:extent cx="1508760" cy="909536"/>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1508760" cy="90953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7632"/>
          <w:tcBorders>
            <w:top w:val="nil"/>
            <w:left w:val="nil"/>
            <w:bottom w:val="nil"/>
            <w:right w:val="nil"/>
            <w:insideH w:val="nil"/>
            <w:insideV w:val="nil"/>
          </w:tcBorders>
          <w:vAlign w:val="center"/>
        </w:tcPr>
        <w:p>
          <w:pPr>
            <w:jc w:val="left"/>
          </w:pPr>
          <w:r>
            <w:rPr>
              <w:rFonts w:ascii="Lato" w:hAnsi="Lato"/>
              <w:b w:val="0"/>
              <w:color w:val="00A07A"/>
              <w:sz w:val="22"/>
            </w:rPr>
            <w:t>APRENDIZAJE AUTOMÁTICO: TEORÍA Y APLICACIONES (INF648)</w:t>
          </w:r>
        </w:p>
      </w:tc>
      <w:tc>
        <w:tcPr>
          <w:tcW w:type="dxa" w:w="2160"/>
          <w:tcBorders>
            <w:top w:val="nil"/>
            <w:left w:val="nil"/>
            <w:bottom w:val="nil"/>
            <w:right w:val="nil"/>
            <w:insideH w:val="nil"/>
            <w:insideV w:val="nil"/>
          </w:tcBorders>
          <w:vAlign w:val="center"/>
        </w:tcPr>
        <w:p>
          <w:pPr>
            <w:jc w:val="right"/>
          </w:pPr>
          <w:r>
            <w:drawing>
              <wp:inline xmlns:a="http://schemas.openxmlformats.org/drawingml/2006/main" xmlns:pic="http://schemas.openxmlformats.org/drawingml/2006/picture">
                <wp:extent cx="1325880" cy="573711"/>
                <wp:docPr id="1" name="Picture 1"/>
                <wp:cNvGraphicFramePr>
                  <a:graphicFrameLocks noChangeAspect="1"/>
                </wp:cNvGraphicFramePr>
                <a:graphic>
                  <a:graphicData uri="http://schemas.openxmlformats.org/drawingml/2006/picture">
                    <pic:pic>
                      <pic:nvPicPr>
                        <pic:cNvPr id="0" name="image2.jpg"/>
                        <pic:cNvPicPr/>
                      </pic:nvPicPr>
                      <pic:blipFill>
                        <a:blip r:embed="rId1"/>
                        <a:stretch>
                          <a:fillRect/>
                        </a:stretch>
                      </pic:blipFill>
                      <pic:spPr>
                        <a:xfrm>
                          <a:off x="0" y="0"/>
                          <a:ext cx="1325880" cy="573711"/>
                        </a:xfrm>
                        <a:prstGeom prst="rect"/>
                      </pic:spPr>
                    </pic:pic>
                  </a:graphicData>
                </a:graphic>
              </wp:inline>
            </w:drawing>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7632"/>
          <w:tcBorders>
            <w:top w:val="nil"/>
            <w:left w:val="nil"/>
            <w:bottom w:val="nil"/>
            <w:right w:val="nil"/>
            <w:insideH w:val="nil"/>
            <w:insideV w:val="nil"/>
          </w:tcBorders>
          <w:vAlign w:val="center"/>
        </w:tcPr>
        <w:p>
          <w:pPr>
            <w:jc w:val="left"/>
          </w:pPr>
          <w:r>
            <w:rPr>
              <w:rFonts w:ascii="Lato" w:hAnsi="Lato"/>
              <w:b w:val="0"/>
              <w:color w:val="00A07A"/>
              <w:sz w:val="22"/>
            </w:rPr>
            <w:t>APRENDIZAJE AUTOMÁTICO: TEORÍA Y APLICACIONES (INF648)</w:t>
          </w:r>
        </w:p>
      </w:tc>
      <w:tc>
        <w:tcPr>
          <w:tcW w:type="dxa" w:w="2160"/>
          <w:tcBorders>
            <w:top w:val="nil"/>
            <w:left w:val="nil"/>
            <w:bottom w:val="nil"/>
            <w:right w:val="nil"/>
            <w:insideH w:val="nil"/>
            <w:insideV w:val="nil"/>
          </w:tcBorders>
          <w:vAlign w:val="center"/>
        </w:tcPr>
        <w:p>
          <w:pPr>
            <w:jc w:val="right"/>
          </w:pPr>
          <w:r>
            <w:drawing>
              <wp:inline xmlns:a="http://schemas.openxmlformats.org/drawingml/2006/main" xmlns:pic="http://schemas.openxmlformats.org/drawingml/2006/picture">
                <wp:extent cx="1325880" cy="573711"/>
                <wp:docPr id="1" name="Picture 1"/>
                <wp:cNvGraphicFramePr>
                  <a:graphicFrameLocks noChangeAspect="1"/>
                </wp:cNvGraphicFramePr>
                <a:graphic>
                  <a:graphicData uri="http://schemas.openxmlformats.org/drawingml/2006/picture">
                    <pic:pic>
                      <pic:nvPicPr>
                        <pic:cNvPr id="0" name="image2.jpg"/>
                        <pic:cNvPicPr/>
                      </pic:nvPicPr>
                      <pic:blipFill>
                        <a:blip r:embed="rId1"/>
                        <a:stretch>
                          <a:fillRect/>
                        </a:stretch>
                      </pic:blipFill>
                      <pic:spPr>
                        <a:xfrm>
                          <a:off x="0" y="0"/>
                          <a:ext cx="1325880" cy="573711"/>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