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4382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aps/>
                <w:color w:val="585D64"/>
                <w:spacing w:val="20"/>
                <w:sz w:val="16"/>
                <w:szCs w:val="16"/>
              </w:rPr>
              <w:t xml:space="preserve">Percent complete, with holdback</w:t>
            </w:r>
          </w:p>
        </w:tc>
      </w:tr>
    </w:tbl>
    <w:p>
      <w:pPr>
        <w:pBdr>
          <w:bottom w:val="single" w:color="E8542B" w:sz="12" w:space="4"/>
        </w:pBdr>
        <w:spacing w:after="40" w:before="160"/>
      </w:pPr>
      <w:r>
        <w:rPr>
          <w:rFonts w:ascii="Arial" w:cs="Arial" w:eastAsia="Arial" w:hAnsi="Arial"/>
          <w:b/>
          <w:bCs/>
          <w:caps/>
          <w:color w:val="1B4E79"/>
          <w:sz w:val="40"/>
          <w:szCs w:val="40"/>
        </w:rPr>
        <w:t xml:space="preserve">Progress Billing / Draw</w:t>
      </w:r>
    </w:p>
    <w:p>
      <w:pPr>
        <w:spacing w:after="14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From (Subcontractor)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Claim number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To (General Contractor)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Billing period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Contract number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Original contract value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Approved change orders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Schedule of values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3100"/>
        <w:gridCol w:w="1550"/>
        <w:gridCol w:w="1100"/>
        <w:gridCol w:w="155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Description of work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Contract value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% complete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Completed to date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Previously billed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This claim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Claim summary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Subtotal — this claim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Less holdback (10%)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GST (5%)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Total due — this claim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85D64"/>
          <w:sz w:val="16"/>
          <w:szCs w:val="16"/>
        </w:rPr>
        <w:t xml:space="preserve">Holdback is retained per the applicable builders lien / prompt payment legislation and released on the terms of the contract. This claim reflects work completed to the date above and is supported by site records.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Subcontractor — name &amp; signature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Certified by (GC) — name &amp; signature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</w:t>
            </w:r>
          </w:p>
        </w:tc>
      </w:tr>
    </w:tbl>
    <w:p>
      <w:pPr>
        <w:pBdr>
          <w:top w:val="single" w:color="D5D3CA" w:sz="4" w:space="6"/>
        </w:pBdr>
        <w:spacing w:before="260"/>
        <w:jc w:val="center"/>
      </w:pPr>
      <w:r>
        <w:rPr>
          <w:rFonts w:ascii="Arial" w:cs="Arial" w:eastAsia="Arial" w:hAnsi="Arial"/>
          <w:color w:val="585D64"/>
          <w:sz w:val="14"/>
          <w:szCs w:val="14"/>
        </w:rPr>
        <w:t xml:space="preserve">Free template from SubTrade Software — field management built for trade subcontractors · subtradesoftware.com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eec4cd539e4ede634c94e1453c4411da392f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2026-07-24T03:37:07.354Z</dcterms:created>
  <dcterms:modified xsi:type="dcterms:W3CDTF">2026-07-24T03:37:07.354Z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