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4382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aps/>
                <w:color w:val="585D64"/>
                <w:spacing w:val="20"/>
                <w:sz w:val="16"/>
                <w:szCs w:val="16"/>
              </w:rPr>
              <w:t xml:space="preserve">Hours to the right job</w:t>
            </w:r>
          </w:p>
        </w:tc>
      </w:tr>
    </w:tbl>
    <w:p>
      <w:pPr>
        <w:pBdr>
          <w:bottom w:val="single" w:color="E8542B" w:sz="12" w:space="4"/>
        </w:pBdr>
        <w:spacing w:after="40" w:before="160"/>
      </w:pPr>
      <w:r>
        <w:rPr>
          <w:rFonts w:ascii="Arial" w:cs="Arial" w:eastAsia="Arial" w:hAnsi="Arial"/>
          <w:b/>
          <w:bCs/>
          <w:caps/>
          <w:color w:val="1B4E79"/>
          <w:sz w:val="40"/>
          <w:szCs w:val="40"/>
        </w:rPr>
        <w:t xml:space="preserve">Weekly Crew Timesheet</w:t>
      </w:r>
    </w:p>
    <w:p>
      <w:pPr>
        <w:spacing w:after="14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Company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Week ending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Project / job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Cost code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Crew hours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830"/>
        <w:gridCol w:w="830"/>
        <w:gridCol w:w="830"/>
        <w:gridCol w:w="830"/>
        <w:gridCol w:w="830"/>
        <w:gridCol w:w="830"/>
        <w:gridCol w:w="830"/>
        <w:gridCol w:w="995"/>
        <w:gridCol w:w="995"/>
      </w:tblGrid>
      <w:tr>
        <w:trPr>
          <w:tblHeader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Employee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Mon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Tue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Wed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Thu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Fri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Sat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Sun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Reg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OT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30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83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995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Total regular hours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Total overtime hours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Grand total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Notes (missed punches, site switches, corrections)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Prepared by — signature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Approved by — signature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</w:tr>
    </w:tbl>
    <w:p>
      <w:pPr>
        <w:pBdr>
          <w:top w:val="single" w:color="D5D3CA" w:sz="4" w:space="6"/>
        </w:pBdr>
        <w:spacing w:before="260"/>
        <w:jc w:val="center"/>
      </w:pPr>
      <w:r>
        <w:rPr>
          <w:rFonts w:ascii="Arial" w:cs="Arial" w:eastAsia="Arial" w:hAnsi="Arial"/>
          <w:color w:val="585D64"/>
          <w:sz w:val="14"/>
          <w:szCs w:val="14"/>
        </w:rPr>
        <w:t xml:space="preserve">Free template from SubTrade Software — field management built for trade subcontractors · subtradesoftware.com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eec4cd539e4ede634c94e1453c4411da392f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2026-07-24T03:37:07.334Z</dcterms:created>
  <dcterms:modified xsi:type="dcterms:W3CDTF">2026-07-24T03:37:07.334Z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