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9708" w14:textId="1ECFE203" w:rsidR="00A71115" w:rsidRPr="00A71115" w:rsidRDefault="00A71115" w:rsidP="00A71115">
      <w:pPr>
        <w:rPr>
          <w:lang w:val="en-US"/>
        </w:rPr>
      </w:pPr>
      <w:r>
        <w:rPr>
          <w:lang w:val="en-US"/>
        </w:rPr>
        <w:t>C</w:t>
      </w:r>
      <w:r w:rsidRPr="00A71115">
        <w:rPr>
          <w:lang w:val="en-US"/>
        </w:rPr>
        <w:t>onsecutively numbered</w:t>
      </w:r>
      <w:r>
        <w:rPr>
          <w:lang w:val="en-US"/>
        </w:rPr>
        <w:t xml:space="preserve"> slides:</w:t>
      </w:r>
    </w:p>
    <w:p w14:paraId="752AE618" w14:textId="2E364A3B" w:rsidR="0072290B" w:rsidRDefault="00A71115" w:rsidP="00A71115">
      <w:pPr>
        <w:pStyle w:val="Listenabsatz"/>
        <w:numPr>
          <w:ilvl w:val="0"/>
          <w:numId w:val="2"/>
        </w:numPr>
        <w:rPr>
          <w:lang w:val="en-US"/>
        </w:rPr>
      </w:pPr>
      <w:r w:rsidRPr="00A71115">
        <w:rPr>
          <w:lang w:val="en-US"/>
        </w:rPr>
        <w:t>Show Task for assignment and introduce group:</w:t>
      </w:r>
    </w:p>
    <w:p w14:paraId="73C5A0D7" w14:textId="77777777" w:rsidR="00C917B4" w:rsidRDefault="008C3572" w:rsidP="008C3572">
      <w:pPr>
        <w:ind w:left="360"/>
        <w:rPr>
          <w:lang w:val="en-US"/>
        </w:rPr>
      </w:pPr>
      <w:r>
        <w:rPr>
          <w:lang w:val="en-US"/>
        </w:rPr>
        <w:t>Hello everyone, today us, group 30, are going to show you what RMSE is and how it is used on a concrete example.</w:t>
      </w:r>
      <w:r w:rsidR="00C917B4">
        <w:rPr>
          <w:lang w:val="en-US"/>
        </w:rPr>
        <w:t xml:space="preserve"> </w:t>
      </w:r>
    </w:p>
    <w:p w14:paraId="2467390F" w14:textId="4F2C314F" w:rsidR="008C3572" w:rsidRDefault="00C917B4" w:rsidP="008C3572">
      <w:pPr>
        <w:ind w:left="360"/>
        <w:rPr>
          <w:lang w:val="en-US"/>
        </w:rPr>
      </w:pPr>
      <w:r>
        <w:rPr>
          <w:lang w:val="en-US"/>
        </w:rPr>
        <w:t>Furthermore, we are going to introduce you to</w:t>
      </w:r>
      <w:r w:rsidR="008C3572" w:rsidRPr="00A71115">
        <w:rPr>
          <w:lang w:val="en-US"/>
        </w:rPr>
        <w:t xml:space="preserve"> a research paper that uses RMSE</w:t>
      </w:r>
      <w:r>
        <w:rPr>
          <w:lang w:val="en-US"/>
        </w:rPr>
        <w:t xml:space="preserve"> as well as</w:t>
      </w:r>
      <w:r w:rsidR="008C3572" w:rsidRPr="00A71115">
        <w:rPr>
          <w:lang w:val="en-US"/>
        </w:rPr>
        <w:t xml:space="preserve"> present how and why RMSE is used in that</w:t>
      </w:r>
      <w:r w:rsidR="008C3572">
        <w:rPr>
          <w:lang w:val="en-US"/>
        </w:rPr>
        <w:t xml:space="preserve"> </w:t>
      </w:r>
      <w:r w:rsidR="008C3572" w:rsidRPr="00A71115">
        <w:rPr>
          <w:lang w:val="en-US"/>
        </w:rPr>
        <w:t>context.</w:t>
      </w:r>
    </w:p>
    <w:p w14:paraId="02F08F8D" w14:textId="6D6C8AA6" w:rsidR="008C3572" w:rsidRDefault="008C3572" w:rsidP="008C35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short agenda</w:t>
      </w:r>
    </w:p>
    <w:p w14:paraId="780FF22B" w14:textId="5EF998D3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We will start with the definition of RMSE</w:t>
      </w:r>
    </w:p>
    <w:p w14:paraId="2868C7DF" w14:textId="41E948B6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 xml:space="preserve">Go over to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simple example to explain the effect and usage </w:t>
      </w:r>
    </w:p>
    <w:p w14:paraId="2D97348D" w14:textId="4D60C1EE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Show you the concrete formula</w:t>
      </w:r>
    </w:p>
    <w:p w14:paraId="1B43A06E" w14:textId="6472F048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And finale go to the research paper in that RMSE is used.</w:t>
      </w:r>
    </w:p>
    <w:p w14:paraId="074FAF4F" w14:textId="77777777" w:rsidR="008C3572" w:rsidRPr="008C3572" w:rsidRDefault="008C3572" w:rsidP="008C3572">
      <w:pPr>
        <w:pStyle w:val="Listenabsatz"/>
        <w:rPr>
          <w:lang w:val="en-US"/>
        </w:rPr>
      </w:pPr>
    </w:p>
    <w:p w14:paraId="2DC4D3A6" w14:textId="20894DD9" w:rsidR="00A71115" w:rsidRDefault="00A71115" w:rsidP="00A7111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RMSE?</w:t>
      </w:r>
      <w:r w:rsidR="005F2210">
        <w:rPr>
          <w:lang w:val="en-US"/>
        </w:rPr>
        <w:t xml:space="preserve"> </w:t>
      </w:r>
    </w:p>
    <w:p w14:paraId="6E1F2A1F" w14:textId="3D956142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 xml:space="preserve">Root Mean Square Error (RMSE) is the standard deviation of the residuals (prediction errors). </w:t>
      </w:r>
    </w:p>
    <w:p w14:paraId="5CD5F988" w14:textId="3DB66742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Residuals are a measure of how far from the regression line data points are</w:t>
      </w:r>
      <w:r w:rsidR="005F2210" w:rsidRPr="00BF435A">
        <w:rPr>
          <w:lang w:val="en-US"/>
        </w:rPr>
        <w:t>.</w:t>
      </w:r>
    </w:p>
    <w:p w14:paraId="79C1AC48" w14:textId="60CB6F01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RMSE is a measure of how spread out these residuals are.</w:t>
      </w:r>
    </w:p>
    <w:p w14:paraId="0BEE1889" w14:textId="06CD80B6" w:rsidR="00A71115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In other words, it tells you how concentrated the data is around the line of best fit.</w:t>
      </w:r>
    </w:p>
    <w:p w14:paraId="66DD55A8" w14:textId="29B87ED0" w:rsidR="008C3572" w:rsidRDefault="00C917B4" w:rsidP="00C917B4">
      <w:pPr>
        <w:ind w:left="360"/>
        <w:rPr>
          <w:lang w:val="en-US"/>
        </w:rPr>
      </w:pPr>
      <w:r>
        <w:rPr>
          <w:lang w:val="en-US"/>
        </w:rPr>
        <w:t>[</w:t>
      </w:r>
      <w:r w:rsidRPr="005F2210">
        <w:rPr>
          <w:lang w:val="en-US"/>
        </w:rPr>
        <w:t>https://www.statisticshowto.com/probability-and-statistics/regression-analysis/rmse-root-mean-square-error</w:t>
      </w:r>
      <w:r>
        <w:rPr>
          <w:lang w:val="en-US"/>
        </w:rPr>
        <w:t>}</w:t>
      </w:r>
    </w:p>
    <w:p w14:paraId="338DA622" w14:textId="59F8FC69" w:rsidR="008C3572" w:rsidRDefault="008C3572" w:rsidP="00BF435A">
      <w:pPr>
        <w:pStyle w:val="Listenabsatz"/>
        <w:rPr>
          <w:lang w:val="en-US"/>
        </w:rPr>
      </w:pPr>
      <w:r>
        <w:rPr>
          <w:lang w:val="en-US"/>
        </w:rPr>
        <w:t>We got two examples here to give you a natural feeling for this:</w:t>
      </w:r>
    </w:p>
    <w:p w14:paraId="741A2A06" w14:textId="77777777" w:rsidR="008C3572" w:rsidRDefault="008C3572" w:rsidP="00BF435A">
      <w:pPr>
        <w:pStyle w:val="Listenabsatz"/>
        <w:rPr>
          <w:lang w:val="en-US"/>
        </w:rPr>
      </w:pPr>
    </w:p>
    <w:p w14:paraId="768066A3" w14:textId="77777777" w:rsidR="008C3572" w:rsidRDefault="008C3572" w:rsidP="008C3572">
      <w:pPr>
        <w:rPr>
          <w:lang w:val="en-US"/>
        </w:rPr>
      </w:pPr>
      <w:r>
        <w:rPr>
          <w:noProof/>
        </w:rPr>
        <w:drawing>
          <wp:inline distT="0" distB="0" distL="0" distR="0" wp14:anchorId="00B3616E" wp14:editId="22E07F59">
            <wp:extent cx="5760720" cy="2456180"/>
            <wp:effectExtent l="0" t="0" r="11430" b="127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FA86874-B639-49B2-AE7B-615A28544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91F488" w14:textId="26E4D645" w:rsidR="008C3572" w:rsidRDefault="008C3572" w:rsidP="008C35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88147F" wp14:editId="19823008">
            <wp:extent cx="5760720" cy="2459990"/>
            <wp:effectExtent l="0" t="0" r="11430" b="1651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CD914B6-466C-421F-9432-489899735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9E5122" w14:textId="5A64C796" w:rsidR="008C3572" w:rsidRDefault="008C3572" w:rsidP="008C3572">
      <w:pPr>
        <w:rPr>
          <w:lang w:val="en-US"/>
        </w:rPr>
      </w:pPr>
    </w:p>
    <w:p w14:paraId="30BF078F" w14:textId="3D7294F1" w:rsidR="00CA19CF" w:rsidRDefault="008C3572" w:rsidP="008C3572">
      <w:pPr>
        <w:rPr>
          <w:lang w:val="en-US"/>
        </w:rPr>
      </w:pPr>
      <w:r>
        <w:rPr>
          <w:lang w:val="en-US"/>
        </w:rPr>
        <w:t xml:space="preserve">The </w:t>
      </w:r>
      <w:r w:rsidR="00E45CDD">
        <w:rPr>
          <w:lang w:val="en-US"/>
        </w:rPr>
        <w:t xml:space="preserve">blue points are our observed data points while the </w:t>
      </w:r>
      <w:r>
        <w:rPr>
          <w:lang w:val="en-US"/>
        </w:rPr>
        <w:t>red line</w:t>
      </w:r>
      <w:r w:rsidR="00E45CDD">
        <w:rPr>
          <w:lang w:val="en-US"/>
        </w:rPr>
        <w:t xml:space="preserve"> is</w:t>
      </w:r>
      <w:r>
        <w:rPr>
          <w:lang w:val="en-US"/>
        </w:rPr>
        <w:t xml:space="preserve"> the hypothesis for our correlation</w:t>
      </w:r>
      <w:r w:rsidR="00E45CDD">
        <w:rPr>
          <w:lang w:val="en-US"/>
        </w:rPr>
        <w:t>. The RMSE now gives information in a single value on how big the spread between actual observed and forecasted data pair</w:t>
      </w:r>
      <w:r w:rsidR="00C917B4">
        <w:rPr>
          <w:lang w:val="en-US"/>
        </w:rPr>
        <w:t>s</w:t>
      </w:r>
      <w:r w:rsidR="001402C8">
        <w:rPr>
          <w:lang w:val="en-US"/>
        </w:rPr>
        <w:t xml:space="preserve"> is,</w:t>
      </w:r>
      <w:r w:rsidR="00E45CDD">
        <w:rPr>
          <w:lang w:val="en-US"/>
        </w:rPr>
        <w:t xml:space="preserve"> </w:t>
      </w:r>
      <w:r w:rsidR="001402C8">
        <w:rPr>
          <w:lang w:val="en-US"/>
        </w:rPr>
        <w:t>averaged over</w:t>
      </w:r>
      <w:r w:rsidR="00C917B4">
        <w:rPr>
          <w:lang w:val="en-US"/>
        </w:rPr>
        <w:t xml:space="preserve"> all pairs</w:t>
      </w:r>
      <w:r w:rsidR="00E45CDD">
        <w:rPr>
          <w:lang w:val="en-US"/>
        </w:rPr>
        <w:t>.</w:t>
      </w:r>
    </w:p>
    <w:p w14:paraId="4A3EC99E" w14:textId="569C0D4C" w:rsidR="00E45CDD" w:rsidRDefault="00E45CDD" w:rsidP="008C3572">
      <w:pPr>
        <w:rPr>
          <w:lang w:val="en-US"/>
        </w:rPr>
      </w:pPr>
      <w:r>
        <w:rPr>
          <w:lang w:val="en-US"/>
        </w:rPr>
        <w:t>The observed data points are fixed now, but we could easily change our hypothesis. On our concrete example we could check if a polynomial approach</w:t>
      </w:r>
      <w:r w:rsidR="00CA19CF">
        <w:rPr>
          <w:lang w:val="en-US"/>
        </w:rPr>
        <w:t xml:space="preserve"> of a third degree</w:t>
      </w:r>
      <w:r>
        <w:rPr>
          <w:lang w:val="en-US"/>
        </w:rPr>
        <w:t xml:space="preserve"> would result in better RMSE: </w:t>
      </w:r>
    </w:p>
    <w:p w14:paraId="1284B55C" w14:textId="3BB70536" w:rsidR="00CA19CF" w:rsidRDefault="00CA19CF" w:rsidP="008C3572">
      <w:pPr>
        <w:rPr>
          <w:lang w:val="en-US"/>
        </w:rPr>
      </w:pPr>
      <w:r>
        <w:rPr>
          <w:noProof/>
        </w:rPr>
        <w:drawing>
          <wp:inline distT="0" distB="0" distL="0" distR="0" wp14:anchorId="17CEC5FC" wp14:editId="32796D50">
            <wp:extent cx="5760720" cy="2459990"/>
            <wp:effectExtent l="0" t="0" r="11430" b="1651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49BABED6-B655-4AB7-B89E-5EA44EBEE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4FB1F8" w14:textId="70EBD1F8" w:rsidR="00CA19CF" w:rsidRPr="008C3572" w:rsidRDefault="00CA19CF" w:rsidP="006E405D">
      <w:pPr>
        <w:ind w:left="360"/>
        <w:rPr>
          <w:lang w:val="en-US"/>
        </w:rPr>
      </w:pPr>
      <w:r>
        <w:rPr>
          <w:lang w:val="en-US"/>
        </w:rPr>
        <w:t xml:space="preserve">We see, that the RMSE got a bit better. This </w:t>
      </w:r>
      <w:r w:rsidR="00C12DFA">
        <w:rPr>
          <w:lang w:val="en-US"/>
        </w:rPr>
        <w:t>may advance</w:t>
      </w:r>
      <w:r>
        <w:rPr>
          <w:lang w:val="en-US"/>
        </w:rPr>
        <w:t xml:space="preserve"> with the degree of our polynomial</w:t>
      </w:r>
      <w:r w:rsidR="006C0579">
        <w:rPr>
          <w:lang w:val="en-US"/>
        </w:rPr>
        <w:t>, until</w:t>
      </w:r>
      <w:r>
        <w:rPr>
          <w:lang w:val="en-US"/>
        </w:rPr>
        <w:t xml:space="preserve"> we hit the </w:t>
      </w:r>
      <w:r w:rsidR="006C0579">
        <w:rPr>
          <w:lang w:val="en-US"/>
        </w:rPr>
        <w:t xml:space="preserve">polynomial </w:t>
      </w:r>
      <w:r>
        <w:rPr>
          <w:lang w:val="en-US"/>
        </w:rPr>
        <w:t>degree of the number of datapoints</w:t>
      </w:r>
      <w:r w:rsidR="00C917B4">
        <w:rPr>
          <w:lang w:val="en-US"/>
        </w:rPr>
        <w:t xml:space="preserve"> (which is 46 in this case) </w:t>
      </w:r>
      <w:r w:rsidR="006C0579">
        <w:rPr>
          <w:lang w:val="en-US"/>
        </w:rPr>
        <w:t>At that point we</w:t>
      </w:r>
      <w:r w:rsidR="00C917B4">
        <w:rPr>
          <w:lang w:val="en-US"/>
        </w:rPr>
        <w:t xml:space="preserve"> will reach an RMSE of 0 as there will be no deviation between observed and predicted values.</w:t>
      </w:r>
      <w:r w:rsidR="0055291B">
        <w:rPr>
          <w:lang w:val="en-US"/>
        </w:rPr>
        <w:t xml:space="preserve"> </w:t>
      </w:r>
      <w:r w:rsidR="0055291B">
        <w:rPr>
          <w:lang w:val="en-US"/>
        </w:rPr>
        <w:t xml:space="preserve">At this point </w:t>
      </w:r>
      <w:r w:rsidR="006E405D">
        <w:rPr>
          <w:lang w:val="en-US"/>
        </w:rPr>
        <w:t>the meaning of RMSE is exposed</w:t>
      </w:r>
      <w:r w:rsidR="0055291B">
        <w:rPr>
          <w:lang w:val="en-US"/>
        </w:rPr>
        <w:t xml:space="preserve">. </w:t>
      </w:r>
      <w:r w:rsidR="006E405D">
        <w:rPr>
          <w:lang w:val="en-US"/>
        </w:rPr>
        <w:t>Used like this</w:t>
      </w:r>
      <w:r w:rsidR="0055291B">
        <w:rPr>
          <w:lang w:val="en-US"/>
        </w:rPr>
        <w:t xml:space="preserve"> the RMSE is a quality index on how good your prediction is in comparison to observed data.</w:t>
      </w:r>
      <w:r w:rsidR="006E405D">
        <w:rPr>
          <w:lang w:val="en-US"/>
        </w:rPr>
        <w:t xml:space="preserve"> </w:t>
      </w:r>
    </w:p>
    <w:p w14:paraId="60408029" w14:textId="72C203AD" w:rsidR="005F2210" w:rsidRDefault="005F2210" w:rsidP="005F22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RMSE used?</w:t>
      </w:r>
    </w:p>
    <w:p w14:paraId="6FB40F17" w14:textId="3A16C44C" w:rsidR="005F2210" w:rsidRDefault="006C0579" w:rsidP="005F2210">
      <w:pPr>
        <w:ind w:left="360"/>
        <w:rPr>
          <w:lang w:val="en-US"/>
        </w:rPr>
      </w:pPr>
      <w:r>
        <w:rPr>
          <w:lang w:val="en-US"/>
        </w:rPr>
        <w:t>As you now hopefully understood what RMSE is about we could talk about the appropriate formulas and suitable notations. A pretty easy and straight forward notation would be the following:</w:t>
      </w:r>
    </w:p>
    <w:p w14:paraId="55B0DE75" w14:textId="1B8ACF10" w:rsidR="00B171CA" w:rsidRDefault="00B171CA" w:rsidP="005F2210">
      <w:pPr>
        <w:ind w:left="360"/>
        <w:rPr>
          <w:lang w:val="en-US"/>
        </w:rPr>
      </w:pPr>
      <w:r>
        <w:rPr>
          <w:lang w:val="en-US"/>
        </w:rPr>
        <w:t>Short notation:</w:t>
      </w:r>
    </w:p>
    <w:p w14:paraId="3736641E" w14:textId="5A43780D" w:rsidR="00B171CA" w:rsidRPr="006C0579" w:rsidRDefault="00B171CA" w:rsidP="006C0579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(F</m:t>
                  </m:r>
                  <m:r>
                    <w:rPr>
                      <w:rFonts w:ascii="Cambria Math" w:hAnsi="Cambria Math"/>
                      <w:lang w:val="en-US"/>
                    </w:rPr>
                    <m:t>orecast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  <w:lang w:val="en-US"/>
                    </w:rPr>
                    <m:t>bserved</m:t>
                  </m:r>
                  <m:r>
                    <w:rPr>
                      <w:rFonts w:ascii="Cambria Math" w:hAnsi="Cambria Math"/>
                      <w:lang w:val="en-US"/>
                    </w:rPr>
                    <m:t>)²</m:t>
                  </m:r>
                </m:e>
              </m:acc>
            </m:e>
          </m:rad>
        </m:oMath>
      </m:oMathPara>
    </w:p>
    <w:p w14:paraId="69615E57" w14:textId="4AAAEDE7" w:rsidR="006C0579" w:rsidRPr="006C0579" w:rsidRDefault="006C0579" w:rsidP="006C0579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leads to the underlying basic formula:</w:t>
      </w:r>
    </w:p>
    <w:p w14:paraId="368CD6ED" w14:textId="47927FF3" w:rsidR="006C0579" w:rsidRDefault="006C0579" w:rsidP="005F2210">
      <w:pPr>
        <w:ind w:left="360"/>
        <w:rPr>
          <w:highlight w:val="yellow"/>
          <w:lang w:val="en-US"/>
        </w:rPr>
      </w:pPr>
    </w:p>
    <w:p w14:paraId="39F1C002" w14:textId="346234B5" w:rsidR="005F2210" w:rsidRPr="00BF435A" w:rsidRDefault="005F2210" w:rsidP="005F2210">
      <w:pPr>
        <w:ind w:left="360"/>
        <w:rPr>
          <w:highlight w:val="yellow"/>
          <w:lang w:val="en-US"/>
        </w:rPr>
      </w:pPr>
      <w:r w:rsidRPr="00BF435A">
        <w:rPr>
          <w:highlight w:val="yellow"/>
          <w:lang w:val="en-US"/>
        </w:rPr>
        <w:t>Classic way:</w:t>
      </w:r>
    </w:p>
    <w:p w14:paraId="53B27120" w14:textId="3C767CBA" w:rsidR="005F2210" w:rsidRPr="006E405D" w:rsidRDefault="00B171CA" w:rsidP="005F2210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89BCE54" w14:textId="2DC44ED2" w:rsidR="006E405D" w:rsidRPr="006767C3" w:rsidRDefault="006E405D" w:rsidP="005F2210">
      <w:pPr>
        <w:ind w:left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6767C3">
        <w:rPr>
          <w:rFonts w:eastAsiaTheme="minorEastAsia"/>
          <w:lang w:val="en-US"/>
        </w:rPr>
        <w:t>…</w:t>
      </w:r>
      <w:r w:rsidR="006767C3" w:rsidRPr="006767C3">
        <w:rPr>
          <w:rFonts w:eastAsiaTheme="minorEastAsia"/>
          <w:lang w:val="en-US"/>
        </w:rPr>
        <w:t xml:space="preserve"> forecasted data point </w:t>
      </w:r>
      <w:proofErr w:type="spellStart"/>
      <w:r w:rsidR="006767C3" w:rsidRPr="006767C3">
        <w:rPr>
          <w:rFonts w:eastAsiaTheme="minorEastAsia"/>
          <w:lang w:val="en-US"/>
        </w:rPr>
        <w:t>i</w:t>
      </w:r>
      <w:proofErr w:type="spellEnd"/>
    </w:p>
    <w:p w14:paraId="72B29C02" w14:textId="06E9EA3C" w:rsidR="006767C3" w:rsidRPr="006767C3" w:rsidRDefault="006767C3" w:rsidP="005F2210">
      <w:pPr>
        <w:ind w:left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6767C3">
        <w:rPr>
          <w:rFonts w:eastAsiaTheme="minorEastAsia"/>
          <w:lang w:val="en-US"/>
        </w:rPr>
        <w:t xml:space="preserve">… observed data point </w:t>
      </w:r>
      <w:proofErr w:type="spellStart"/>
      <w:r w:rsidRPr="006767C3">
        <w:rPr>
          <w:rFonts w:eastAsiaTheme="minorEastAsia"/>
          <w:lang w:val="en-US"/>
        </w:rPr>
        <w:t>i</w:t>
      </w:r>
      <w:proofErr w:type="spellEnd"/>
    </w:p>
    <w:p w14:paraId="4BC80276" w14:textId="1E43CBFD" w:rsidR="006767C3" w:rsidRDefault="006767C3" w:rsidP="005F2210">
      <w:pPr>
        <w:ind w:left="3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N…</m:t>
        </m:r>
      </m:oMath>
      <w:r w:rsidRPr="006767C3">
        <w:rPr>
          <w:rFonts w:eastAsiaTheme="minorEastAsia"/>
          <w:lang w:val="en-US"/>
        </w:rPr>
        <w:t xml:space="preserve"> number of data pairs</w:t>
      </w:r>
    </w:p>
    <w:p w14:paraId="29F55E56" w14:textId="1C0D46D9" w:rsidR="006767C3" w:rsidRPr="006767C3" w:rsidRDefault="006767C3" w:rsidP="005F22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hint: It doesn’t matter if you </w:t>
      </w:r>
      <w:proofErr w:type="spellStart"/>
      <w:r>
        <w:rPr>
          <w:rFonts w:eastAsiaTheme="minorEastAsia"/>
          <w:lang w:val="en-US"/>
        </w:rPr>
        <w:t>substract</w:t>
      </w:r>
      <w:proofErr w:type="spellEnd"/>
      <w:r>
        <w:rPr>
          <w:rFonts w:eastAsiaTheme="minorEastAsia"/>
          <w:lang w:val="en-US"/>
        </w:rPr>
        <w:t xml:space="preserve"> forecast from observed or the other way around as the result is squared anyway.</w:t>
      </w:r>
    </w:p>
    <w:p w14:paraId="22C040D1" w14:textId="77777777" w:rsidR="006C0579" w:rsidRPr="005F2210" w:rsidRDefault="006C0579" w:rsidP="005F2210">
      <w:pPr>
        <w:ind w:left="360"/>
        <w:rPr>
          <w:rFonts w:eastAsiaTheme="minorEastAsia"/>
          <w:sz w:val="28"/>
          <w:szCs w:val="28"/>
          <w:lang w:val="en-US"/>
        </w:rPr>
      </w:pPr>
    </w:p>
    <w:p w14:paraId="1DD282B6" w14:textId="2740E52B" w:rsidR="005F2210" w:rsidRPr="006C0579" w:rsidRDefault="00B171CA" w:rsidP="005F2210">
      <w:pPr>
        <w:ind w:left="360"/>
        <w:rPr>
          <w:rFonts w:eastAsiaTheme="minorEastAsia"/>
          <w:strike/>
          <w:lang w:val="en-US"/>
        </w:rPr>
      </w:pPr>
      <w:r w:rsidRPr="006C0579">
        <w:rPr>
          <w:rFonts w:eastAsiaTheme="minorEastAsia"/>
          <w:strike/>
          <w:lang w:val="en-US"/>
        </w:rPr>
        <w:t>Using standard deviation:</w:t>
      </w:r>
    </w:p>
    <w:p w14:paraId="7FA45831" w14:textId="7301136A" w:rsidR="00B171CA" w:rsidRPr="006C0579" w:rsidRDefault="00B171CA" w:rsidP="005F2210">
      <w:pPr>
        <w:ind w:left="360"/>
        <w:rPr>
          <w:rFonts w:eastAsiaTheme="minorEastAsia"/>
          <w:strike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trike/>
              <w:lang w:val="en-US"/>
            </w:rPr>
            <m:t>σ</m:t>
          </m:r>
        </m:oMath>
      </m:oMathPara>
    </w:p>
    <w:p w14:paraId="0B52D0FB" w14:textId="52F034B5" w:rsidR="00B171CA" w:rsidRPr="006C0579" w:rsidRDefault="00B171CA" w:rsidP="005F2210">
      <w:pPr>
        <w:ind w:left="360"/>
        <w:rPr>
          <w:rFonts w:eastAsiaTheme="minorEastAsia"/>
          <w:strike/>
          <w:lang w:val="en-US"/>
        </w:rPr>
      </w:pPr>
      <w:r w:rsidRPr="006C0579">
        <w:rPr>
          <w:rFonts w:eastAsiaTheme="minorEastAsia"/>
          <w:strike/>
          <w:lang w:val="en-US"/>
        </w:rPr>
        <w:t>r … correlation coefficient</w:t>
      </w:r>
    </w:p>
    <w:p w14:paraId="5FC7C0D5" w14:textId="6E1D4822" w:rsidR="005F2210" w:rsidRPr="006767C3" w:rsidRDefault="00B171CA" w:rsidP="006767C3">
      <w:pPr>
        <w:ind w:left="360"/>
        <w:rPr>
          <w:rFonts w:eastAsiaTheme="minorEastAsia"/>
          <w:strike/>
          <w:lang w:val="en-US"/>
        </w:rPr>
      </w:pPr>
      <m:oMath>
        <m:r>
          <w:rPr>
            <w:rFonts w:ascii="Cambria Math" w:eastAsiaTheme="minorEastAsia" w:hAnsi="Cambria Math"/>
            <w:strike/>
            <w:lang w:val="en-US"/>
          </w:rPr>
          <m:t>σ</m:t>
        </m:r>
      </m:oMath>
      <w:r w:rsidR="00BF435A" w:rsidRPr="006C0579">
        <w:rPr>
          <w:rFonts w:eastAsiaTheme="minorEastAsia"/>
          <w:strike/>
          <w:lang w:val="en-US"/>
        </w:rPr>
        <w:t xml:space="preserve"> … standard deviation</w:t>
      </w:r>
    </w:p>
    <w:p w14:paraId="08B569C0" w14:textId="6C149F7C" w:rsidR="006767C3" w:rsidRDefault="006C0579" w:rsidP="006767C3">
      <w:pPr>
        <w:ind w:left="360"/>
        <w:rPr>
          <w:lang w:val="en-US"/>
        </w:rPr>
      </w:pPr>
      <w:r>
        <w:rPr>
          <w:lang w:val="en-US"/>
        </w:rPr>
        <w:t>This is how RMSE is used.</w:t>
      </w:r>
      <w:r w:rsidR="0055291B">
        <w:rPr>
          <w:lang w:val="en-US"/>
        </w:rPr>
        <w:t xml:space="preserve"> </w:t>
      </w:r>
    </w:p>
    <w:p w14:paraId="503C6CD5" w14:textId="7816CF59" w:rsidR="006767C3" w:rsidRDefault="006767C3" w:rsidP="006767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 example</w:t>
      </w:r>
    </w:p>
    <w:p w14:paraId="2322A175" w14:textId="77777777" w:rsidR="006767C3" w:rsidRDefault="006767C3" w:rsidP="006767C3">
      <w:pPr>
        <w:ind w:left="360"/>
        <w:rPr>
          <w:lang w:val="en-US"/>
        </w:rPr>
      </w:pPr>
      <w:r>
        <w:rPr>
          <w:lang w:val="en-US"/>
        </w:rPr>
        <w:t xml:space="preserve">Our concrete example paper goes by the name: </w:t>
      </w:r>
    </w:p>
    <w:p w14:paraId="6BAFBB22" w14:textId="6AB5F94D" w:rsidR="00C01EAD" w:rsidRDefault="006767C3" w:rsidP="00C01EAD">
      <w:pPr>
        <w:ind w:left="360"/>
        <w:rPr>
          <w:lang w:val="en-US"/>
        </w:rPr>
      </w:pPr>
      <w:r w:rsidRPr="006767C3">
        <w:rPr>
          <w:lang w:val="en-US"/>
        </w:rPr>
        <w:t>Hybrid Artificial Intelligence Approaches for</w:t>
      </w:r>
      <w:r>
        <w:rPr>
          <w:lang w:val="en-US"/>
        </w:rPr>
        <w:t xml:space="preserve"> </w:t>
      </w:r>
      <w:r w:rsidRPr="006767C3">
        <w:rPr>
          <w:lang w:val="en-US"/>
        </w:rPr>
        <w:t>Predicting Buckling Damage of Steel Columns</w:t>
      </w:r>
      <w:r>
        <w:rPr>
          <w:lang w:val="en-US"/>
        </w:rPr>
        <w:t xml:space="preserve"> </w:t>
      </w:r>
      <w:r w:rsidRPr="006767C3">
        <w:rPr>
          <w:lang w:val="en-US"/>
        </w:rPr>
        <w:t>Under Axial Compression</w:t>
      </w:r>
      <w:r>
        <w:rPr>
          <w:lang w:val="en-US"/>
        </w:rPr>
        <w:t>. We will quickly go over the two main contents of this paper:</w:t>
      </w:r>
    </w:p>
    <w:p w14:paraId="4FAAE8E8" w14:textId="77777777" w:rsidR="00C01EAD" w:rsidRPr="006767C3" w:rsidRDefault="00C01EAD" w:rsidP="00C01EAD">
      <w:pPr>
        <w:pStyle w:val="Listenabsatz"/>
        <w:numPr>
          <w:ilvl w:val="0"/>
          <w:numId w:val="5"/>
        </w:numPr>
        <w:rPr>
          <w:lang w:val="en-US"/>
        </w:rPr>
      </w:pPr>
      <w:r w:rsidRPr="006767C3">
        <w:rPr>
          <w:lang w:val="en-US"/>
        </w:rPr>
        <w:t>Hybrid Artificial Intelligence Approaches</w:t>
      </w:r>
    </w:p>
    <w:p w14:paraId="03814538" w14:textId="528EE0A0" w:rsidR="006767C3" w:rsidRDefault="006767C3" w:rsidP="006767C3">
      <w:pPr>
        <w:pStyle w:val="Listenabsatz"/>
        <w:numPr>
          <w:ilvl w:val="0"/>
          <w:numId w:val="5"/>
        </w:numPr>
        <w:rPr>
          <w:lang w:val="en-US"/>
        </w:rPr>
      </w:pPr>
      <w:r w:rsidRPr="006767C3">
        <w:rPr>
          <w:lang w:val="en-US"/>
        </w:rPr>
        <w:t>Predicting Buckling Damage of Steel Columns</w:t>
      </w:r>
      <w:r>
        <w:rPr>
          <w:lang w:val="en-US"/>
        </w:rPr>
        <w:t xml:space="preserve"> </w:t>
      </w:r>
      <w:r w:rsidRPr="006767C3">
        <w:rPr>
          <w:lang w:val="en-US"/>
        </w:rPr>
        <w:t>Under Axial Compression</w:t>
      </w:r>
    </w:p>
    <w:p w14:paraId="06342F64" w14:textId="2A6D84C0" w:rsidR="006767C3" w:rsidRDefault="006767C3" w:rsidP="006767C3">
      <w:pPr>
        <w:ind w:left="360"/>
        <w:rPr>
          <w:lang w:val="en-US"/>
        </w:rPr>
      </w:pPr>
      <w:r>
        <w:rPr>
          <w:lang w:val="en-US"/>
        </w:rPr>
        <w:t>We will start with the last part to start smoothly:</w:t>
      </w:r>
    </w:p>
    <w:p w14:paraId="31526050" w14:textId="7744225F" w:rsidR="006767C3" w:rsidRPr="006767C3" w:rsidRDefault="006767C3" w:rsidP="006767C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F278AF" wp14:editId="017D655E">
            <wp:extent cx="1533906" cy="2905125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0927" cy="2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AD" w:rsidRPr="00C01EAD">
        <w:rPr>
          <w:noProof/>
        </w:rPr>
        <w:t xml:space="preserve"> </w:t>
      </w:r>
      <w:r w:rsidR="00C01EAD">
        <w:rPr>
          <w:noProof/>
        </w:rPr>
        <w:drawing>
          <wp:inline distT="0" distB="0" distL="0" distR="0" wp14:anchorId="0BE79226" wp14:editId="4DDE6431">
            <wp:extent cx="3505200" cy="3209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5C25" w14:textId="5190D275" w:rsidR="006767C3" w:rsidRPr="006767C3" w:rsidRDefault="00C01EAD" w:rsidP="006767C3">
      <w:pPr>
        <w:pStyle w:val="Listenabsatz"/>
        <w:rPr>
          <w:lang w:val="en-US"/>
        </w:rPr>
      </w:pPr>
      <w:r w:rsidRPr="00C01EAD">
        <w:rPr>
          <w:noProof/>
          <w:lang w:val="en-US"/>
        </w:rPr>
        <w:drawing>
          <wp:inline distT="0" distB="0" distL="0" distR="0" wp14:anchorId="29B69DDF" wp14:editId="2CB331CE">
            <wp:extent cx="2628848" cy="5248275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0" cy="525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7C3" w:rsidRPr="006767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C18"/>
    <w:multiLevelType w:val="hybridMultilevel"/>
    <w:tmpl w:val="8B802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004D9"/>
    <w:multiLevelType w:val="hybridMultilevel"/>
    <w:tmpl w:val="E3387E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614"/>
    <w:multiLevelType w:val="hybridMultilevel"/>
    <w:tmpl w:val="58926B2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5E8D"/>
    <w:multiLevelType w:val="hybridMultilevel"/>
    <w:tmpl w:val="A6C8BC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0760"/>
    <w:multiLevelType w:val="hybridMultilevel"/>
    <w:tmpl w:val="4344F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55"/>
    <w:rsid w:val="00024C7D"/>
    <w:rsid w:val="001402C8"/>
    <w:rsid w:val="003D238B"/>
    <w:rsid w:val="003E4ADF"/>
    <w:rsid w:val="0055291B"/>
    <w:rsid w:val="005F2210"/>
    <w:rsid w:val="006767C3"/>
    <w:rsid w:val="006C0579"/>
    <w:rsid w:val="006E405D"/>
    <w:rsid w:val="0072290B"/>
    <w:rsid w:val="008C3572"/>
    <w:rsid w:val="008C56CD"/>
    <w:rsid w:val="008E1755"/>
    <w:rsid w:val="009744CC"/>
    <w:rsid w:val="00A71115"/>
    <w:rsid w:val="00B171CA"/>
    <w:rsid w:val="00BF435A"/>
    <w:rsid w:val="00C01EAD"/>
    <w:rsid w:val="00C12DFA"/>
    <w:rsid w:val="00C917B4"/>
    <w:rsid w:val="00CA19CF"/>
    <w:rsid w:val="00E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708D"/>
  <w15:chartTrackingRefBased/>
  <w15:docId w15:val="{FD1BEAE7-B872-42ED-8FC0-38CD39A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11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F4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</a:t>
            </a:r>
            <a:r>
              <a:rPr lang="de-DE" sz="1800" baseline="0"/>
              <a:t> - dense correlation</a:t>
            </a:r>
            <a:endParaRPr lang="de-DE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168979882174396E-2"/>
          <c:y val="0.16595078299776286"/>
          <c:w val="0.88697976682403179"/>
          <c:h val="0.63537670207331465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Tabelle1!$E$4</c:f>
              <c:strCache>
                <c:ptCount val="1"/>
                <c:pt idx="0">
                  <c:v>RMSE = 0,295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7258502409421044"/>
                  <c:y val="-5.598531052284441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Tabelle1!$B$2:$B$47</c:f>
              <c:numCache>
                <c:formatCode>General</c:formatCode>
                <c:ptCount val="46"/>
                <c:pt idx="0">
                  <c:v>0.8</c:v>
                </c:pt>
                <c:pt idx="1">
                  <c:v>1.3</c:v>
                </c:pt>
                <c:pt idx="2">
                  <c:v>1.3</c:v>
                </c:pt>
                <c:pt idx="3">
                  <c:v>1.7</c:v>
                </c:pt>
                <c:pt idx="4">
                  <c:v>1.6</c:v>
                </c:pt>
                <c:pt idx="5">
                  <c:v>2.1</c:v>
                </c:pt>
                <c:pt idx="6">
                  <c:v>2.6</c:v>
                </c:pt>
                <c:pt idx="7">
                  <c:v>2.6</c:v>
                </c:pt>
                <c:pt idx="8">
                  <c:v>2.2000000000000002</c:v>
                </c:pt>
                <c:pt idx="9">
                  <c:v>2.7</c:v>
                </c:pt>
                <c:pt idx="10">
                  <c:v>3</c:v>
                </c:pt>
                <c:pt idx="11">
                  <c:v>2.9</c:v>
                </c:pt>
                <c:pt idx="12">
                  <c:v>3.6</c:v>
                </c:pt>
                <c:pt idx="13">
                  <c:v>4</c:v>
                </c:pt>
                <c:pt idx="14">
                  <c:v>3.9</c:v>
                </c:pt>
                <c:pt idx="15">
                  <c:v>4.3</c:v>
                </c:pt>
                <c:pt idx="16">
                  <c:v>3.9</c:v>
                </c:pt>
                <c:pt idx="17">
                  <c:v>4.5999999999999996</c:v>
                </c:pt>
                <c:pt idx="18">
                  <c:v>4.2</c:v>
                </c:pt>
                <c:pt idx="19">
                  <c:v>5.3</c:v>
                </c:pt>
                <c:pt idx="20">
                  <c:v>5.0999999999999996</c:v>
                </c:pt>
                <c:pt idx="21">
                  <c:v>5</c:v>
                </c:pt>
                <c:pt idx="22">
                  <c:v>5.4</c:v>
                </c:pt>
                <c:pt idx="23">
                  <c:v>5.2</c:v>
                </c:pt>
                <c:pt idx="24">
                  <c:v>6.3</c:v>
                </c:pt>
                <c:pt idx="25">
                  <c:v>5.9</c:v>
                </c:pt>
                <c:pt idx="26">
                  <c:v>6.3</c:v>
                </c:pt>
                <c:pt idx="27">
                  <c:v>6</c:v>
                </c:pt>
                <c:pt idx="28">
                  <c:v>6.7</c:v>
                </c:pt>
                <c:pt idx="29">
                  <c:v>7.3</c:v>
                </c:pt>
                <c:pt idx="30">
                  <c:v>7.3</c:v>
                </c:pt>
                <c:pt idx="31">
                  <c:v>7</c:v>
                </c:pt>
                <c:pt idx="32">
                  <c:v>6.9</c:v>
                </c:pt>
                <c:pt idx="33">
                  <c:v>7.8</c:v>
                </c:pt>
                <c:pt idx="34">
                  <c:v>7.6</c:v>
                </c:pt>
                <c:pt idx="35">
                  <c:v>8.1999999999999993</c:v>
                </c:pt>
                <c:pt idx="36">
                  <c:v>8</c:v>
                </c:pt>
                <c:pt idx="37">
                  <c:v>8.6</c:v>
                </c:pt>
                <c:pt idx="38">
                  <c:v>7.9</c:v>
                </c:pt>
                <c:pt idx="39">
                  <c:v>9.3000000000000007</c:v>
                </c:pt>
                <c:pt idx="40">
                  <c:v>8.9</c:v>
                </c:pt>
                <c:pt idx="41">
                  <c:v>9</c:v>
                </c:pt>
                <c:pt idx="42">
                  <c:v>9.6</c:v>
                </c:pt>
                <c:pt idx="43">
                  <c:v>9.1</c:v>
                </c:pt>
                <c:pt idx="44">
                  <c:v>9.8000000000000007</c:v>
                </c:pt>
                <c:pt idx="45">
                  <c:v>10.199999999999999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BB-4897-AD7E-BC84B56BD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567416"/>
        <c:axId val="439570696"/>
      </c:scatterChart>
      <c:valAx>
        <c:axId val="43956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570696"/>
        <c:crosses val="autoZero"/>
        <c:crossBetween val="midCat"/>
      </c:valAx>
      <c:valAx>
        <c:axId val="43957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567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72729016511824907"/>
          <c:y val="0.68924427362815421"/>
          <c:w val="0.22284193642461358"/>
          <c:h val="9.1738448801282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 - spread correlation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602618890269933E-2"/>
          <c:y val="0.16650953984287317"/>
          <c:w val="0.88940165485268785"/>
          <c:h val="0.71584718576844564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Tabelle1!$J$4</c:f>
              <c:strCache>
                <c:ptCount val="1"/>
                <c:pt idx="0">
                  <c:v>RMSE = 1,94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8165073115860518"/>
                  <c:y val="-7.47917674462091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Tabelle1!$G$2:$G$47</c:f>
              <c:numCache>
                <c:formatCode>General</c:formatCode>
                <c:ptCount val="46"/>
                <c:pt idx="0">
                  <c:v>-1.2000000000000002</c:v>
                </c:pt>
                <c:pt idx="1">
                  <c:v>3.5999999999999996</c:v>
                </c:pt>
                <c:pt idx="2">
                  <c:v>3.2</c:v>
                </c:pt>
                <c:pt idx="3">
                  <c:v>3.9</c:v>
                </c:pt>
                <c:pt idx="4">
                  <c:v>-1.4999999999999998</c:v>
                </c:pt>
                <c:pt idx="5">
                  <c:v>0</c:v>
                </c:pt>
                <c:pt idx="6">
                  <c:v>0.10000000000000009</c:v>
                </c:pt>
                <c:pt idx="7">
                  <c:v>4.4000000000000004</c:v>
                </c:pt>
                <c:pt idx="8">
                  <c:v>1.6</c:v>
                </c:pt>
                <c:pt idx="9">
                  <c:v>3.6999999999999997</c:v>
                </c:pt>
                <c:pt idx="10">
                  <c:v>1.7</c:v>
                </c:pt>
                <c:pt idx="11">
                  <c:v>4.7</c:v>
                </c:pt>
                <c:pt idx="12">
                  <c:v>2.0999999999999996</c:v>
                </c:pt>
                <c:pt idx="13">
                  <c:v>3.1</c:v>
                </c:pt>
                <c:pt idx="14">
                  <c:v>4.9000000000000004</c:v>
                </c:pt>
                <c:pt idx="15">
                  <c:v>6.3</c:v>
                </c:pt>
                <c:pt idx="16">
                  <c:v>1.6</c:v>
                </c:pt>
                <c:pt idx="17">
                  <c:v>6.1000000000000005</c:v>
                </c:pt>
                <c:pt idx="18">
                  <c:v>6.3999999999999995</c:v>
                </c:pt>
                <c:pt idx="19">
                  <c:v>2</c:v>
                </c:pt>
                <c:pt idx="20">
                  <c:v>7.4</c:v>
                </c:pt>
                <c:pt idx="21">
                  <c:v>5</c:v>
                </c:pt>
                <c:pt idx="22">
                  <c:v>4.4000000000000004</c:v>
                </c:pt>
                <c:pt idx="23">
                  <c:v>3.0999999999999996</c:v>
                </c:pt>
                <c:pt idx="24">
                  <c:v>3.3</c:v>
                </c:pt>
                <c:pt idx="25">
                  <c:v>6.9</c:v>
                </c:pt>
                <c:pt idx="26">
                  <c:v>7.1000000000000005</c:v>
                </c:pt>
                <c:pt idx="27">
                  <c:v>5.7</c:v>
                </c:pt>
                <c:pt idx="28">
                  <c:v>10.1</c:v>
                </c:pt>
                <c:pt idx="29">
                  <c:v>9.1999999999999993</c:v>
                </c:pt>
                <c:pt idx="30">
                  <c:v>7.7</c:v>
                </c:pt>
                <c:pt idx="31">
                  <c:v>5.4</c:v>
                </c:pt>
                <c:pt idx="32">
                  <c:v>4.3000000000000007</c:v>
                </c:pt>
                <c:pt idx="33">
                  <c:v>6.6999999999999993</c:v>
                </c:pt>
                <c:pt idx="34">
                  <c:v>8.6999999999999993</c:v>
                </c:pt>
                <c:pt idx="35">
                  <c:v>10.199999999999999</c:v>
                </c:pt>
                <c:pt idx="36">
                  <c:v>11.5</c:v>
                </c:pt>
                <c:pt idx="37">
                  <c:v>5.8000000000000007</c:v>
                </c:pt>
                <c:pt idx="38">
                  <c:v>8.1</c:v>
                </c:pt>
                <c:pt idx="39">
                  <c:v>8</c:v>
                </c:pt>
                <c:pt idx="40">
                  <c:v>6.5</c:v>
                </c:pt>
                <c:pt idx="41">
                  <c:v>5.9999999999999991</c:v>
                </c:pt>
                <c:pt idx="42">
                  <c:v>8.5</c:v>
                </c:pt>
                <c:pt idx="43">
                  <c:v>10.9</c:v>
                </c:pt>
                <c:pt idx="44">
                  <c:v>10.4</c:v>
                </c:pt>
                <c:pt idx="45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47-4454-B3D2-D4BBDA69F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004896"/>
        <c:axId val="504011128"/>
      </c:scatterChart>
      <c:valAx>
        <c:axId val="50400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11128"/>
        <c:crosses val="autoZero"/>
        <c:crossBetween val="midCat"/>
      </c:valAx>
      <c:valAx>
        <c:axId val="50401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0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ayout>
        <c:manualLayout>
          <c:xMode val="edge"/>
          <c:yMode val="edge"/>
          <c:x val="0.77166343790359537"/>
          <c:y val="0.61877649909145971"/>
          <c:w val="0.19217771389687399"/>
          <c:h val="9.2047332467279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 - spread correlation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602618890269933E-2"/>
          <c:y val="0.16650953984287317"/>
          <c:w val="0.88940165485268785"/>
          <c:h val="0.71584718576844564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Tabelle1!$M$4</c:f>
              <c:strCache>
                <c:ptCount val="1"/>
                <c:pt idx="0">
                  <c:v>RMSE = 1,93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dash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0.21794914524573317"/>
                  <c:y val="-0.121090329635486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Tabelle1!$G$2:$G$47</c:f>
              <c:numCache>
                <c:formatCode>General</c:formatCode>
                <c:ptCount val="46"/>
                <c:pt idx="0">
                  <c:v>-1.2000000000000002</c:v>
                </c:pt>
                <c:pt idx="1">
                  <c:v>3.5999999999999996</c:v>
                </c:pt>
                <c:pt idx="2">
                  <c:v>3.2</c:v>
                </c:pt>
                <c:pt idx="3">
                  <c:v>3.9</c:v>
                </c:pt>
                <c:pt idx="4">
                  <c:v>-1.4999999999999998</c:v>
                </c:pt>
                <c:pt idx="5">
                  <c:v>0</c:v>
                </c:pt>
                <c:pt idx="6">
                  <c:v>0.10000000000000009</c:v>
                </c:pt>
                <c:pt idx="7">
                  <c:v>4.4000000000000004</c:v>
                </c:pt>
                <c:pt idx="8">
                  <c:v>1.6</c:v>
                </c:pt>
                <c:pt idx="9">
                  <c:v>3.6999999999999997</c:v>
                </c:pt>
                <c:pt idx="10">
                  <c:v>1.7</c:v>
                </c:pt>
                <c:pt idx="11">
                  <c:v>4.7</c:v>
                </c:pt>
                <c:pt idx="12">
                  <c:v>2.0999999999999996</c:v>
                </c:pt>
                <c:pt idx="13">
                  <c:v>3.1</c:v>
                </c:pt>
                <c:pt idx="14">
                  <c:v>4.9000000000000004</c:v>
                </c:pt>
                <c:pt idx="15">
                  <c:v>6.3</c:v>
                </c:pt>
                <c:pt idx="16">
                  <c:v>1.6</c:v>
                </c:pt>
                <c:pt idx="17">
                  <c:v>6.1000000000000005</c:v>
                </c:pt>
                <c:pt idx="18">
                  <c:v>6.3999999999999995</c:v>
                </c:pt>
                <c:pt idx="19">
                  <c:v>2</c:v>
                </c:pt>
                <c:pt idx="20">
                  <c:v>7.4</c:v>
                </c:pt>
                <c:pt idx="21">
                  <c:v>5</c:v>
                </c:pt>
                <c:pt idx="22">
                  <c:v>4.4000000000000004</c:v>
                </c:pt>
                <c:pt idx="23">
                  <c:v>3.0999999999999996</c:v>
                </c:pt>
                <c:pt idx="24">
                  <c:v>3.3</c:v>
                </c:pt>
                <c:pt idx="25">
                  <c:v>6.9</c:v>
                </c:pt>
                <c:pt idx="26">
                  <c:v>7.1000000000000005</c:v>
                </c:pt>
                <c:pt idx="27">
                  <c:v>5.7</c:v>
                </c:pt>
                <c:pt idx="28">
                  <c:v>10.1</c:v>
                </c:pt>
                <c:pt idx="29">
                  <c:v>9.1999999999999993</c:v>
                </c:pt>
                <c:pt idx="30">
                  <c:v>7.7</c:v>
                </c:pt>
                <c:pt idx="31">
                  <c:v>5.4</c:v>
                </c:pt>
                <c:pt idx="32">
                  <c:v>4.3000000000000007</c:v>
                </c:pt>
                <c:pt idx="33">
                  <c:v>6.6999999999999993</c:v>
                </c:pt>
                <c:pt idx="34">
                  <c:v>8.6999999999999993</c:v>
                </c:pt>
                <c:pt idx="35">
                  <c:v>10.199999999999999</c:v>
                </c:pt>
                <c:pt idx="36">
                  <c:v>11.5</c:v>
                </c:pt>
                <c:pt idx="37">
                  <c:v>5.8000000000000007</c:v>
                </c:pt>
                <c:pt idx="38">
                  <c:v>8.1</c:v>
                </c:pt>
                <c:pt idx="39">
                  <c:v>8</c:v>
                </c:pt>
                <c:pt idx="40">
                  <c:v>6.5</c:v>
                </c:pt>
                <c:pt idx="41">
                  <c:v>5.9999999999999991</c:v>
                </c:pt>
                <c:pt idx="42">
                  <c:v>8.5</c:v>
                </c:pt>
                <c:pt idx="43">
                  <c:v>10.9</c:v>
                </c:pt>
                <c:pt idx="44">
                  <c:v>10.4</c:v>
                </c:pt>
                <c:pt idx="45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C3-4E6C-950D-09F45ED4E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004896"/>
        <c:axId val="504011128"/>
      </c:scatterChart>
      <c:valAx>
        <c:axId val="50400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11128"/>
        <c:crosses val="autoZero"/>
        <c:crossBetween val="midCat"/>
      </c:valAx>
      <c:valAx>
        <c:axId val="50401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0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ayout>
        <c:manualLayout>
          <c:xMode val="edge"/>
          <c:yMode val="edge"/>
          <c:x val="0.73169084861693556"/>
          <c:y val="0.61496045317567627"/>
          <c:w val="0.21221235032012312"/>
          <c:h val="9.2047332467279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4</cp:revision>
  <dcterms:created xsi:type="dcterms:W3CDTF">2020-12-28T08:44:00Z</dcterms:created>
  <dcterms:modified xsi:type="dcterms:W3CDTF">2020-12-28T13:16:00Z</dcterms:modified>
</cp:coreProperties>
</file>