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2FC" w:rsidRPr="00A10971" w:rsidRDefault="002E4021">
      <w:pPr>
        <w:spacing w:after="40"/>
        <w:jc w:val="center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b/>
          <w:color w:val="1F3864"/>
          <w:sz w:val="24"/>
          <w:szCs w:val="24"/>
          <w:lang w:val="es-AR"/>
        </w:rPr>
        <w:t>INFORME DE AVANCE — TESIS FINAL DE MAESTRÍA</w:t>
      </w:r>
    </w:p>
    <w:p w:rsidR="003D52FC" w:rsidRPr="00A10971" w:rsidRDefault="002E4021">
      <w:pPr>
        <w:spacing w:after="40"/>
        <w:jc w:val="center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Sistema </w:t>
      </w:r>
      <w:proofErr w:type="spellStart"/>
      <w:r w:rsidRPr="00A10971">
        <w:rPr>
          <w:rFonts w:ascii="Arial" w:hAnsi="Arial" w:cs="Arial"/>
          <w:b/>
          <w:sz w:val="24"/>
          <w:szCs w:val="24"/>
          <w:lang w:val="es-AR"/>
        </w:rPr>
        <w:t>Multiagente</w:t>
      </w:r>
      <w:proofErr w:type="spellEnd"/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 de Análisis y Optimización de Portafolios Financieros</w:t>
      </w:r>
    </w:p>
    <w:p w:rsidR="003D52FC" w:rsidRPr="00A10971" w:rsidRDefault="002E4021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i/>
          <w:sz w:val="24"/>
          <w:szCs w:val="24"/>
          <w:lang w:val="es-AR"/>
        </w:rPr>
        <w:t>Ing. María Fabiana Cid | Maestría en Finanzas — UNR</w:t>
      </w:r>
      <w:r>
        <w:rPr>
          <w:rFonts w:ascii="Arial" w:hAnsi="Arial" w:cs="Arial"/>
          <w:i/>
          <w:sz w:val="24"/>
          <w:szCs w:val="24"/>
          <w:lang w:val="es-AR"/>
        </w:rPr>
        <w:t xml:space="preserve"> | J</w:t>
      </w:r>
      <w:r w:rsidRPr="00A10971">
        <w:rPr>
          <w:rFonts w:ascii="Arial" w:hAnsi="Arial" w:cs="Arial"/>
          <w:i/>
          <w:sz w:val="24"/>
          <w:szCs w:val="24"/>
          <w:lang w:val="es-AR"/>
        </w:rPr>
        <w:t>unio 2026</w:t>
      </w:r>
    </w:p>
    <w:p w:rsidR="003D52FC" w:rsidRPr="00A10971" w:rsidRDefault="002E4021">
      <w:pPr>
        <w:pStyle w:val="Ttulo2"/>
        <w:rPr>
          <w:rFonts w:ascii="Arial" w:hAnsi="Arial" w:cs="Arial"/>
          <w:sz w:val="24"/>
          <w:szCs w:val="24"/>
        </w:rPr>
      </w:pPr>
      <w:r w:rsidRPr="00A10971">
        <w:rPr>
          <w:rFonts w:ascii="Arial" w:hAnsi="Arial" w:cs="Arial"/>
          <w:color w:val="1F3864"/>
          <w:sz w:val="24"/>
          <w:szCs w:val="24"/>
        </w:rPr>
        <w:t>1. Identificación del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3D52FC" w:rsidRPr="00A10971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Tesista</w:t>
            </w:r>
          </w:p>
        </w:tc>
        <w:tc>
          <w:tcPr>
            <w:tcW w:w="6520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Ing. María Fabiana Cid</w:t>
            </w:r>
          </w:p>
        </w:tc>
      </w:tr>
      <w:tr w:rsidR="003D52FC" w:rsidRPr="000D4155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Director</w:t>
            </w:r>
          </w:p>
        </w:tc>
        <w:tc>
          <w:tcPr>
            <w:tcW w:w="6520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Ph.D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. Luciano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Machain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(UNR)</w:t>
            </w:r>
          </w:p>
        </w:tc>
      </w:tr>
      <w:tr w:rsidR="003D52FC" w:rsidRPr="000D4155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Programa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Maestría en Finanzas — Universidad Nacional de Rosario</w:t>
            </w:r>
          </w:p>
        </w:tc>
      </w:tr>
      <w:tr w:rsidR="003D52FC" w:rsidRPr="00A10971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Versión</w:t>
            </w:r>
            <w:proofErr w:type="spellEnd"/>
            <w:r w:rsidRPr="00A10971">
              <w:rPr>
                <w:rFonts w:ascii="Arial" w:hAnsi="Arial" w:cs="Arial"/>
                <w:b/>
                <w:sz w:val="24"/>
                <w:szCs w:val="24"/>
              </w:rPr>
              <w:t xml:space="preserve"> actual</w:t>
            </w:r>
          </w:p>
        </w:tc>
        <w:tc>
          <w:tcPr>
            <w:tcW w:w="6520" w:type="dxa"/>
            <w:shd w:val="clear" w:color="auto" w:fill="FFFFFF"/>
          </w:tcPr>
          <w:p w:rsidR="003D52FC" w:rsidRPr="00A10971" w:rsidRDefault="000D4155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V17</w:t>
            </w:r>
            <w:r w:rsidR="002E4021" w:rsidRPr="00A10971">
              <w:rPr>
                <w:rFonts w:ascii="Arial" w:hAnsi="Arial" w:cs="Arial"/>
                <w:sz w:val="24"/>
                <w:szCs w:val="24"/>
              </w:rPr>
              <w:t xml:space="preserve"> — </w:t>
            </w:r>
            <w:proofErr w:type="spellStart"/>
            <w:r w:rsidR="002E4021" w:rsidRPr="00A10971">
              <w:rPr>
                <w:rFonts w:ascii="Arial" w:hAnsi="Arial" w:cs="Arial"/>
                <w:sz w:val="24"/>
                <w:szCs w:val="24"/>
              </w:rPr>
              <w:t>junio</w:t>
            </w:r>
            <w:proofErr w:type="spellEnd"/>
            <w:r w:rsidR="002E4021" w:rsidRPr="00A10971">
              <w:rPr>
                <w:rFonts w:ascii="Arial" w:hAnsi="Arial" w:cs="Arial"/>
                <w:sz w:val="24"/>
                <w:szCs w:val="24"/>
              </w:rPr>
              <w:t xml:space="preserve"> 2026  (55+ páginas)</w:t>
            </w:r>
          </w:p>
        </w:tc>
      </w:tr>
      <w:tr w:rsidR="003D52FC" w:rsidRPr="000D4155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Repositorio</w:t>
            </w:r>
          </w:p>
        </w:tc>
        <w:tc>
          <w:tcPr>
            <w:tcW w:w="6520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github.com/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fabianacid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/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tesis_maestria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 (rama: master)</w:t>
            </w:r>
          </w:p>
        </w:tc>
      </w:tr>
      <w:tr w:rsidR="003D52FC" w:rsidRPr="00A10971">
        <w:tc>
          <w:tcPr>
            <w:tcW w:w="2551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Stack principal</w:t>
            </w:r>
          </w:p>
        </w:tc>
        <w:tc>
          <w:tcPr>
            <w:tcW w:w="6520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Python 3.10 · FastAPI · Streamlit · scikit-learn · yfinance · SEC EDGAR</w:t>
            </w:r>
          </w:p>
        </w:tc>
      </w:tr>
    </w:tbl>
    <w:p w:rsidR="003D52FC" w:rsidRPr="00A10971" w:rsidRDefault="003D52FC">
      <w:pPr>
        <w:spacing w:after="80"/>
        <w:rPr>
          <w:rFonts w:ascii="Arial" w:hAnsi="Arial" w:cs="Arial"/>
          <w:sz w:val="24"/>
          <w:szCs w:val="24"/>
        </w:rPr>
      </w:pPr>
    </w:p>
    <w:p w:rsidR="003D52FC" w:rsidRPr="00A10971" w:rsidRDefault="002E4021">
      <w:pPr>
        <w:pStyle w:val="Ttulo2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color w:val="1F3864"/>
          <w:sz w:val="24"/>
          <w:szCs w:val="24"/>
          <w:lang w:val="es-AR"/>
        </w:rPr>
        <w:t>2. Estado de avance</w:t>
      </w:r>
    </w:p>
    <w:p w:rsidR="003D52FC" w:rsidRPr="00A10971" w:rsidRDefault="002E4021">
      <w:pPr>
        <w:spacing w:after="80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sz w:val="24"/>
          <w:szCs w:val="24"/>
          <w:lang w:val="es-AR"/>
        </w:rPr>
        <w:t xml:space="preserve">El prototipo funcional se encuentra completamente implementado y validado empíricamente. Los nueve agentes especializados están operativos, la API REST y 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dashboard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Streamlit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están integrados, y se han ejecutado cuatro sesiones de prueba con datos reales de mercado.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2835"/>
        <w:gridCol w:w="2551"/>
      </w:tblGrid>
      <w:tr w:rsidR="003D52FC" w:rsidRPr="00A10971">
        <w:tc>
          <w:tcPr>
            <w:tcW w:w="3685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2835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2551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Validación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MarketAgent — 52 indicadores técnicos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Implementado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Datos reales Yahoo Finance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ModelAgent — Ensemble ML + SHAP/MDI/MDA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Implementado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Walk-forward 5 folds, 10 tickers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SentimentAgent — Ensemble NLP (FinBERT+3)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Noticias reales + filings 8-K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RecommendationAgent — multi-factor 15+ vars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30 pruebas funcionales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AlertAgent — 5 técnicas detección anomalías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6 niveles de severidad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SECAgent — yfinance + SEC EDGAR API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Ratios + filings 10 tickers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PortfolioAgent — Markowitz + HRP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Frontera eficiente, Sharpe, VaR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BacktestAgent — walk-forward Backtrader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ML vs Buy&amp;Hold vs SMA 20/50</w:t>
            </w:r>
          </w:p>
        </w:tc>
      </w:tr>
      <w:tr w:rsidR="003D52FC" w:rsidRPr="000D4155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Validación estadística — Test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Diebold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-Mariano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0D4155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Implementado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5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tickers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· 2 y 4 años · análisis por régimen</w:t>
            </w:r>
          </w:p>
        </w:tc>
      </w:tr>
      <w:tr w:rsidR="003D52FC" w:rsidRPr="000D4155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RiskProfileAgent - perfil de riesgo + seleccion dinamica de 40+ activos (ETFs y acciones individuales), filtro correlacion greedy, piso defensivo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0D4155">
              <w:rPr>
                <w:rFonts w:ascii="Arial" w:hAnsi="Arial" w:cs="Arial"/>
                <w:sz w:val="24"/>
                <w:szCs w:val="24"/>
                <w:lang w:val="es-AR"/>
              </w:rPr>
              <w:t>Implementado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</w:r>
            <w:proofErr w:type="spellEnd"/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Cuestionario 6 dimensiones, 22 ETFs, filtro correlación, piso defensivo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API REST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FastAPI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JWT/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OWASP / Comunicación A 7724</w:t>
            </w:r>
          </w:p>
        </w:tc>
      </w:tr>
      <w:tr w:rsidR="003D52FC" w:rsidRPr="00A10971">
        <w:tc>
          <w:tcPr>
            <w:tcW w:w="3685" w:type="dxa"/>
            <w:shd w:val="clear" w:color="auto" w:fill="F7F9FC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Dashboard Streamlit — 5 pestañas</w:t>
            </w:r>
          </w:p>
        </w:tc>
        <w:tc>
          <w:tcPr>
            <w:tcW w:w="2835" w:type="dxa"/>
            <w:shd w:val="clear" w:color="auto" w:fill="F2F8F2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2551" w:type="dxa"/>
            <w:shd w:val="clear" w:color="auto" w:fill="FFFFFF"/>
          </w:tcPr>
          <w:p w:rsidR="003D52FC" w:rsidRPr="00A10971" w:rsidRDefault="002E4021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Capturas en Capítulo 4</w:t>
            </w:r>
          </w:p>
        </w:tc>
      </w:tr>
    </w:tbl>
    <w:p w:rsidR="003D52FC" w:rsidRPr="00A10971" w:rsidRDefault="003D52FC" w:rsidP="002E4021">
      <w:pPr>
        <w:pStyle w:val="Ttulo2"/>
        <w:rPr>
          <w:rFonts w:ascii="Arial" w:hAnsi="Arial" w:cs="Arial"/>
          <w:sz w:val="24"/>
          <w:szCs w:val="24"/>
        </w:rPr>
      </w:pPr>
    </w:p>
    <w:p w:rsidR="003D52FC" w:rsidRPr="00A10971" w:rsidRDefault="002E4021">
      <w:pPr>
        <w:pStyle w:val="Ttulo2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color w:val="1F3864"/>
          <w:sz w:val="24"/>
          <w:szCs w:val="24"/>
          <w:lang w:val="es-AR"/>
        </w:rPr>
        <w:t>3</w:t>
      </w:r>
      <w:r w:rsidRPr="00A10971">
        <w:rPr>
          <w:rFonts w:ascii="Arial" w:hAnsi="Arial" w:cs="Arial"/>
          <w:color w:val="1F3864"/>
          <w:sz w:val="24"/>
          <w:szCs w:val="24"/>
          <w:lang w:val="es-AR"/>
        </w:rPr>
        <w:t xml:space="preserve">. Arquitectura </w:t>
      </w:r>
      <w:proofErr w:type="spellStart"/>
      <w:r w:rsidRPr="00A10971">
        <w:rPr>
          <w:rFonts w:ascii="Arial" w:hAnsi="Arial" w:cs="Arial"/>
          <w:color w:val="1F3864"/>
          <w:sz w:val="24"/>
          <w:szCs w:val="24"/>
          <w:lang w:val="es-AR"/>
        </w:rPr>
        <w:t>multiagente</w:t>
      </w:r>
      <w:proofErr w:type="spellEnd"/>
      <w:r w:rsidRPr="00A10971">
        <w:rPr>
          <w:rFonts w:ascii="Arial" w:hAnsi="Arial" w:cs="Arial"/>
          <w:color w:val="1F3864"/>
          <w:sz w:val="24"/>
          <w:szCs w:val="24"/>
          <w:lang w:val="es-AR"/>
        </w:rPr>
        <w:t xml:space="preserve"> — detalle de los nueve agentes</w:t>
      </w:r>
    </w:p>
    <w:p w:rsidR="003D52FC" w:rsidRPr="00A10971" w:rsidRDefault="002E4021">
      <w:pPr>
        <w:spacing w:after="80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sz w:val="24"/>
          <w:szCs w:val="24"/>
          <w:lang w:val="es-AR"/>
        </w:rPr>
        <w:t xml:space="preserve">El sistema se organiza en nueve agentes especializados que cooperan mediante un pipeline secuencial y paralelo coordinado por la API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FastAPI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>. Cada agente es autónomo, con responsabilidades bien delimitadas y salidas estructuradas que alimentan al siguiente.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0"/>
        <w:gridCol w:w="2962"/>
        <w:gridCol w:w="3524"/>
      </w:tblGrid>
      <w:tr w:rsidR="003D52FC" w:rsidRPr="00A10971">
        <w:tc>
          <w:tcPr>
            <w:tcW w:w="1814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Agente</w:t>
            </w:r>
            <w:proofErr w:type="spellEnd"/>
          </w:p>
        </w:tc>
        <w:tc>
          <w:tcPr>
            <w:tcW w:w="3288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Técnicas principales</w:t>
            </w:r>
          </w:p>
        </w:tc>
        <w:tc>
          <w:tcPr>
            <w:tcW w:w="3969" w:type="dxa"/>
            <w:shd w:val="clear" w:color="auto" w:fill="1F3864"/>
          </w:tcPr>
          <w:p w:rsidR="003D52FC" w:rsidRPr="00A10971" w:rsidRDefault="002E4021">
            <w:pPr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color w:val="FFFFFF"/>
                <w:sz w:val="24"/>
                <w:szCs w:val="24"/>
              </w:rPr>
              <w:t>Salida al sistema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MarketAgent</w:t>
            </w:r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52 indicadores técnicos: tendencia (SMA, EMA, MACD, ADX),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momentum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(RSI,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Stochastic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), volatilidad (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Bollinger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Bands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, ATR) y volumen (OBV, VWAP).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via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yfinance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Serie histórica enriquecida con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features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técnicas. Fuente de datos para todos los agentes.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ModelAgent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</w:rPr>
              <w:t>Ensemble de 5 modelos: Random Forest, GradientBoosting, XGBoost, LightGBM y LSTM (funcion de perdida BCEWithLogitsLoss para clasificacion binaria, sigmoid en inferencia). Walk-forward validation temporal (5 folds, TimeSeriesSplit, gap=3). Seleccion de features MDI+MDA (52 a ~26 variables). SHAP values (TreeExplainer) para explicabilidad por prediccion. Intervalo de confianza IC 95% corregido: precio x (1 +/- sigma_diaria x sqrt(3) x 1.96) para horizonte de 3 dias habiles.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Prediccion binaria SUBIDA/BAJADA con probabilidad calibrada. Metricas de clasificacion: Accuracy 57 %, AUC-ROC 0,579, Precision, Recall, F1. Banda de incertidumbre IC 95% en grafico de precio (crecimiento sqrt(t)). Grafico SHAP de importancia de features en dashboard.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</w:p>
        </w:tc>
      </w:tr>
      <w:tr w:rsidR="003D52FC" w:rsidRPr="00A10971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SentimentAgent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Ensemble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NLP ponderado: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FinBERT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(40 %), VADER (25 %), lexicón financiero 500+ términos (20 %),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TextBlob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(15 %). Fuentes: noticias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Yahoo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Finance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y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filings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8-K de SEC EDGAR.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Score de sentimiento [−1, +1] y categoría (Positivo/Neutral/Negativo) por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ticker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Tendencia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temporal del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sentimiento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b/>
                <w:sz w:val="24"/>
                <w:szCs w:val="24"/>
              </w:rPr>
              <w:t>RecommendationAgent</w:t>
            </w:r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Sistema de decision multi-factor con 15+ variables ponderadas por categoria: senal ML (40 %), sentimiento NLP (25 %), score fundamental SEC (20 %), indicadores tecnicos (15 %). Evaluacion de riesgo: VaR 95% = volatilidad x 1.645 (ATR como proxy de dispersion), max drawdown esperado = volatilidad x 2.5.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lastRenderedPageBreak/>
              <w:t>Recomendación textual accionable (Comprar / Mantener / Reducir / Vender) con justificación explicativa apta para inversores sin formación financiera.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lastRenderedPageBreak/>
              <w:t>AlertAgent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5 técnicas de detección de anomalías: Z-Score, MAD (Median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Absolute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Deviation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), CUSUM (cambios de tendencia), EWMA (control estadístico) e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Isolation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Forest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(anomalías multivariadas). </w:t>
            </w:r>
            <w:r w:rsidRPr="00A10971">
              <w:rPr>
                <w:rFonts w:ascii="Arial" w:hAnsi="Arial" w:cs="Arial"/>
                <w:sz w:val="24"/>
                <w:szCs w:val="24"/>
              </w:rPr>
              <w:t xml:space="preserve">Rate limiting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inteligente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6 niveles de severidad: INFO, LOW, MEDIUM, HIGH, CRITICAL, EMERGENCY. Alertas contextuales con explicación y acción sugerida.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SECAgent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Dos fuentes oficiales gratuitas: yfinance.info para ratios en tiempo real (P/E, P/B, ROE, ROA, márgenes, deuda/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equity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) y API SEC EDGAR para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filings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recientes (8-K, 10-Q, 10-K).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Caché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de 2 horas.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Score fundamental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multi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-factor [0–100] y resumen de ratios financieros clave. Acceso sin costo de licencia para todo el mercado estadounidense.</w:t>
            </w:r>
          </w:p>
        </w:tc>
      </w:tr>
      <w:tr w:rsidR="003D52FC" w:rsidRPr="000D4155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PortfolioAgent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Ejecución paralela del pipeline completo por activo (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ThreadPoolExecutor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). Optimización de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Markowitz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(máximo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Sharpe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, mínima varianza, frontera eficiente) vía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scipy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. HRP (López de Prado, 2016):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clustering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jerárquico + bisección recursiva sin inversión matricial.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Retorno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esperado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híbrido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>: 70 % histórico + 30 % ML.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Metricas del portafolio actual (retorno esperado, volatilidad anual, Sharpe, VaR 95 %, Maximum Drawdown historico, ratio de diversificacion, beta vs S&amp;P 500). Pesos optimos Markowitz y HRP en paralelo. Frontera eficiente interactiva. Alertas de concentracion y correlacion.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</w:p>
        </w:tc>
      </w:tr>
      <w:tr w:rsidR="003D52FC" w:rsidRPr="00A10971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BacktestAgent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Motor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Backtrader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con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walk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-forward sobre datos históricos. 3 estrategias: ML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Signal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(umbral probabilidad 0,55/0,45),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Buy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&amp;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Hold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y SMA Crossover 20/50.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Comisiones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 xml:space="preserve"> 0,1 %. Capital inicial USD 100.000.</w:t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Comparativa de retorno total,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drawdown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máximo,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Sharpe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ratio y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win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rate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 xml:space="preserve">. 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  <w:t>Resultado</w:t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  <w:t>: ML −12,8 % drawdown vs −19,5 % B&amp;H. Sharpe 0,87. Win rate 54,3 %.</w:t>
            </w:r>
          </w:p>
        </w:tc>
      </w:tr>
      <w:tr w:rsidR="003D52FC" w:rsidRPr="00A10971">
        <w:tc>
          <w:tcPr>
            <w:tcW w:w="1814" w:type="dxa"/>
            <w:shd w:val="clear" w:color="auto" w:fill="EBF0FA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0971">
              <w:rPr>
                <w:rFonts w:ascii="Arial" w:hAnsi="Arial" w:cs="Arial"/>
                <w:b/>
                <w:sz w:val="24"/>
                <w:szCs w:val="24"/>
              </w:rPr>
              <w:t>RiskProfileAgent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Cuestionario de 6 dimensiones (edad, horizonte, ingresos, tolerancia a perdidas, experiencia, objetivo) con scoring ponderado a 5 perfiles. Seleccion dinamica desde universo de 40+ activos: ETFs sectoriales y de renta fija + acciones individuales clasificadas por perfil (defensivas: KO/PG/JNJ/WMT; moderadas: MSFT/AAPL/JPM; agresivas: NVDA/META/TSLA/GOOGL). Score integrado: 60% historico (Sharpe/retorno segun agresividad) + 40% senales multiagente (SentimentAgent + ModelAgent; SECAgent adicional para acciones individuales). Filtro greedy de correlacion (umbral 0.75-0.95 segun perfil) y piso defensivo. Restriccion max_peso_activo del perfil aplicada en Markowitz y HRP.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969" w:type="dxa"/>
            <w:shd w:val="clear" w:color="auto" w:fill="FFFFFF"/>
          </w:tcPr>
          <w:p w:rsidR="003D52FC" w:rsidRPr="00A10971" w:rsidRDefault="002E4021">
            <w:pPr>
              <w:spacing w:before="40" w:after="40"/>
              <w:rPr>
                <w:rFonts w:ascii="Arial" w:hAnsi="Arial" w:cs="Arial"/>
                <w:sz w:val="24"/>
                <w:szCs w:val="24"/>
              </w:rPr>
            </w:pPr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  <w:t>Perfil de riesgo (muy_conservador a muy_agresivo), tickers y pesos recomendados (ETFs y/o acciones segun perfil), presupuesto de VaR, portafolio optimizado con restricciones del perfil. Advertencia de accesibilidad geografica para inversores latinoamericanos (broker internacional o CEDEARs).</w:t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  <w:lang w:val="es-AR"/>
              </w:rPr>
            </w:r>
            <w:proofErr w:type="spellStart"/>
            <w:r w:rsidRPr="00A10971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A10971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D52FC" w:rsidRPr="00A10971" w:rsidRDefault="003D52FC">
      <w:pPr>
        <w:spacing w:after="80"/>
        <w:rPr>
          <w:rFonts w:ascii="Arial" w:hAnsi="Arial" w:cs="Arial"/>
          <w:sz w:val="24"/>
          <w:szCs w:val="24"/>
        </w:rPr>
      </w:pPr>
    </w:p>
    <w:p w:rsidR="003D52FC" w:rsidRPr="00A10971" w:rsidRDefault="002E4021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1F3864"/>
          <w:sz w:val="24"/>
          <w:szCs w:val="24"/>
        </w:rPr>
        <w:t>4. Incorporaciones recientes - versiones 17 a 19</w:t>
      </w:r>
      <w:r w:rsidRPr="00A10971">
        <w:rPr>
          <w:rFonts w:ascii="Arial" w:hAnsi="Arial" w:cs="Arial"/>
          <w:color w:val="1F3864"/>
          <w:sz w:val="24"/>
          <w:szCs w:val="24"/>
        </w:rPr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r w:rsidRPr="00A10971">
        <w:rPr>
          <w:rFonts w:ascii="Arial" w:hAnsi="Arial" w:cs="Arial"/>
          <w:b/>
          <w:sz w:val="24"/>
          <w:szCs w:val="24"/>
          <w:lang w:val="es-AR"/>
        </w:rPr>
        <w:t>Explicabilidad</w:t>
      </w:r>
      <w:proofErr w:type="spellEnd"/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 SHAP/MDI/MDA: </w:t>
      </w:r>
      <w:r w:rsidRPr="00A10971">
        <w:rPr>
          <w:rFonts w:ascii="Arial" w:hAnsi="Arial" w:cs="Arial"/>
          <w:sz w:val="24"/>
          <w:szCs w:val="24"/>
          <w:lang w:val="es-AR"/>
        </w:rPr>
        <w:t xml:space="preserve">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ModelAgent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incorpora selección de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features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MDI+MDA (reduce 52 a ~26 variables relevantes) y SHAP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values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con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TreeExplainer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para interpretar cada predicción individual. Visualización integrada en 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dashboard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como gráfico de importancia de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features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>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Paridad de Riesgo Jerárquica — HRP: </w:t>
      </w:r>
      <w:r w:rsidRPr="00A10971">
        <w:rPr>
          <w:rFonts w:ascii="Arial" w:hAnsi="Arial" w:cs="Arial"/>
          <w:sz w:val="24"/>
          <w:szCs w:val="24"/>
          <w:lang w:val="es-AR"/>
        </w:rPr>
        <w:t xml:space="preserve">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PortfolioAgent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implementa HRP (López de Prado, 2016) como alternativa a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Markowitz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. Usa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clustering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jerárquico sobre la matriz de correlaciones, eliminando la necesidad de inversión matricial y mejorando la estabilidad numérica fuera de muestra. 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dashboard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presenta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Markowitz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y HRP en paralelo para comparación directa.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r w:rsidRPr="00A10971">
        <w:rPr>
          <w:rFonts w:ascii="Arial" w:hAnsi="Arial" w:cs="Arial"/>
          <w:b/>
          <w:sz w:val="24"/>
          <w:szCs w:val="24"/>
          <w:lang w:val="es-AR"/>
        </w:rPr>
        <w:t>BacktestAgent</w:t>
      </w:r>
      <w:proofErr w:type="spellEnd"/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 — evaluación comparativa mejorada: </w:t>
      </w:r>
      <w:r w:rsidRPr="00A10971">
        <w:rPr>
          <w:rFonts w:ascii="Arial" w:hAnsi="Arial" w:cs="Arial"/>
          <w:sz w:val="24"/>
          <w:szCs w:val="24"/>
          <w:lang w:val="es-AR"/>
        </w:rPr>
        <w:t xml:space="preserve">La sección 4.5 fue reorganizada en tres subsecciones: Configuración del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backtesting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(4.5.1), Métricas comparativas de las tres estrategias con Tabla 4.15 (4.5.2), e Interpretación y limitaciones del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backtesting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histórico (4.5.3).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</w:rPr>
      </w:pPr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Marco teórico actualizado: </w:t>
      </w:r>
      <w:r w:rsidRPr="00A10971">
        <w:rPr>
          <w:rFonts w:ascii="Arial" w:hAnsi="Arial" w:cs="Arial"/>
          <w:sz w:val="24"/>
          <w:szCs w:val="24"/>
          <w:lang w:val="es-AR"/>
        </w:rPr>
        <w:t xml:space="preserve">Secciones 2.2 y 2.5 ampliadas con fundamentos de MDI/MDA, SHAP y HRP. </w:t>
      </w:r>
      <w:proofErr w:type="spellStart"/>
      <w:r w:rsidRPr="00A10971">
        <w:rPr>
          <w:rFonts w:ascii="Arial" w:hAnsi="Arial" w:cs="Arial"/>
          <w:sz w:val="24"/>
          <w:szCs w:val="24"/>
        </w:rPr>
        <w:t>Conclusiones</w:t>
      </w:r>
      <w:proofErr w:type="spellEnd"/>
      <w:r w:rsidRPr="00A10971">
        <w:rPr>
          <w:rFonts w:ascii="Arial" w:hAnsi="Arial" w:cs="Arial"/>
          <w:sz w:val="24"/>
          <w:szCs w:val="24"/>
        </w:rPr>
        <w:t xml:space="preserve"> (5.1) y </w:t>
      </w:r>
      <w:proofErr w:type="spellStart"/>
      <w:r w:rsidRPr="00A10971">
        <w:rPr>
          <w:rFonts w:ascii="Arial" w:hAnsi="Arial" w:cs="Arial"/>
          <w:sz w:val="24"/>
          <w:szCs w:val="24"/>
        </w:rPr>
        <w:t>aplicación</w:t>
      </w:r>
      <w:proofErr w:type="spellEnd"/>
      <w:r w:rsidRPr="00A10971">
        <w:rPr>
          <w:rFonts w:ascii="Arial" w:hAnsi="Arial" w:cs="Arial"/>
          <w:sz w:val="24"/>
          <w:szCs w:val="24"/>
        </w:rPr>
        <w:t xml:space="preserve"> de contenidos del posgrado (5.2) actualizadas.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Validación estadística — Test de </w:t>
      </w:r>
      <w:proofErr w:type="spellStart"/>
      <w:r w:rsidRPr="00A10971">
        <w:rPr>
          <w:rFonts w:ascii="Arial" w:hAnsi="Arial" w:cs="Arial"/>
          <w:b/>
          <w:sz w:val="24"/>
          <w:szCs w:val="24"/>
          <w:lang w:val="es-AR"/>
        </w:rPr>
        <w:t>Diebold</w:t>
      </w:r>
      <w:proofErr w:type="spellEnd"/>
      <w:r w:rsidRPr="00A10971">
        <w:rPr>
          <w:rFonts w:ascii="Arial" w:hAnsi="Arial" w:cs="Arial"/>
          <w:b/>
          <w:sz w:val="24"/>
          <w:szCs w:val="24"/>
          <w:lang w:val="es-AR"/>
        </w:rPr>
        <w:t xml:space="preserve">-Mariano (Harvey et al., 1997): </w:t>
      </w:r>
      <w:r w:rsidRPr="00A10971">
        <w:rPr>
          <w:rFonts w:ascii="Arial" w:hAnsi="Arial" w:cs="Arial"/>
          <w:sz w:val="24"/>
          <w:szCs w:val="24"/>
          <w:lang w:val="es-AR"/>
        </w:rPr>
        <w:t>Se implementó el test MDM (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Modified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Diebold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-Mariano) con estimador HAC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Newey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>-West (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kernel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Bartlett) para comparar la exactitud predictiva del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ensemble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ML frente a dos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benchmarks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pasivos (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Buy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&amp;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Hold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y SMA Crossover 20/50). Se evaluaron dos funciones de pérdida: pérdida 0-1 (dirección) y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Brier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score (calibración). Se incluyó análisis por régimen de mercado (alcista/bajista por SMA200; alta/baja volatilidad por percentil 75 de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vol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20d histórica). Resultados sobre 1039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obs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. diarias por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ticker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(ciclo completo 2022-2026, 17 reentrenamientos):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Brier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score: ML superior en 5/5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tickers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con p &lt; 0,001 (calibración de probabilidades robusta). Dirección: MSFT 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sign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test p = 0,006 (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accuracy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54 % en ciclo completo); GOOGL en mercado bajista MDM p = 0,013 vs SMA (</w:t>
      </w:r>
      <w:proofErr w:type="spellStart"/>
      <w:r w:rsidRPr="00A10971">
        <w:rPr>
          <w:rFonts w:ascii="Arial" w:hAnsi="Arial" w:cs="Arial"/>
          <w:sz w:val="24"/>
          <w:szCs w:val="24"/>
          <w:lang w:val="es-AR"/>
        </w:rPr>
        <w:t>accuracy</w:t>
      </w:r>
      <w:proofErr w:type="spellEnd"/>
      <w:r w:rsidRPr="00A10971">
        <w:rPr>
          <w:rFonts w:ascii="Arial" w:hAnsi="Arial" w:cs="Arial"/>
          <w:sz w:val="24"/>
          <w:szCs w:val="24"/>
          <w:lang w:val="es-AR"/>
        </w:rPr>
        <w:t xml:space="preserve"> 58,9 % vs 52 %). El análisis por régimen confirmó que la ventaja del ML es selectiva y condicional al contexto de mercado.</w:t>
      </w:r>
    </w:p>
    <w:p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>
        <w:t xml:space="preserve">Integración entre pestañas Perfil de Riesgo y Portafolio: el dashboard implementa navegación bidireccional. Desde Perfil de Riesgo se pueden transferir los ETFs y pesos recomendados a la pestaña Portafolio con un clic (preload en session_state). Desde Portafolio se estima el perfil del inversor a partir del VaR 95% y la volatilidad del portafolio ingresado, con nota explicativa sobre las diferencias de análisis entre ambas pestañas.</w:t>
      </w:r>
    </w:p>
    <w:p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>
        <w:t xml:space="preserve">Backtesting de portafolio con walk-forward y costos de transacción: la pestaña Backtesting incorpora un modo portafolio (además del modo activo individual). La simulación modela deriva de pesos de mercado (sin rebalanceo fijo), rebalanceo periódico configurable (mensual/trimestral/semestral/anual) con costos de transacción en compra inicial y cada rebalanceo, y recálculo walk-forward de pesos (Máx Sharpe y HRP) usando solo datos anteriores al punto de evaluación para evitar data leakage. Incluye curva de equity con líneas verticales en fechas de rebalanceo e interpretación automática de los resultados.</w:t>
      </w:r>
    </w:p>
    <w:p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>
        <w:t xml:space="preserve">Corrección de sobre-concentración en Markowitz y HRP: el PortfolioAgent recibía max_peso_activo del perfil (ej. 50% para moderado) como cota superior en la optimización. Se corrigió que Markowitz respete ese límite en la restricción de bounds y que HRP aplique un algoritmo iterativo de capeo tras la bisección recursiva, redistribuyendo el exceso proporcional entre los activos no saturados.</w:t>
      </w:r>
    </w:p>
    <w:p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>
        <w:t xml:space="preserve">Filtro de correlación greedy y piso defensivo en RiskProfileAgent: la selección dinámica de ETFs incorpora un filtro greedy que descarta candidatos con correlación superior al umbral del perfil (0.75–0.95) respecto a cualquier ETF ya seleccionado (evita pares como IWM/MDY con correlación 0.95). Para perfiles no agresivos se garantiza la inclusión de al menos un ETF defensivo (BND/TLT/IEF/LQD/GLD/XLU/XLP), reemplazando el activo de menor puntaje si ninguno fue seleccionado orgánicamente.</w:t>
      </w:r>
    </w:p>
    <w:p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r>
        <w:t xml:space="preserve">RiskProfileAgent — noveno agente del sistema: cuestionario de 6 dimensiones con scoring ponderado hacia 5 perfiles de riesgo. Selección dinámica de ETFs desde universo de 22 activos usando datos históricos reales (yfinance). Presupuesto de riesgo por perfil: VaR máximo tolerado, volatilidad anual objetivo y peso máximo por activo. Endpoints POST /risk/profile y POST /risk/portfolio integrados al pipeline multiagente. El dashboard presenta una nueva pestaña Perfil de Riesgo como primer tab del sistema.</w:t>
      </w:r>
    </w:p>
    <w:p w:rsidR="003D52FC" w:rsidRPr="00A10971" w:rsidRDefault="003D52FC">
      <w:pPr>
        <w:spacing w:after="80"/>
        <w:rPr>
          <w:rFonts w:ascii="Arial" w:hAnsi="Arial" w:cs="Arial"/>
          <w:sz w:val="24"/>
          <w:szCs w:val="24"/>
          <w:lang w:val="es-AR"/>
        </w:rPr>
      </w:pP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Correcciones metodologicas al ModelAgent (V19): (a) eliminacion de metricas de regresion falsas (RMSE, MAPE, MAE, R2) del clasificador binario de direccion de precios — eran proxies incorrectos calculados como 1−accuracy; (b) correccion del intervalo de confianza al 95% para horizonte de 3 dias: se incorpora √3 en la formula (IC = precio x (1 ± sigma_diaria x √3 x 1.96)), coherente con la hipotesis de retornos i.i.d.; (c) correccion del LSTM: cambio de funcion de perdida MSELoss → BCEWithLogitsLoss (perdida correcta para clasificacion binaria {0,1}) y aplicacion de sigmoid en la inferencia para producir probabilidades en [0,1].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Correccion del VaR en RecommendationAgent (V19): el calculo de VaR 95% usaba abs(variacion_pct) x 1.65, empleando el retorno esperado como proxy de riesgo — metodologicamente incorrecto. Se corrigio a VaR = volatilidad x 1.645, donde volatilidad es el ATR (Average True Range) del activo, una medida genuina de dispersion de precios.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Mejoras al dashboard — pestana Analisis Individual (V19): (a) el grafico de precio muestra una banda de incertidumbre IC 95% con crecimiento proporcional a √t (dias 1, 2 y 3), visualizando la expansion real del intervalo de confianza; (b) las fechas de proyeccion usan dias habiles (pd.offsets.BDay) eliminando la aparicion de fines de semana en el eje temporal; (c) se agrega AUC-ROC como quinta metrica visible del modelo junto a accuracy, precision, recall y F1, con comparacion explicita respecto al clasificador aleatorio (50%).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Mejoras al dashboard — pestana Portafolio (V19): (a) Maximum Drawdown historico del portafolio agregado como sexta metrica, calculado sobre la serie de retornos diarios ponderados; (b) nota metodologica explicita en la frontera eficiente: el punto 'Portafolio actual' usa retornos hibridos (70% historico + 30% ML) mientras la curva usa retornos historicos puros — que el punto quede fuera de la curva es metodologicamente correcto; (c) tablas de activos y comparacion de pesos migradas a st.dataframe interactivo con column_config y tooltips por columna.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Mejoras al dashboard — pestana Perfil de Riesgo (V19): la tabla de sectores recomendados incorpora unidades explicitas en los encabezados: 'Volatilidad (% anual)', 'Sharpe (anualiz.)', 'Score perfil (0–1)', 'Retorno {periodo} (%)', eliminando ambiguedad sobre la escala y el periodo de los valores reportados.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Expansion del universo RiskProfileAgent a activos mixtos (V19): el universo de seleccion dinamica se amplio de ETFs puros a 40+ instrumentos incluyendo acciones individuales clasificadas por perfil de riesgo: defensivas (KO, PG, JNJ, WMT, MCD, VZ), moderadas (MSFT, AAPL, JPM, V, UNH) y agresivas (GOOGL, AMZN, NVDA, META, TSLA). Para acciones individuales el score integrado incorpora la senal del SECAgent (fundamentales EDGAR), diferenciandolas de los ETFs que solo reciben senales de SentimentAgent y ModelAgent.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Revision tecnica integral de los nueve agentes (V19): se realizo una auditoria sistematica de correctitud matematica y coherencia metodologica sobre todos los agentes del sistema. MarketAgent (VWAP rolling 20 dias, 20+ indicadores), SentimentAgent (FinBERT + VADER + TextBlob + lexico financiero), AlertAgent (Z-score, MAD, CUSUM, Isolation Forest, EWMA), PortfolioAgent (Markowitz, HRP, MDD historico), RiskProfileAgent (cuestionario 6 dimensiones, seleccion dinamica con filtro greedy de correlacion) y BacktestAgent (walk-forward, benchmarks B&amp;H y SMA 20/50, Alpha de Jensen, Sortino, Calmar) no presentaron inconsistencias. Las correcciones al ModelAgent y RecommendationAgent se describen en los puntos anteriores.</w:t>
      </w:r>
    </w:p>
    <w:p w:rsidR="003D52FC" w:rsidRPr="002E4021" w:rsidRDefault="002E4021">
      <w:pPr>
        <w:pStyle w:val="Ttulo2"/>
        <w:rPr>
          <w:rFonts w:ascii="Arial" w:hAnsi="Arial" w:cs="Arial"/>
          <w:sz w:val="24"/>
          <w:szCs w:val="24"/>
          <w:lang w:val="es-AR"/>
        </w:rPr>
      </w:pPr>
      <w:r w:rsidRPr="002E4021">
        <w:rPr>
          <w:rFonts w:ascii="Arial" w:hAnsi="Arial" w:cs="Arial"/>
          <w:color w:val="1F3864"/>
          <w:sz w:val="24"/>
          <w:szCs w:val="24"/>
          <w:lang w:val="es-AR"/>
        </w:rPr>
        <w:t>5. Trabajo pendiente y próximos pasos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Correccion y ajuste fino de la memoria tecnica V19 segun observaciones del director.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Extension de SHAP values al ensemble completo (XGBoost, LightGBM) para analisis comparativo de explicabilidad entre modelos.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Incorporacion de al menos un feature macroeconomico (VIX o tasa de referencia) como variable exogena en el ModelAgent.</w:t>
      </w:r>
    </w:p>
    <w:p w:rsidR="003D52FC" w:rsidRPr="00A10971" w:rsidRDefault="002E4021">
      <w:pPr>
        <w:pStyle w:val="Listaconvietas"/>
        <w:spacing w:before="20" w:after="60"/>
        <w:rPr>
          <w:rFonts w:ascii="Arial" w:hAnsi="Arial" w:cs="Arial"/>
          <w:sz w:val="24"/>
          <w:szCs w:val="24"/>
          <w:lang w:val="es-A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sz w:val="24"/>
          <w:szCs w:val="24"/>
          <w:lang w:val="es-AR"/>
        </w:rPr>
        <w:t xml:space="preserve">Agregar advertencia sobre accesibilidad de ETFs americanos para inversores latinoamericanos (CEDEARs, cuentas en broker internacional) como limitacion operativa del sistema.</w:t>
      </w:r>
    </w:p>
    <w:sectPr w:rsidR="002E4021" w:rsidRPr="00A1097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17F"/>
    <w:rsid w:val="000D4155"/>
    <w:rsid w:val="0015074B"/>
    <w:rsid w:val="0029639D"/>
    <w:rsid w:val="002E4021"/>
    <w:rsid w:val="00326F90"/>
    <w:rsid w:val="003D52FC"/>
    <w:rsid w:val="00A109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570B2"/>
  <w14:defaultImageDpi w14:val="300"/>
  <w15:docId w15:val="{7D07A05D-1F41-4839-BC3D-0BA2C264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44FD88-17C0-44BA-9CCC-2F173E892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1158</Words>
  <Characters>6369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FABIANA</cp:lastModifiedBy>
  <cp:revision>4</cp:revision>
  <dcterms:created xsi:type="dcterms:W3CDTF">2026-06-22T22:49:00Z</dcterms:created>
  <dcterms:modified xsi:type="dcterms:W3CDTF">2026-06-23T13:40:00Z</dcterms:modified>
  <cp:category/>
</cp:coreProperties>
</file>