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Hábitos de sueño y rendimiento académico en estudiantes universitarios</w:t>
      </w:r>
    </w:p>
    <w:p>
      <w:pPr>
        <w:spacing w:after="240"/>
      </w:pPr>
      <w:r>
        <w:rPr>
          <w:color w:val="595959"/>
        </w:rPr>
        <w:t xml:space="preserve">Sara Delgado Ruiz · Psicología de la Salud · Grupo B</w:t>
      </w:r>
    </w:p>
    <w:p>
      <w:pPr>
        <w:pStyle w:val="Heading1"/>
      </w:pPr>
      <w:r>
        <w:t xml:space="preserve">Resumen</w:t>
      </w:r>
    </w:p>
    <w:p>
      <w:pPr>
        <w:spacing w:after="160"/>
      </w:pPr>
      <w:r>
        <w:t xml:space="preserve">Este informe analiza la relación entre las horas de sueño y el rendimiento académico en una muestra de 180 estudiantes de primer curso. Los resultados indican que dormir menos de seis horas entre semana se asocia con una nota media más baja y con un mayor número de asignaturas suspensas.</w:t>
      </w:r>
    </w:p>
    <w:p>
      <w:pPr>
        <w:pStyle w:val="Heading1"/>
      </w:pPr>
      <w:r>
        <w:t xml:space="preserve">Introducción</w:t>
      </w:r>
    </w:p>
    <w:p>
      <w:pPr>
        <w:spacing w:after="160"/>
      </w:pPr>
      <w:r>
        <w:t xml:space="preserve">El sueño cumple funciones esenciales en la consolidación de la memoria y en la regulación emocional. Diversos estudios han señalado que la privación de sueño afecta a la atención sostenida y a la capacidad de aprendizaje (Navarro y Gil, 2020). Sin embargo, la población universitaria suele dormir menos de lo recomendado debido a la carga de estudio, el trabajo a tiempo parcial y el uso de pantallas por la noche.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Según la revisión de Castro et al. (2019), entre el 50 % y el 60 % de los estudiantes universitarios presenta una calidad de sueño deficiente, y este porcentaje aumenta en los periodos de exámenes. Estos datos justifican la necesidad de estudiar el fenómeno en nuestro contexto.</w:t>
      </w:r>
    </w:p>
    <w:p>
      <w:pPr>
        <w:pStyle w:val="Heading1"/>
      </w:pPr>
      <w:r>
        <w:t xml:space="preserve">Método</w:t>
      </w:r>
    </w:p>
    <w:p>
      <w:pPr>
        <w:pStyle w:val="Heading2"/>
      </w:pPr>
      <w:r>
        <w:t xml:space="preserve">Participantes</w:t>
      </w:r>
    </w:p>
    <w:p>
      <w:pPr>
        <w:spacing w:after="160"/>
      </w:pPr>
      <w:r>
        <w:t xml:space="preserve">Participaron 180 estudiantes (112 mujeres y 68 hombres) con edades comprendidas entre 18 y 24 años. La participación fue voluntaria y anónima.</w:t>
      </w:r>
    </w:p>
    <w:p>
      <w:pPr>
        <w:pStyle w:val="Heading2"/>
      </w:pPr>
      <w:r>
        <w:t xml:space="preserve">Instrumentos</w:t>
      </w:r>
    </w:p>
    <w:p>
      <w:pPr>
        <w:spacing w:after="160"/>
      </w:pPr>
      <w:r>
        <w:t xml:space="preserve">Se utilizó el Índice de Calidad de Sueño de Pittsburgh (PSQI) y un cuestionario elaborado para el estudio sobre horas de sueño, uso de pantallas y rendimiento académico autoinformado.</w:t>
      </w:r>
    </w:p>
    <w:p>
      <w:pPr>
        <w:pStyle w:val="Heading2"/>
      </w:pPr>
      <w:r>
        <w:t xml:space="preserve">Procedimiento</w:t>
      </w:r>
    </w:p>
    <w:p>
      <w:pPr>
        <w:spacing w:after="160"/>
      </w:pPr>
      <w:r>
        <w:t xml:space="preserve">Los cuestionarios se aplicaron en horario de clase durante la segunda semana de noviembre. Las notas medias se obtuvieron a partir de la información facilitada por los propios participantes.</w:t>
      </w:r>
    </w:p>
    <w:p>
      <w:pPr>
        <w:pStyle w:val="Heading1"/>
      </w:pPr>
      <w:r>
        <w:t xml:space="preserve">Resultados</w:t>
      </w:r>
    </w:p>
    <w:p>
      <w:pPr>
        <w:spacing w:after="160"/>
      </w:pPr>
      <w:r>
        <w:t xml:space="preserve">En la tabla 1 se presentan los estadísticos descriptivos de las principales variables del estudio.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460"/>
        <w:gridCol w:w="1460"/>
        <w:gridCol w:w="1460"/>
        <w:gridCol w:w="1460"/>
      </w:tblGrid>
      <w:tr>
        <w:trPr>
          <w:tblHeader/>
        </w:trPr>
        <w:tc>
          <w:tcPr>
            <w:tcW w:type="dxa" w:w="2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DT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Mín.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Máx.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Horas de sueño (entre semana)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6,4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Horas de sueño (fin de semana)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8,2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Calidad del sueño (PSQI)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7,1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2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Nota media del curso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6,8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</w:t>
            </w:r>
          </w:p>
        </w:tc>
        <w:tc>
          <w:tcPr>
            <w:tcW w:type="dxa" w:w="14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9,6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4546A"/>
          <w:sz w:val="18"/>
          <w:szCs w:val="18"/>
        </w:rPr>
        <w:t xml:space="preserve">Tabla 1: Estadísticos descriptivos de las variables del estudio (N = 180)</w:t>
      </w:r>
    </w:p>
    <w:p>
      <w:pPr>
        <w:spacing w:after="160"/>
      </w:pPr>
      <w:r>
        <w:t xml:space="preserve">La tabla 2 muestra el rendimiento académico según el número de horas de sueño entre semana.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6"/>
        <w:gridCol w:w="2000"/>
        <w:gridCol w:w="2000"/>
        <w:gridCol w:w="2000"/>
      </w:tblGrid>
      <w:tr>
        <w:tc>
          <w:tcPr>
            <w:tcW w:type="dxa" w:w="2666"/>
            <w:vMerge w:val="restart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2000"/>
            <w:vMerge w:val="restart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400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Rendimiento académico</w:t>
            </w:r>
          </w:p>
        </w:tc>
      </w:tr>
      <w:tr>
        <w:tc>
          <w:tcPr>
            <w:vMerge w:val="continue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</w:tcPr>
          <w:p/>
        </w:tc>
        <w:tc>
          <w:tcPr>
            <w:vMerge w:val="continue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</w:tcPr>
          <w:p/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 media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Asignaturas suspensas</w:t>
            </w:r>
          </w:p>
        </w:tc>
      </w:tr>
      <w:tr>
        <w:tc>
          <w:tcPr>
            <w:tcW w:type="dxa" w:w="266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Menos de 6 horas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6,1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</w:t>
            </w:r>
          </w:p>
        </w:tc>
      </w:tr>
      <w:tr>
        <w:tc>
          <w:tcPr>
            <w:tcW w:type="dxa" w:w="266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 6 y 8 horas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0,8</w:t>
            </w:r>
          </w:p>
        </w:tc>
      </w:tr>
      <w:tr>
        <w:tc>
          <w:tcPr>
            <w:tcW w:type="dxa" w:w="266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Más de 8 horas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7,2</w:t>
            </w:r>
          </w:p>
        </w:tc>
        <w:tc>
          <w:tcPr>
            <w:tcW w:type="dxa" w:w="2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0,6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44546A"/>
          <w:sz w:val="18"/>
          <w:szCs w:val="18"/>
        </w:rPr>
        <w:t xml:space="preserve">Tabla 2: Rendimiento académico según las horas de sueño</w:t>
      </w:r>
    </w:p>
    <w:p>
      <w:pPr>
        <w:pStyle w:val="Heading1"/>
      </w:pPr>
      <w:r>
        <w:t xml:space="preserve">Discusión</w:t>
      </w:r>
    </w:p>
    <w:p>
      <w:pPr>
        <w:spacing w:after="160"/>
      </w:pPr>
      <w:r>
        <w:t xml:space="preserve">Los resultados coinciden con estudios previos (Navarro y Gil, 2020; Castro et al., 2019) y sugieren que dormir menos de seis horas tiene un coste académico apreciable. Como limitación, las notas fueron autoinformadas, lo que puede introducir sesgos de deseabilidad social.</w:t>
      </w:r>
    </w:p>
    <w:p>
      <w:pPr>
        <w:pStyle w:val="Heading1"/>
      </w:pPr>
      <w:r>
        <w:t xml:space="preserve">Referencias</w:t>
      </w:r>
    </w:p>
    <w:p>
      <w:pPr>
        <w:spacing w:after="160"/>
      </w:pPr>
      <w:r>
        <w:t xml:space="preserve">Castro, P., Llorente, M. y Benítez, J. (2019). Calidad de sueño en población universitaria: una revisión sistemática. Revista Ejemplo de Psicología, 12(3), 201-219.</w:t>
      </w:r>
    </w:p>
    <w:p>
      <w:pPr>
        <w:spacing w:after="160"/>
      </w:pPr>
      <w:r>
        <w:t xml:space="preserve">Navarro, A. y Gil, S. (2020). Sueño, memoria y aprendizaje. Editorial Pirámide Inventada.</w:t>
      </w:r>
    </w:p>
    <w:sectPr>
      <w:footerReference w:type="default" r:id="rId7"/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 Light" w:cs="Calibri Light" w:eastAsia="Calibri Light" w:hAnsi="Calibri Light"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 Light" w:cs="Calibri Light" w:eastAsia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 Light" w:cs="Calibri Light" w:eastAsia="Calibri Light" w:hAnsi="Calibri Light"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2026-10-15T17:23:25.487Z</dcterms:created>
  <dcterms:modified xsi:type="dcterms:W3CDTF">2026-10-15T17:23:25.487Z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