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omic Sans MS" w:cs="Comic Sans MS" w:eastAsia="Comic Sans MS" w:hAnsi="Comic Sans MS"/>
          <w:b/>
          <w:bCs/>
          <w:color w:val="C00000"/>
          <w:sz w:val="40"/>
          <w:szCs w:val="40"/>
          <w:u w:val="single"/>
        </w:rPr>
        <w:t xml:space="preserve">REDES SOCIALES Y AUTOESTIMA EN LA ADOLESCENCIA</w:t>
      </w:r>
    </w:p>
    <w:p/>
    <w:p/>
    <w:p>
      <w:r>
        <w:rPr>
          <w:rFonts w:ascii="Verdana" w:cs="Verdana" w:eastAsia="Verdana" w:hAnsi="Verdana"/>
          <w:color w:val="7F7F7F"/>
          <w:sz w:val="18"/>
          <w:szCs w:val="18"/>
        </w:rPr>
        <w:t xml:space="preserve">Trabajo de Psicología del Desarrollo</w:t>
      </w:r>
      <w:r>
        <w:rPr>
          <w:rFonts w:ascii="Verdana" w:cs="Verdana" w:eastAsia="Verdana" w:hAnsi="Verdana"/>
          <w:color w:val="7F7F7F"/>
          <w:sz w:val="18"/>
          <w:szCs w:val="18"/>
        </w:rPr>
        <w:br/>
        <w:t xml:space="preserve">Nombre: Irene Castaño</w:t>
      </w:r>
      <w:r>
        <w:rPr>
          <w:rFonts w:ascii="Verdana" w:cs="Verdana" w:eastAsia="Verdana" w:hAnsi="Verdana"/>
          <w:color w:val="7F7F7F"/>
          <w:sz w:val="18"/>
          <w:szCs w:val="18"/>
        </w:rPr>
        <w:br/>
        <w:t xml:space="preserve">Fecha: 12/03/2026</w:t>
      </w:r>
    </w:p>
    <w:p/>
    <w:p>
      <w:r>
        <w:rPr>
          <w:rFonts w:ascii="Arial Black" w:cs="Arial Black" w:eastAsia="Arial Black" w:hAnsi="Arial Black"/>
          <w:sz w:val="26"/>
          <w:szCs w:val="26"/>
        </w:rPr>
        <w:t xml:space="preserve">¿Qué son las redes sociales?</w:t>
      </w:r>
    </w:p>
    <w:p>
      <w:r>
        <w:rPr>
          <w:rFonts w:ascii="Segoe UI" w:cs="Segoe UI" w:eastAsia="Segoe UI" w:hAnsi="Segoe UI"/>
          <w:color w:val="1F1F1F"/>
          <w:sz w:val="21"/>
          <w:szCs w:val="21"/>
        </w:rPr>
        <w:tab/>
        <w:t xml:space="preserve">Las redes sociales son plataformas digitales que permiten a las personas crear perfiles, compartir contenidos e interactuar con otros usuarios. En la adolescencia, su uso es casi universal y ocupa varias horas al día (Martínez 2019).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ab/>
        <w:t xml:space="preserve">Durante esta etapa, la identidad todavía se está formando y la opinión de los demás tiene un peso especial. Por eso, la manera en que los adolescentes se presentan en las redes  y  las reacciones que reciben pueden influir en cómo se valoran a sí mismos.</w:t>
      </w:r>
    </w:p>
    <w:p/>
    <w:p>
      <w:r>
        <w:rPr>
          <w:rFonts w:ascii="Arial Black" w:cs="Arial Black" w:eastAsia="Arial Black" w:hAnsi="Arial Black"/>
          <w:sz w:val="26"/>
          <w:szCs w:val="26"/>
        </w:rPr>
        <w:t xml:space="preserve">Efectos sobre la autoestima</w:t>
      </w:r>
    </w:p>
    <w:p>
      <w:pPr>
        <w:jc w:val="both"/>
      </w:pPr>
      <w:r>
        <w:rPr>
          <w:rFonts w:ascii="Georgia" w:cs="Georgia" w:eastAsia="Georgia" w:hAnsi="Georgia"/>
          <w:sz w:val="23"/>
          <w:szCs w:val="23"/>
        </w:rPr>
        <w:t xml:space="preserve">Los estudios consultados señalan efectos tanto positivos como negativos. </w:t>
      </w:r>
      <w:r>
        <w:rPr>
          <w:rFonts w:ascii="Georgia" w:cs="Georgia" w:eastAsia="Georgia" w:hAnsi="Georgia"/>
          <w:b/>
          <w:bCs/>
          <w:sz w:val="23"/>
          <w:szCs w:val="23"/>
          <w:shd w:fill="FFFF00" w:color="auto" w:val="clear"/>
        </w:rPr>
        <w:t xml:space="preserve">La comparación constante con imágenes idealizadas es el factor de riesgo más citado</w:t>
      </w:r>
      <w:r>
        <w:rPr>
          <w:rFonts w:ascii="Georgia" w:cs="Georgia" w:eastAsia="Georgia" w:hAnsi="Georgia"/>
          <w:sz w:val="23"/>
          <w:szCs w:val="23"/>
        </w:rPr>
        <w:t xml:space="preserve">, sobre todo en las chicas de entre 13 y 15 años (Pérez et. al, 2020).</w:t>
      </w:r>
    </w:p>
    <w:p>
      <w:r>
        <w:rPr>
          <w:rFonts w:ascii="Calibri" w:cs="Calibri" w:eastAsia="Calibri" w:hAnsi="Calibri"/>
          <w:sz w:val="22"/>
          <w:szCs w:val="22"/>
        </w:rPr>
        <w:t xml:space="preserve">Por otro lado, las redes también pueden ofrecer apoyo social y sentimiento de pertenencia,</w:t>
      </w:r>
      <w:r>
        <w:rPr>
          <w:rFonts w:ascii="Calibri" w:cs="Calibri" w:eastAsia="Calibri" w:hAnsi="Calibri"/>
          <w:sz w:val="22"/>
          <w:szCs w:val="22"/>
        </w:rPr>
        <w:br/>
        <w:t xml:space="preserve">especialmente a jóvenes que se sienten aislados en su entorno cercano.</w:t>
      </w:r>
      <w:r>
        <w:rPr>
          <w:rFonts w:ascii="Calibri" w:cs="Calibri" w:eastAsia="Calibri" w:hAnsi="Calibri"/>
          <w:sz w:val="22"/>
          <w:szCs w:val="22"/>
        </w:rPr>
        <w:br/>
        <w:t xml:space="preserve">Según Gómez (s.f), lo importante no es cuánto tiempo se usan, sino cómo.</w:t>
      </w:r>
    </w:p>
    <w:p/>
    <w:p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Factores de riesgo:</w:t>
      </w:r>
    </w:p>
    <w:p>
      <w:r>
        <w:rPr>
          <w:rFonts w:ascii="Calibri" w:cs="Calibri" w:eastAsia="Calibri" w:hAnsi="Calibri"/>
          <w:sz w:val="22"/>
          <w:szCs w:val="22"/>
        </w:rPr>
        <w:t xml:space="preserve">•	Comparación social con imágenes retocadas</w:t>
      </w:r>
    </w:p>
    <w:p>
      <w:r>
        <w:rPr>
          <w:rFonts w:ascii="Calibri" w:cs="Calibri" w:eastAsia="Calibri" w:hAnsi="Calibri"/>
          <w:sz w:val="22"/>
          <w:szCs w:val="22"/>
        </w:rPr>
        <w:t xml:space="preserve">•	Búsqueda de "me gusta" como medida de valor personal</w:t>
      </w:r>
    </w:p>
    <w:p>
      <w:r>
        <w:rPr>
          <w:rFonts w:ascii="Calibri" w:cs="Calibri" w:eastAsia="Calibri" w:hAnsi="Calibri"/>
          <w:sz w:val="22"/>
          <w:szCs w:val="22"/>
        </w:rPr>
        <w:t xml:space="preserve">-  Ciberacoso</w:t>
      </w:r>
    </w:p>
    <w:p>
      <w:r>
        <w:rPr>
          <w:rFonts w:ascii="Calibri" w:cs="Calibri" w:eastAsia="Calibri" w:hAnsi="Calibri"/>
          <w:sz w:val="22"/>
          <w:szCs w:val="22"/>
        </w:rPr>
        <w:t xml:space="preserve">-  Uso nocturno que reduce las horas de sueño</w:t>
      </w:r>
    </w:p>
    <w:p/>
    <w:p>
      <w:pPr>
        <w:jc w:val="righ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Más información en: </w:t>
      </w:r>
      <w:hyperlink w:history="1" r:id="rIdgcaxbe1wf03kpdflyxir-">
        <w:r>
          <w:rPr>
            <w:rStyle w:val="Hyperlink"/>
            <w:sz w:val="20"/>
            <w:szCs w:val="20"/>
          </w:rPr>
          <w:t xml:space="preserve">www.example.org/adolescentes-y-redes</w:t>
        </w:r>
      </w:hyperlink>
    </w:p>
    <w:p>
      <w:r>
        <w:rPr>
          <w:rFonts w:ascii="Courier New" w:cs="Courier New" w:eastAsia="Courier New" w:hAnsi="Courier New"/>
          <w:sz w:val="20"/>
          <w:szCs w:val="20"/>
        </w:rPr>
        <w:t xml:space="preserve">La tabla de la página siguiente resume los datos de las principales redes.</w:t>
      </w:r>
    </w:p>
    <w:p>
      <w:pPr>
        <w:sectPr>
          <w:pgSz w:w="11906" w:h="16838" w:orient="portrait"/>
          <w:pgMar w:top="567" w:right="1134" w:bottom="567" w:left="1134" w:header="708" w:footer="708" w:gutter="0"/>
          <w:pgNumType/>
          <w:docGrid w:linePitch="360"/>
        </w:sectPr>
      </w:pPr>
    </w:p>
    <w:p>
      <w:r>
        <w:rPr>
          <w:rFonts w:ascii="Arial Black" w:cs="Arial Black" w:eastAsia="Arial Black" w:hAnsi="Arial Black"/>
          <w:sz w:val="26"/>
          <w:szCs w:val="26"/>
        </w:rPr>
        <w:t xml:space="preserve">Datos de uso por red social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700"/>
        <w:gridCol w:w="1700"/>
        <w:gridCol w:w="1700"/>
        <w:gridCol w:w="2400"/>
        <w:gridCol w:w="2600"/>
      </w:tblGrid>
      <w:tr>
        <w:tc>
          <w:tcPr>
            <w:tcW w:type="dxa" w:w="13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Red social</w:t>
            </w:r>
          </w:p>
        </w:tc>
        <w:tc>
          <w:tcPr>
            <w:tcW w:type="dxa" w:w="23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Uso principal</w:t>
            </w:r>
          </w:p>
        </w:tc>
        <w:tc>
          <w:tcPr>
            <w:tcW w:type="dxa" w:w="17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Usuarios 13-17 (%)</w:t>
            </w:r>
          </w:p>
        </w:tc>
        <w:tc>
          <w:tcPr>
            <w:tcW w:type="dxa" w:w="17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Tiempo diario (min)</w:t>
            </w:r>
          </w:p>
        </w:tc>
        <w:tc>
          <w:tcPr>
            <w:tcW w:type="dxa" w:w="17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Edad mínima</w:t>
            </w:r>
          </w:p>
        </w:tc>
        <w:tc>
          <w:tcPr>
            <w:tcW w:type="dxa" w:w="24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Riesgo señalado</w:t>
            </w:r>
          </w:p>
        </w:tc>
        <w:tc>
          <w:tcPr>
            <w:tcW w:type="dxa" w:w="2600"/>
            <w:shd w:fill="FFE699" w:color="auto" w:val="clear"/>
          </w:tcPr>
          <w:p>
            <w:r>
              <w:rPr>
                <w:rFonts w:ascii="Verdana" w:cs="Verdana" w:eastAsia="Verdana" w:hAnsi="Verdana"/>
                <w:b/>
                <w:bCs/>
                <w:sz w:val="16"/>
                <w:szCs w:val="16"/>
              </w:rPr>
              <w:t xml:space="preserve">Fuente</w:t>
            </w:r>
          </w:p>
        </w:tc>
      </w:tr>
      <w:tr>
        <w:tc>
          <w:tcPr>
            <w:tcW w:type="dxa" w:w="1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Instagram</w:t>
            </w:r>
          </w:p>
        </w:tc>
        <w:tc>
          <w:tcPr>
            <w:tcW w:type="dxa" w:w="2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Fotos y vídeos cortos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Comparación social</w:t>
            </w:r>
          </w:p>
        </w:tc>
        <w:tc>
          <w:tcPr>
            <w:tcW w:type="dxa" w:w="26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Martínez 2019</w:t>
            </w:r>
          </w:p>
        </w:tc>
      </w:tr>
      <w:tr>
        <w:tc>
          <w:tcPr>
            <w:tcW w:type="dxa" w:w="1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TikTok</w:t>
            </w:r>
          </w:p>
        </w:tc>
        <w:tc>
          <w:tcPr>
            <w:tcW w:type="dxa" w:w="2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Vídeos cortos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132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Uso compulsivo</w:t>
            </w:r>
          </w:p>
        </w:tc>
        <w:tc>
          <w:tcPr>
            <w:tcW w:type="dxa" w:w="26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Pérez et. al, 2020</w:t>
            </w:r>
          </w:p>
        </w:tc>
      </w:tr>
      <w:tr>
        <w:tc>
          <w:tcPr>
            <w:tcW w:type="dxa" w:w="1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YouTube</w:t>
            </w:r>
          </w:p>
        </w:tc>
        <w:tc>
          <w:tcPr>
            <w:tcW w:type="dxa" w:w="2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Vídeo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Contenido inadecuado</w:t>
            </w:r>
          </w:p>
        </w:tc>
        <w:tc>
          <w:tcPr>
            <w:tcW w:type="dxa" w:w="26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INE (s.f)</w:t>
            </w:r>
          </w:p>
        </w:tc>
      </w:tr>
      <w:tr>
        <w:tc>
          <w:tcPr>
            <w:tcW w:type="dxa" w:w="1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WhatsApp</w:t>
            </w:r>
          </w:p>
        </w:tc>
        <w:tc>
          <w:tcPr>
            <w:tcW w:type="dxa" w:w="23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Mensajería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7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Ciberacoso</w:t>
            </w:r>
          </w:p>
        </w:tc>
        <w:tc>
          <w:tcPr>
            <w:tcW w:type="dxa" w:w="2600"/>
          </w:tcPr>
          <w:p>
            <w:r>
              <w:rPr>
                <w:rFonts w:ascii="Verdana" w:cs="Verdana" w:eastAsia="Verdana" w:hAnsi="Verdana"/>
                <w:b w:val="false"/>
                <w:bCs w:val="false"/>
                <w:sz w:val="16"/>
                <w:szCs w:val="16"/>
              </w:rPr>
              <w:t xml:space="preserve">Gómez, s.f.</w:t>
            </w:r>
          </w:p>
        </w:tc>
      </w:tr>
    </w:tbl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r>
        <w:rPr>
          <w:rFonts w:ascii="Arial Black" w:cs="Arial Black" w:eastAsia="Arial Black" w:hAnsi="Arial Black"/>
          <w:sz w:val="26"/>
          <w:szCs w:val="26"/>
        </w:rPr>
        <w:t xml:space="preserve">Conclusión</w:t>
      </w:r>
    </w:p>
    <w:p>
      <w:r>
        <w:rPr>
          <w:rFonts w:ascii="Calibri" w:cs="Calibri" w:eastAsia="Calibri" w:hAnsi="Calibri"/>
          <w:sz w:val="22"/>
          <w:szCs w:val="22"/>
        </w:rPr>
        <w:tab/>
        <w:tab/>
        <w:t xml:space="preserve">Las redes sociales no son buenas ni malas en sí mismas. Su efecto sobre la autoestima depende del tipo de uso, del contenido que se consume y del acompañamiento de las familias y de los centros educativos.</w:t>
      </w:r>
    </w:p>
    <w:p/>
    <w:p/>
    <w:p/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Webgrafía: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Martínez, J. Redes sociales y adolescencia. 2019. https://www.example.org/martinez-redes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Pérez, L.; Romero, A.; Saiz, T.; Moya, P. (2020) Autoestima digital, Revista Ejemplo Joven, nº 7.</w:t>
      </w:r>
    </w:p>
    <w:p>
      <w:r>
        <w:rPr>
          <w:rFonts w:ascii="Courier New" w:cs="Courier New" w:eastAsia="Courier New" w:hAnsi="Courier New"/>
          <w:color w:val="0563C1"/>
          <w:sz w:val="20"/>
          <w:szCs w:val="20"/>
          <w:u w:val="single"/>
        </w:rPr>
        <w:t xml:space="preserve">www.example.org/datos-uso-redes-2024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caxbe1wf03kpdflyxir-" Type="http://schemas.openxmlformats.org/officeDocument/2006/relationships/hyperlink" Target="https://www.example.org/adolescentes-y-red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2026-10-15T17:23:25.623Z</dcterms:created>
  <dcterms:modified xsi:type="dcterms:W3CDTF">2026-10-15T17:23:25.623Z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